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89" w:rsidRPr="009F02E3" w:rsidRDefault="007E04A2">
      <w:pPr>
        <w:rPr>
          <w:rFonts w:ascii="Times New Roman" w:hAnsi="Times New Roman" w:cs="Times New Roman"/>
          <w:b/>
          <w:sz w:val="24"/>
          <w:szCs w:val="24"/>
        </w:rPr>
      </w:pPr>
      <w:r w:rsidRPr="009F02E3">
        <w:rPr>
          <w:rFonts w:ascii="Times New Roman" w:hAnsi="Times New Roman" w:cs="Times New Roman"/>
          <w:b/>
          <w:sz w:val="24"/>
          <w:szCs w:val="24"/>
        </w:rPr>
        <w:t xml:space="preserve">Lista di sentenze della Corte EDU per studenti frequentanti </w:t>
      </w:r>
      <w:r w:rsidR="009F02E3" w:rsidRPr="009F02E3">
        <w:rPr>
          <w:rFonts w:ascii="Times New Roman" w:hAnsi="Times New Roman" w:cs="Times New Roman"/>
          <w:b/>
          <w:sz w:val="24"/>
          <w:szCs w:val="24"/>
        </w:rPr>
        <w:t xml:space="preserve">– Diritto internazionale </w:t>
      </w:r>
      <w:r w:rsidRPr="009F02E3">
        <w:rPr>
          <w:rFonts w:ascii="Times New Roman" w:hAnsi="Times New Roman" w:cs="Times New Roman"/>
          <w:b/>
          <w:sz w:val="24"/>
          <w:szCs w:val="24"/>
        </w:rPr>
        <w:t>(2015-16)</w:t>
      </w:r>
    </w:p>
    <w:p w:rsidR="006169CB" w:rsidRPr="009F02E3" w:rsidRDefault="006169CB">
      <w:pPr>
        <w:rPr>
          <w:rFonts w:ascii="Times New Roman" w:hAnsi="Times New Roman" w:cs="Times New Roman"/>
          <w:sz w:val="24"/>
          <w:szCs w:val="24"/>
        </w:rPr>
      </w:pPr>
    </w:p>
    <w:p w:rsidR="00A0254C" w:rsidRDefault="00A0254C" w:rsidP="009F02E3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 xml:space="preserve">Gli studenti che </w:t>
      </w:r>
      <w:r w:rsidRPr="009F02E3">
        <w:rPr>
          <w:rFonts w:ascii="Times New Roman" w:hAnsi="Times New Roman" w:cs="Times New Roman"/>
          <w:sz w:val="24"/>
          <w:szCs w:val="24"/>
          <w:u w:val="thick"/>
        </w:rPr>
        <w:t>hanno superato la verifica scritta intermedia</w:t>
      </w:r>
      <w:r w:rsidR="009F02E3" w:rsidRPr="009F02E3">
        <w:rPr>
          <w:rFonts w:ascii="Times New Roman" w:hAnsi="Times New Roman" w:cs="Times New Roman"/>
          <w:sz w:val="24"/>
          <w:szCs w:val="24"/>
          <w:u w:val="thick"/>
        </w:rPr>
        <w:t xml:space="preserve"> o che hanno frequentato il corso 2015-16</w:t>
      </w:r>
      <w:r w:rsidRPr="009F02E3">
        <w:rPr>
          <w:rFonts w:ascii="Times New Roman" w:hAnsi="Times New Roman" w:cs="Times New Roman"/>
          <w:sz w:val="24"/>
          <w:szCs w:val="24"/>
        </w:rPr>
        <w:t xml:space="preserve"> possono scegliere </w:t>
      </w:r>
      <w:r w:rsidRPr="009F02E3">
        <w:rPr>
          <w:rFonts w:ascii="Times New Roman" w:hAnsi="Times New Roman" w:cs="Times New Roman"/>
          <w:sz w:val="24"/>
          <w:szCs w:val="24"/>
          <w:u w:val="thick"/>
        </w:rPr>
        <w:t>una</w:t>
      </w:r>
      <w:r w:rsidRPr="009F02E3">
        <w:rPr>
          <w:rFonts w:ascii="Times New Roman" w:hAnsi="Times New Roman" w:cs="Times New Roman"/>
          <w:sz w:val="24"/>
          <w:szCs w:val="24"/>
        </w:rPr>
        <w:t xml:space="preserve"> fra le sentenze che seguono e</w:t>
      </w:r>
      <w:r w:rsidR="00211C19" w:rsidRPr="009F02E3">
        <w:rPr>
          <w:rFonts w:ascii="Times New Roman" w:hAnsi="Times New Roman" w:cs="Times New Roman"/>
          <w:sz w:val="24"/>
          <w:szCs w:val="24"/>
        </w:rPr>
        <w:t xml:space="preserve"> illustrarla</w:t>
      </w:r>
      <w:r w:rsidRPr="009F02E3">
        <w:rPr>
          <w:rFonts w:ascii="Times New Roman" w:hAnsi="Times New Roman" w:cs="Times New Roman"/>
          <w:sz w:val="24"/>
          <w:szCs w:val="24"/>
        </w:rPr>
        <w:t xml:space="preserve"> durante la prova orale </w:t>
      </w:r>
      <w:r w:rsidR="00211C19" w:rsidRPr="009F02E3">
        <w:rPr>
          <w:rFonts w:ascii="Times New Roman" w:hAnsi="Times New Roman" w:cs="Times New Roman"/>
          <w:sz w:val="24"/>
          <w:szCs w:val="24"/>
        </w:rPr>
        <w:t xml:space="preserve">(a integrazione dell’esposizione basata sul manuale </w:t>
      </w:r>
      <w:r w:rsidR="00211C19" w:rsidRPr="009F02E3">
        <w:rPr>
          <w:rFonts w:ascii="Times New Roman" w:hAnsi="Times New Roman" w:cs="Times New Roman"/>
          <w:i/>
          <w:sz w:val="24"/>
          <w:szCs w:val="24"/>
        </w:rPr>
        <w:t>Ricorrere a Strasburgo</w:t>
      </w:r>
      <w:r w:rsidR="00211C19" w:rsidRPr="009F02E3">
        <w:rPr>
          <w:rFonts w:ascii="Times New Roman" w:hAnsi="Times New Roman" w:cs="Times New Roman"/>
          <w:sz w:val="24"/>
          <w:szCs w:val="24"/>
        </w:rPr>
        <w:t>)</w:t>
      </w:r>
      <w:r w:rsidR="00FF1816" w:rsidRPr="009F02E3">
        <w:rPr>
          <w:rFonts w:ascii="Times New Roman" w:hAnsi="Times New Roman" w:cs="Times New Roman"/>
          <w:sz w:val="24"/>
          <w:szCs w:val="24"/>
        </w:rPr>
        <w:t xml:space="preserve"> nell’ambito della </w:t>
      </w:r>
      <w:r w:rsidR="00FF1816" w:rsidRPr="009F02E3">
        <w:rPr>
          <w:rFonts w:ascii="Times New Roman" w:hAnsi="Times New Roman" w:cs="Times New Roman"/>
          <w:sz w:val="24"/>
          <w:szCs w:val="24"/>
          <w:u w:val="thick"/>
        </w:rPr>
        <w:t>sessione invernale</w:t>
      </w:r>
      <w:r w:rsidR="00FF1816" w:rsidRPr="009F02E3">
        <w:rPr>
          <w:rFonts w:ascii="Times New Roman" w:hAnsi="Times New Roman" w:cs="Times New Roman"/>
          <w:sz w:val="24"/>
          <w:szCs w:val="24"/>
        </w:rPr>
        <w:t xml:space="preserve"> di esame (gennaio-febbraio)</w:t>
      </w:r>
      <w:r w:rsidR="00211C19" w:rsidRPr="009F02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64D" w:rsidRDefault="001F764D" w:rsidP="009F02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9CB" w:rsidRDefault="001F764D" w:rsidP="009F0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Tutti i casi Corte EDU citati sono reperibili (in lingua inglese o francese) al sito </w:t>
      </w:r>
      <w:r w:rsidRPr="001F764D">
        <w:rPr>
          <w:rFonts w:ascii="Times New Roman" w:hAnsi="Times New Roman" w:cs="Times New Roman"/>
          <w:sz w:val="24"/>
          <w:szCs w:val="24"/>
          <w:u w:val="thick"/>
        </w:rPr>
        <w:t>hudoc.echr.coe.int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1F76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igitando nella mascherina in alto a destra il nome del ricorrente (o il numero di r</w:t>
      </w:r>
      <w:r w:rsidR="003701BC">
        <w:rPr>
          <w:rFonts w:ascii="Times New Roman" w:hAnsi="Times New Roman" w:cs="Times New Roman"/>
          <w:sz w:val="24"/>
          <w:szCs w:val="24"/>
        </w:rPr>
        <w:t>icorso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 N.B. Se si tratta di decisioni sull’ammissibilità, si raccomanda di includere nella mascherina a sinistra le “decisioni” fra i documenti di ricerca</w:t>
      </w:r>
    </w:p>
    <w:p w:rsidR="001F764D" w:rsidRPr="009F02E3" w:rsidRDefault="001F764D" w:rsidP="009F02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9CB" w:rsidRPr="009F02E3" w:rsidRDefault="006169CB" w:rsidP="009F02E3">
      <w:pPr>
        <w:jc w:val="both"/>
        <w:rPr>
          <w:rFonts w:ascii="Times New Roman" w:hAnsi="Times New Roman" w:cs="Times New Roman"/>
          <w:color w:val="FF0000"/>
          <w:sz w:val="24"/>
          <w:szCs w:val="24"/>
          <w:u w:val="thick"/>
        </w:rPr>
      </w:pPr>
      <w:r w:rsidRPr="009F02E3">
        <w:rPr>
          <w:rFonts w:ascii="Times New Roman" w:hAnsi="Times New Roman" w:cs="Times New Roman"/>
          <w:color w:val="FF0000"/>
          <w:sz w:val="24"/>
          <w:szCs w:val="24"/>
          <w:u w:val="thick"/>
        </w:rPr>
        <w:t>Art. 2 CEDU (diritto alla vita)</w:t>
      </w:r>
    </w:p>
    <w:p w:rsidR="008E380E" w:rsidRPr="009F02E3" w:rsidRDefault="008E380E" w:rsidP="009F02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D81" w:rsidRPr="009F02E3" w:rsidRDefault="0084250F" w:rsidP="009F02E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  <w:u w:val="thick"/>
        </w:rPr>
        <w:t>Obblighi di astensione degli Stati</w:t>
      </w:r>
      <w:r w:rsidRPr="009F02E3">
        <w:rPr>
          <w:rFonts w:ascii="Times New Roman" w:hAnsi="Times New Roman" w:cs="Times New Roman"/>
          <w:sz w:val="24"/>
          <w:szCs w:val="24"/>
        </w:rPr>
        <w:t xml:space="preserve">. </w:t>
      </w:r>
      <w:r w:rsidR="009F0D81" w:rsidRPr="009F02E3">
        <w:rPr>
          <w:rFonts w:ascii="Times New Roman" w:hAnsi="Times New Roman" w:cs="Times New Roman"/>
          <w:sz w:val="24"/>
          <w:szCs w:val="24"/>
        </w:rPr>
        <w:t>Azioni di guerra o azioni militari che determinano la morte di persone fuori del territorio nazionale (extraterritorialità dell’azione statale e diritti fondamentali)</w:t>
      </w:r>
    </w:p>
    <w:p w:rsidR="006169CB" w:rsidRPr="009F02E3" w:rsidRDefault="00E14F67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 xml:space="preserve">Banković </w:t>
      </w:r>
      <w:r w:rsidR="00A0254C" w:rsidRPr="009F02E3">
        <w:rPr>
          <w:rFonts w:ascii="Times New Roman" w:hAnsi="Times New Roman" w:cs="Times New Roman"/>
          <w:i/>
          <w:sz w:val="24"/>
          <w:szCs w:val="24"/>
          <w:u w:val="thick"/>
        </w:rPr>
        <w:t xml:space="preserve">e altri c. Belgio e altri 16 Stati membri </w:t>
      </w:r>
      <w:r w:rsidRPr="009F02E3">
        <w:rPr>
          <w:rFonts w:ascii="Times New Roman" w:hAnsi="Times New Roman" w:cs="Times New Roman"/>
          <w:i/>
          <w:sz w:val="24"/>
          <w:szCs w:val="24"/>
          <w:u w:val="single"/>
        </w:rPr>
        <w:t>(Danimarca, Grecia, Islanda, Italia, Lussemburgo, Norvegia, Paesi Bassi, Polonia, Portogallo, Regno Unito, Repubblica ceca, Spagna, Turchia, Ungheria (</w:t>
      </w:r>
      <w:r w:rsidR="001F764D">
        <w:rPr>
          <w:rFonts w:ascii="Times New Roman" w:hAnsi="Times New Roman" w:cs="Times New Roman"/>
          <w:i/>
          <w:sz w:val="24"/>
          <w:szCs w:val="24"/>
          <w:u w:val="single"/>
        </w:rPr>
        <w:t>decisione sull’</w:t>
      </w:r>
      <w:r w:rsidRPr="009F02E3">
        <w:rPr>
          <w:rFonts w:ascii="Times New Roman" w:hAnsi="Times New Roman" w:cs="Times New Roman"/>
          <w:i/>
          <w:sz w:val="24"/>
          <w:szCs w:val="24"/>
          <w:u w:val="single"/>
        </w:rPr>
        <w:t>ammissibilità))</w:t>
      </w:r>
      <w:r w:rsidR="00AC7079" w:rsidRPr="009F02E3">
        <w:rPr>
          <w:rFonts w:ascii="Times New Roman" w:hAnsi="Times New Roman" w:cs="Times New Roman"/>
          <w:i/>
          <w:sz w:val="24"/>
          <w:szCs w:val="24"/>
          <w:u w:val="single"/>
        </w:rPr>
        <w:t xml:space="preserve"> (GC)</w:t>
      </w:r>
      <w:r w:rsidR="00AC7079" w:rsidRPr="009F02E3">
        <w:rPr>
          <w:rFonts w:ascii="Times New Roman" w:hAnsi="Times New Roman" w:cs="Times New Roman"/>
          <w:sz w:val="24"/>
          <w:szCs w:val="24"/>
        </w:rPr>
        <w:t>, 12.12.2001, ric n. 52207/99</w:t>
      </w:r>
      <w:r w:rsidR="00FF1816" w:rsidRPr="009F02E3">
        <w:rPr>
          <w:rFonts w:ascii="Times New Roman" w:hAnsi="Times New Roman" w:cs="Times New Roman"/>
          <w:sz w:val="24"/>
          <w:szCs w:val="24"/>
        </w:rPr>
        <w:t xml:space="preserve">: </w:t>
      </w:r>
      <w:r w:rsidR="00AC7079" w:rsidRPr="009F02E3">
        <w:rPr>
          <w:rFonts w:ascii="Times New Roman" w:hAnsi="Times New Roman" w:cs="Times New Roman"/>
          <w:sz w:val="24"/>
          <w:szCs w:val="24"/>
        </w:rPr>
        <w:t>bombardamenti da parte degli Stati membri della NATO della stazione radiotelevisiva di Belgr</w:t>
      </w:r>
      <w:r w:rsidR="009F0D81" w:rsidRPr="009F02E3">
        <w:rPr>
          <w:rFonts w:ascii="Times New Roman" w:hAnsi="Times New Roman" w:cs="Times New Roman"/>
          <w:sz w:val="24"/>
          <w:szCs w:val="24"/>
        </w:rPr>
        <w:t>ado; decesso di numerosi civili</w:t>
      </w:r>
      <w:r w:rsidR="00AC7079" w:rsidRPr="009F02E3">
        <w:rPr>
          <w:rFonts w:ascii="Times New Roman" w:hAnsi="Times New Roman" w:cs="Times New Roman"/>
          <w:sz w:val="24"/>
          <w:szCs w:val="24"/>
        </w:rPr>
        <w:t>; ricevibilità; nesso giurisdizionale (art. 1 e 35 CEDU); assenza; criteri.</w:t>
      </w:r>
    </w:p>
    <w:p w:rsidR="006169CB" w:rsidRPr="009F02E3" w:rsidRDefault="0084250F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bCs/>
          <w:iCs/>
          <w:sz w:val="24"/>
          <w:szCs w:val="24"/>
        </w:rPr>
        <w:t>→</w:t>
      </w:r>
      <w:r w:rsidRPr="009F02E3">
        <w:rPr>
          <w:rFonts w:ascii="Times New Roman" w:hAnsi="Times New Roman" w:cs="Times New Roman"/>
          <w:bCs/>
          <w:i/>
          <w:iCs/>
          <w:sz w:val="24"/>
          <w:szCs w:val="24"/>
          <w:u w:val="thick"/>
        </w:rPr>
        <w:t>Al-Skeini e altri c. Regno Unito (GC)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 xml:space="preserve">, 7.7.2011, ric n </w:t>
      </w:r>
      <w:hyperlink r:id="rId7" w:anchor="{&quot;appno&quot;:[&quot;55721/07&quot;]}" w:tgtFrame="_blank" w:history="1">
        <w:r w:rsidRPr="001F764D">
          <w:rPr>
            <w:rStyle w:val="Collegamentoipertestual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55721/07</w:t>
        </w:r>
      </w:hyperlink>
      <w:r w:rsidRPr="009F02E3">
        <w:rPr>
          <w:rFonts w:ascii="Times New Roman" w:hAnsi="Times New Roman" w:cs="Times New Roman"/>
          <w:sz w:val="24"/>
          <w:szCs w:val="24"/>
        </w:rPr>
        <w:t>; Giurisdizione degli Stati membri (articolo 1); giurisdizione territorial</w:t>
      </w:r>
      <w:r w:rsidR="00C04FCB" w:rsidRPr="009F02E3">
        <w:rPr>
          <w:rFonts w:ascii="Times New Roman" w:hAnsi="Times New Roman" w:cs="Times New Roman"/>
          <w:sz w:val="24"/>
          <w:szCs w:val="24"/>
        </w:rPr>
        <w:t>e</w:t>
      </w:r>
      <w:r w:rsidRPr="009F02E3">
        <w:rPr>
          <w:rFonts w:ascii="Times New Roman" w:hAnsi="Times New Roman" w:cs="Times New Roman"/>
          <w:sz w:val="24"/>
          <w:szCs w:val="24"/>
        </w:rPr>
        <w:t xml:space="preserve">, asserita uccisione di un cittadino iracheno da parte di membri delle Forze armate britanniche in Iraq; inchiesta effettiva (obblighi procedurali ex art. 2 CEDU): </w:t>
      </w:r>
      <w:r w:rsidRPr="009F02E3">
        <w:rPr>
          <w:rFonts w:ascii="Times New Roman" w:hAnsi="Times New Roman" w:cs="Times New Roman"/>
          <w:bCs/>
          <w:sz w:val="24"/>
          <w:szCs w:val="24"/>
        </w:rPr>
        <w:t>omissione di condurre una inchiesta pienamente effettiva e indipendente sui decessi di cittadini iracheni durante l’occupazione Britannica nel sud dell’Iraq</w:t>
      </w:r>
      <w:r w:rsidRPr="009F02E3">
        <w:rPr>
          <w:rFonts w:ascii="Times New Roman" w:hAnsi="Times New Roman" w:cs="Times New Roman"/>
          <w:sz w:val="24"/>
          <w:szCs w:val="24"/>
        </w:rPr>
        <w:t>: </w:t>
      </w:r>
      <w:r w:rsidRPr="009F02E3">
        <w:rPr>
          <w:rFonts w:ascii="Times New Roman" w:hAnsi="Times New Roman" w:cs="Times New Roman"/>
          <w:i/>
          <w:iCs/>
          <w:sz w:val="24"/>
          <w:szCs w:val="24"/>
        </w:rPr>
        <w:t>violazione</w:t>
      </w:r>
      <w:r w:rsidRPr="009F02E3">
        <w:rPr>
          <w:rFonts w:ascii="Times New Roman" w:hAnsi="Times New Roman" w:cs="Times New Roman"/>
          <w:sz w:val="24"/>
          <w:szCs w:val="24"/>
        </w:rPr>
        <w:t>.</w:t>
      </w:r>
    </w:p>
    <w:p w:rsidR="0084250F" w:rsidRPr="009F02E3" w:rsidRDefault="0084250F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B40" w:rsidRPr="009F02E3" w:rsidRDefault="009F0D81" w:rsidP="0084250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Interventi della forza pubblica a tutela dell’ordine pubblico in caso di manifestazioni e uccisione di manifestanti</w:t>
      </w:r>
      <w:r w:rsidR="00D60E31" w:rsidRPr="009F02E3">
        <w:rPr>
          <w:rFonts w:ascii="Times New Roman" w:hAnsi="Times New Roman" w:cs="Times New Roman"/>
          <w:sz w:val="24"/>
          <w:szCs w:val="24"/>
        </w:rPr>
        <w:t>;</w:t>
      </w:r>
      <w:r w:rsidRPr="009F02E3">
        <w:rPr>
          <w:rFonts w:ascii="Times New Roman" w:hAnsi="Times New Roman" w:cs="Times New Roman"/>
          <w:sz w:val="24"/>
          <w:szCs w:val="24"/>
        </w:rPr>
        <w:t xml:space="preserve"> lotta al terrorismo</w:t>
      </w:r>
    </w:p>
    <w:p w:rsidR="00521B40" w:rsidRPr="009F02E3" w:rsidRDefault="00E14F67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>Giuliani and Gaggio c. Italia</w:t>
      </w:r>
      <w:r w:rsidRPr="009F02E3">
        <w:rPr>
          <w:rFonts w:ascii="Times New Roman" w:hAnsi="Times New Roman" w:cs="Times New Roman"/>
          <w:sz w:val="24"/>
          <w:szCs w:val="24"/>
          <w:u w:val="thick"/>
        </w:rPr>
        <w:t xml:space="preserve"> (GC)</w:t>
      </w:r>
      <w:r w:rsidRPr="009F02E3">
        <w:rPr>
          <w:rFonts w:ascii="Times New Roman" w:hAnsi="Times New Roman" w:cs="Times New Roman"/>
          <w:sz w:val="24"/>
          <w:szCs w:val="24"/>
        </w:rPr>
        <w:t xml:space="preserve">, 24.3.2011, ric. n. </w:t>
      </w:r>
      <w:hyperlink r:id="rId8" w:anchor="%7B%22appno%22:[%2223458/02%22]%7D" w:tgtFrame="_blank" w:history="1">
        <w:r w:rsidRPr="003701B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23458/02</w:t>
        </w:r>
      </w:hyperlink>
      <w:r w:rsidRPr="009F02E3">
        <w:rPr>
          <w:rFonts w:ascii="Times New Roman" w:hAnsi="Times New Roman" w:cs="Times New Roman"/>
          <w:sz w:val="24"/>
          <w:szCs w:val="24"/>
        </w:rPr>
        <w:t>, controlli di sicurezza durante le manifestazioni del G8 a Genova</w:t>
      </w:r>
      <w:r w:rsidR="00C04FCB" w:rsidRPr="009F02E3">
        <w:rPr>
          <w:rFonts w:ascii="Times New Roman" w:hAnsi="Times New Roman" w:cs="Times New Roman"/>
          <w:sz w:val="24"/>
          <w:szCs w:val="24"/>
        </w:rPr>
        <w:t xml:space="preserve">; </w:t>
      </w:r>
      <w:r w:rsidRPr="009F02E3">
        <w:rPr>
          <w:rFonts w:ascii="Times New Roman" w:hAnsi="Times New Roman" w:cs="Times New Roman"/>
          <w:sz w:val="24"/>
          <w:szCs w:val="24"/>
        </w:rPr>
        <w:t>morte di un giovane manifestante, Carlo Giuliani</w:t>
      </w:r>
      <w:r w:rsidR="00C04FCB" w:rsidRPr="009F02E3">
        <w:rPr>
          <w:rFonts w:ascii="Times New Roman" w:hAnsi="Times New Roman" w:cs="Times New Roman"/>
          <w:sz w:val="24"/>
          <w:szCs w:val="24"/>
        </w:rPr>
        <w:t>;</w:t>
      </w:r>
      <w:r w:rsidRPr="009F02E3">
        <w:rPr>
          <w:rFonts w:ascii="Times New Roman" w:hAnsi="Times New Roman" w:cs="Times New Roman"/>
          <w:sz w:val="24"/>
          <w:szCs w:val="24"/>
        </w:rPr>
        <w:t xml:space="preserve"> obblighi positivi dello Stato (indagine effettiva, uso della forza e misure preventive e repressive)</w:t>
      </w:r>
      <w:r w:rsidR="00C04FCB" w:rsidRPr="009F02E3">
        <w:rPr>
          <w:rFonts w:ascii="Times New Roman" w:hAnsi="Times New Roman" w:cs="Times New Roman"/>
          <w:sz w:val="24"/>
          <w:szCs w:val="24"/>
        </w:rPr>
        <w:t>: non violazione</w:t>
      </w:r>
      <w:r w:rsidRPr="009F02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380E" w:rsidRPr="009F02E3" w:rsidRDefault="008E380E" w:rsidP="008E380E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>McCaughey e altri c. Regno Unito (IV)</w:t>
      </w:r>
      <w:r w:rsidRPr="009F02E3">
        <w:rPr>
          <w:rFonts w:ascii="Times New Roman" w:hAnsi="Times New Roman" w:cs="Times New Roman"/>
          <w:sz w:val="24"/>
          <w:szCs w:val="24"/>
        </w:rPr>
        <w:t>, 16.7.2013, ric. n</w:t>
      </w:r>
      <w:r w:rsidRPr="003701BC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anchor="%7B%22appno%22:[%2243098/09%22]%7D" w:tgtFrame="_blank" w:history="1">
        <w:r w:rsidRPr="003701B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43098/09</w:t>
        </w:r>
      </w:hyperlink>
      <w:r w:rsidRPr="009F02E3">
        <w:rPr>
          <w:rFonts w:ascii="Times New Roman" w:hAnsi="Times New Roman" w:cs="Times New Roman"/>
          <w:sz w:val="24"/>
          <w:szCs w:val="24"/>
        </w:rPr>
        <w:t xml:space="preserve">, </w:t>
      </w:r>
      <w:r w:rsidR="00C04FCB" w:rsidRPr="009F02E3">
        <w:rPr>
          <w:rFonts w:ascii="Times New Roman" w:hAnsi="Times New Roman" w:cs="Times New Roman"/>
          <w:sz w:val="24"/>
          <w:szCs w:val="24"/>
        </w:rPr>
        <w:t>obblighi positivi</w:t>
      </w:r>
      <w:r w:rsidRPr="009F02E3">
        <w:rPr>
          <w:rFonts w:ascii="Times New Roman" w:hAnsi="Times New Roman" w:cs="Times New Roman"/>
          <w:sz w:val="24"/>
          <w:szCs w:val="24"/>
        </w:rPr>
        <w:t>, inchiesta provvista di effettività, ritardi eccessivi nell’indagine sull’uccisione di civili a opera delle forze di sicurezza nell’Irlanda del Nord; violazione dell’art. 2 (</w:t>
      </w:r>
      <w:r w:rsidR="00C04FCB" w:rsidRPr="009F02E3">
        <w:rPr>
          <w:rFonts w:ascii="Times New Roman" w:hAnsi="Times New Roman" w:cs="Times New Roman"/>
          <w:sz w:val="24"/>
          <w:szCs w:val="24"/>
        </w:rPr>
        <w:t xml:space="preserve">obblighi </w:t>
      </w:r>
      <w:r w:rsidRPr="009F02E3">
        <w:rPr>
          <w:rFonts w:ascii="Times New Roman" w:hAnsi="Times New Roman" w:cs="Times New Roman"/>
          <w:sz w:val="24"/>
          <w:szCs w:val="24"/>
        </w:rPr>
        <w:t>procedural</w:t>
      </w:r>
      <w:r w:rsidR="00C04FCB" w:rsidRPr="009F02E3">
        <w:rPr>
          <w:rFonts w:ascii="Times New Roman" w:hAnsi="Times New Roman" w:cs="Times New Roman"/>
          <w:sz w:val="24"/>
          <w:szCs w:val="24"/>
        </w:rPr>
        <w:t>i</w:t>
      </w:r>
      <w:r w:rsidRPr="009F02E3">
        <w:rPr>
          <w:rFonts w:ascii="Times New Roman" w:hAnsi="Times New Roman" w:cs="Times New Roman"/>
          <w:sz w:val="24"/>
          <w:szCs w:val="24"/>
        </w:rPr>
        <w:t>); obbligo di assunzione di misure strutturali (generali) per eseguire la sentenza (art. 46 par. 2).</w:t>
      </w:r>
    </w:p>
    <w:p w:rsidR="008E380E" w:rsidRPr="009F02E3" w:rsidRDefault="008E380E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D81" w:rsidRPr="009F02E3" w:rsidRDefault="0075115E" w:rsidP="0084250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  <w:u w:val="thick"/>
        </w:rPr>
        <w:lastRenderedPageBreak/>
        <w:t>Obblighi positivi degli Stati</w:t>
      </w:r>
      <w:r w:rsidR="0084250F" w:rsidRPr="009F02E3">
        <w:rPr>
          <w:rFonts w:ascii="Times New Roman" w:hAnsi="Times New Roman" w:cs="Times New Roman"/>
          <w:sz w:val="24"/>
          <w:szCs w:val="24"/>
        </w:rPr>
        <w:t>.</w:t>
      </w:r>
      <w:r w:rsidRPr="009F02E3">
        <w:rPr>
          <w:rFonts w:ascii="Times New Roman" w:hAnsi="Times New Roman" w:cs="Times New Roman"/>
          <w:sz w:val="24"/>
          <w:szCs w:val="24"/>
        </w:rPr>
        <w:t xml:space="preserve"> </w:t>
      </w:r>
      <w:r w:rsidR="009F0D81" w:rsidRPr="009F02E3">
        <w:rPr>
          <w:rFonts w:ascii="Times New Roman" w:hAnsi="Times New Roman" w:cs="Times New Roman"/>
          <w:sz w:val="24"/>
          <w:szCs w:val="24"/>
        </w:rPr>
        <w:t>Responsabilità medica, individui affidati alle cure ospedaliere</w:t>
      </w:r>
      <w:r w:rsidRPr="009F02E3">
        <w:rPr>
          <w:rFonts w:ascii="Times New Roman" w:hAnsi="Times New Roman" w:cs="Times New Roman"/>
          <w:sz w:val="24"/>
          <w:szCs w:val="24"/>
        </w:rPr>
        <w:t>, decesso del paziente</w:t>
      </w:r>
    </w:p>
    <w:p w:rsidR="009F0D81" w:rsidRPr="009F02E3" w:rsidRDefault="009F0D81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>Calvelli e Ciglio c. Italia (GC)</w:t>
      </w:r>
      <w:r w:rsidRPr="009F02E3">
        <w:rPr>
          <w:rFonts w:ascii="Times New Roman" w:hAnsi="Times New Roman" w:cs="Times New Roman"/>
          <w:sz w:val="24"/>
          <w:szCs w:val="24"/>
        </w:rPr>
        <w:t>, 17.1.2002, ric</w:t>
      </w:r>
      <w:r w:rsidR="003701BC">
        <w:rPr>
          <w:rFonts w:ascii="Times New Roman" w:hAnsi="Times New Roman" w:cs="Times New Roman"/>
          <w:sz w:val="24"/>
          <w:szCs w:val="24"/>
        </w:rPr>
        <w:t>.</w:t>
      </w:r>
      <w:r w:rsidRPr="009F02E3">
        <w:rPr>
          <w:rFonts w:ascii="Times New Roman" w:hAnsi="Times New Roman" w:cs="Times New Roman"/>
          <w:sz w:val="24"/>
          <w:szCs w:val="24"/>
        </w:rPr>
        <w:t xml:space="preserve"> n</w:t>
      </w:r>
      <w:r w:rsidR="003701BC">
        <w:rPr>
          <w:rFonts w:ascii="Times New Roman" w:hAnsi="Times New Roman" w:cs="Times New Roman"/>
          <w:sz w:val="24"/>
          <w:szCs w:val="24"/>
        </w:rPr>
        <w:t>.</w:t>
      </w:r>
      <w:r w:rsidRPr="009F02E3">
        <w:rPr>
          <w:rFonts w:ascii="Times New Roman" w:hAnsi="Times New Roman" w:cs="Times New Roman"/>
          <w:sz w:val="24"/>
          <w:szCs w:val="24"/>
        </w:rPr>
        <w:t xml:space="preserve"> 32967/96</w:t>
      </w:r>
      <w:r w:rsidR="008A3E6C" w:rsidRPr="009F02E3">
        <w:rPr>
          <w:rFonts w:ascii="Times New Roman" w:hAnsi="Times New Roman" w:cs="Times New Roman"/>
          <w:sz w:val="24"/>
          <w:szCs w:val="24"/>
        </w:rPr>
        <w:t xml:space="preserve">, </w:t>
      </w:r>
      <w:r w:rsidRPr="009F02E3">
        <w:rPr>
          <w:rFonts w:ascii="Times New Roman" w:hAnsi="Times New Roman" w:cs="Times New Roman"/>
          <w:sz w:val="24"/>
          <w:szCs w:val="24"/>
        </w:rPr>
        <w:t xml:space="preserve">morte del figlio dopo il parto; negligenza / responsabilità medica; rimedi interni; azione penale: prescrizione; ritardi nell’inchiesta; azioni civili: effettività; </w:t>
      </w:r>
      <w:r w:rsidR="008A3E6C" w:rsidRPr="009F02E3">
        <w:rPr>
          <w:rFonts w:ascii="Times New Roman" w:hAnsi="Times New Roman" w:cs="Times New Roman"/>
          <w:sz w:val="24"/>
          <w:szCs w:val="24"/>
        </w:rPr>
        <w:t>attivazione/rinuncia</w:t>
      </w:r>
    </w:p>
    <w:p w:rsidR="00AC7079" w:rsidRPr="009F02E3" w:rsidRDefault="00AC7079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>Lopes de Sousa Fernandes c. Portogallo (IV)</w:t>
      </w:r>
      <w:r w:rsidRPr="009F02E3">
        <w:rPr>
          <w:rFonts w:ascii="Times New Roman" w:hAnsi="Times New Roman" w:cs="Times New Roman"/>
          <w:sz w:val="24"/>
          <w:szCs w:val="24"/>
        </w:rPr>
        <w:t xml:space="preserve">, 15.12.2015, ric. n. 56080/13: diritto alla vita, obblighi positive degli Stati, cure mediche, negligenza, coordinamento dello staff medico e erroneità della diagnosi, decesso del paziente (complicanze postoperatorie, meningite), </w:t>
      </w:r>
      <w:r w:rsidR="00C04FCB" w:rsidRPr="009F02E3">
        <w:rPr>
          <w:rFonts w:ascii="Times New Roman" w:hAnsi="Times New Roman" w:cs="Times New Roman"/>
          <w:sz w:val="24"/>
          <w:szCs w:val="24"/>
        </w:rPr>
        <w:t>obblighi</w:t>
      </w:r>
      <w:r w:rsidRPr="009F02E3">
        <w:rPr>
          <w:rFonts w:ascii="Times New Roman" w:hAnsi="Times New Roman" w:cs="Times New Roman"/>
          <w:sz w:val="24"/>
          <w:szCs w:val="24"/>
        </w:rPr>
        <w:t xml:space="preserve"> sostanzial</w:t>
      </w:r>
      <w:r w:rsidR="00C04FCB" w:rsidRPr="009F02E3">
        <w:rPr>
          <w:rFonts w:ascii="Times New Roman" w:hAnsi="Times New Roman" w:cs="Times New Roman"/>
          <w:sz w:val="24"/>
          <w:szCs w:val="24"/>
        </w:rPr>
        <w:t>i</w:t>
      </w:r>
      <w:r w:rsidRPr="009F02E3">
        <w:rPr>
          <w:rFonts w:ascii="Times New Roman" w:hAnsi="Times New Roman" w:cs="Times New Roman"/>
          <w:sz w:val="24"/>
          <w:szCs w:val="24"/>
        </w:rPr>
        <w:t xml:space="preserve"> e </w:t>
      </w:r>
      <w:r w:rsidR="00C04FCB" w:rsidRPr="009F02E3">
        <w:rPr>
          <w:rFonts w:ascii="Times New Roman" w:hAnsi="Times New Roman" w:cs="Times New Roman"/>
          <w:sz w:val="24"/>
          <w:szCs w:val="24"/>
        </w:rPr>
        <w:t>procedurali derivanti allo Stato da</w:t>
      </w:r>
      <w:r w:rsidRPr="009F02E3">
        <w:rPr>
          <w:rFonts w:ascii="Times New Roman" w:hAnsi="Times New Roman" w:cs="Times New Roman"/>
          <w:sz w:val="24"/>
          <w:szCs w:val="24"/>
        </w:rPr>
        <w:t xml:space="preserve">ll’art. </w:t>
      </w:r>
      <w:r w:rsidR="00C04FCB" w:rsidRPr="009F02E3">
        <w:rPr>
          <w:rFonts w:ascii="Times New Roman" w:hAnsi="Times New Roman" w:cs="Times New Roman"/>
          <w:sz w:val="24"/>
          <w:szCs w:val="24"/>
        </w:rPr>
        <w:t>2 CEDU; violazione.</w:t>
      </w:r>
    </w:p>
    <w:p w:rsidR="00E14F67" w:rsidRPr="009F02E3" w:rsidRDefault="00E14F67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B40" w:rsidRPr="009F02E3" w:rsidRDefault="0084250F" w:rsidP="0084250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 xml:space="preserve">Segue. </w:t>
      </w:r>
      <w:r w:rsidR="0075115E" w:rsidRPr="009F02E3">
        <w:rPr>
          <w:rFonts w:ascii="Times New Roman" w:hAnsi="Times New Roman" w:cs="Times New Roman"/>
          <w:sz w:val="24"/>
          <w:szCs w:val="24"/>
        </w:rPr>
        <w:t xml:space="preserve">Suicidio assistito </w:t>
      </w:r>
      <w:r w:rsidRPr="009F02E3">
        <w:rPr>
          <w:rFonts w:ascii="Times New Roman" w:hAnsi="Times New Roman" w:cs="Times New Roman"/>
          <w:sz w:val="24"/>
          <w:szCs w:val="24"/>
        </w:rPr>
        <w:t>(intervento di parenti stretti), interruzione medicale del trattamento sanitario</w:t>
      </w:r>
    </w:p>
    <w:p w:rsidR="00521B40" w:rsidRPr="009F02E3" w:rsidRDefault="0084250F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bCs/>
          <w:iCs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>Pretty c. Regno Unito</w:t>
      </w:r>
      <w:r w:rsidRPr="009F02E3">
        <w:rPr>
          <w:rFonts w:ascii="Times New Roman" w:hAnsi="Times New Roman" w:cs="Times New Roman"/>
          <w:sz w:val="24"/>
          <w:szCs w:val="24"/>
        </w:rPr>
        <w:t>, 29.7.2002, ric</w:t>
      </w:r>
      <w:r w:rsidR="003701BC">
        <w:rPr>
          <w:rFonts w:ascii="Times New Roman" w:hAnsi="Times New Roman" w:cs="Times New Roman"/>
          <w:sz w:val="24"/>
          <w:szCs w:val="24"/>
        </w:rPr>
        <w:t>.</w:t>
      </w:r>
      <w:r w:rsidRPr="009F02E3">
        <w:rPr>
          <w:rFonts w:ascii="Times New Roman" w:hAnsi="Times New Roman" w:cs="Times New Roman"/>
          <w:sz w:val="24"/>
          <w:szCs w:val="24"/>
        </w:rPr>
        <w:t xml:space="preserve"> n. 2346/02</w:t>
      </w:r>
      <w:r w:rsidR="00211C19" w:rsidRPr="009F02E3">
        <w:rPr>
          <w:rFonts w:ascii="Times New Roman" w:hAnsi="Times New Roman" w:cs="Times New Roman"/>
          <w:sz w:val="24"/>
          <w:szCs w:val="24"/>
        </w:rPr>
        <w:t xml:space="preserve">: </w:t>
      </w:r>
      <w:r w:rsidR="008B3F3C" w:rsidRPr="009F02E3">
        <w:rPr>
          <w:rFonts w:ascii="Times New Roman" w:hAnsi="Times New Roman" w:cs="Times New Roman"/>
          <w:sz w:val="24"/>
          <w:szCs w:val="24"/>
        </w:rPr>
        <w:t>diritto alla vita; diritto dell’individuo affetto da grave malattia invalidante di farsi assistere per interrompere il trattamento medico; obblighi degli Stati ex art 2 CEDU; limiti all’interpretazione evolutiva</w:t>
      </w:r>
    </w:p>
    <w:p w:rsidR="00521B40" w:rsidRPr="009F02E3" w:rsidRDefault="0084250F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bCs/>
          <w:iCs/>
          <w:sz w:val="24"/>
          <w:szCs w:val="24"/>
        </w:rPr>
        <w:t>→</w:t>
      </w:r>
      <w:r w:rsidRPr="009F02E3">
        <w:rPr>
          <w:rFonts w:ascii="Times New Roman" w:hAnsi="Times New Roman" w:cs="Times New Roman"/>
          <w:bCs/>
          <w:i/>
          <w:iCs/>
          <w:sz w:val="24"/>
          <w:szCs w:val="24"/>
          <w:u w:val="thick"/>
        </w:rPr>
        <w:t>Lambert e altri c. Francia (GC)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>, 5.6.2015, ric</w:t>
      </w:r>
      <w:r w:rsidR="003701B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 xml:space="preserve"> n</w:t>
      </w:r>
      <w:r w:rsidR="003701B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10" w:anchor="{&quot;appno&quot;:[&quot;46043/14&quot;]}" w:tgtFrame="_blank" w:history="1">
        <w:r w:rsidRPr="009F02E3">
          <w:rPr>
            <w:rStyle w:val="Collegamentoipertestual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46043/14</w:t>
        </w:r>
      </w:hyperlink>
      <w:r w:rsidRPr="009F02E3">
        <w:rPr>
          <w:rFonts w:ascii="Times New Roman" w:hAnsi="Times New Roman" w:cs="Times New Roman"/>
          <w:sz w:val="24"/>
          <w:szCs w:val="24"/>
        </w:rPr>
        <w:t>:</w:t>
      </w:r>
      <w:r w:rsidR="008B3F3C" w:rsidRPr="009F02E3">
        <w:rPr>
          <w:rFonts w:ascii="Times New Roman" w:hAnsi="Times New Roman" w:cs="Times New Roman"/>
          <w:sz w:val="24"/>
          <w:szCs w:val="24"/>
        </w:rPr>
        <w:t xml:space="preserve"> interruzione del trattamento medico in caso di paziente affetto da grave invalidità; decisione del medico a seguito di una “procedura collettiva” (legge Leonetti); disaccordi in seno alla famiglia; locus standi / legittimazione ad agire; fine della vita; margine di apprezzamento degli Stati; obblighi positivi degli Stati; quadro normativo; procedimento decisionale; rimedi giurisdizionali; non violazione</w:t>
      </w:r>
    </w:p>
    <w:p w:rsidR="008E380E" w:rsidRPr="009F02E3" w:rsidRDefault="008E380E">
      <w:pPr>
        <w:rPr>
          <w:rFonts w:ascii="Times New Roman" w:hAnsi="Times New Roman" w:cs="Times New Roman"/>
          <w:sz w:val="24"/>
          <w:szCs w:val="24"/>
        </w:rPr>
      </w:pPr>
    </w:p>
    <w:p w:rsidR="00521B40" w:rsidRPr="009F02E3" w:rsidRDefault="00521B40" w:rsidP="00AC7079">
      <w:pPr>
        <w:jc w:val="both"/>
        <w:rPr>
          <w:rFonts w:ascii="Times New Roman" w:hAnsi="Times New Roman" w:cs="Times New Roman"/>
          <w:color w:val="FF0000"/>
          <w:sz w:val="24"/>
          <w:szCs w:val="24"/>
          <w:u w:val="thick"/>
        </w:rPr>
      </w:pPr>
      <w:r w:rsidRPr="009F02E3">
        <w:rPr>
          <w:rFonts w:ascii="Times New Roman" w:hAnsi="Times New Roman" w:cs="Times New Roman"/>
          <w:color w:val="FF0000"/>
          <w:sz w:val="24"/>
          <w:szCs w:val="24"/>
          <w:u w:val="thick"/>
        </w:rPr>
        <w:t>Art. 3 CEDU (divieto di tortura, di trattamenti inumani e degradanti)</w:t>
      </w:r>
    </w:p>
    <w:p w:rsidR="00521B40" w:rsidRPr="009F02E3" w:rsidRDefault="00521B40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B40" w:rsidRPr="009F02E3" w:rsidRDefault="0049215B" w:rsidP="00D07BB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Detenzione, maltrattamenti, figure dell’art. 3, trattamento inumano</w:t>
      </w:r>
    </w:p>
    <w:p w:rsidR="0049215B" w:rsidRPr="009F02E3" w:rsidRDefault="0049215B" w:rsidP="0049215B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 xml:space="preserve">Saba c. Italie </w:t>
      </w:r>
      <w:r w:rsidRPr="009F02E3">
        <w:rPr>
          <w:rFonts w:ascii="Times New Roman" w:hAnsi="Times New Roman" w:cs="Times New Roman"/>
          <w:sz w:val="24"/>
          <w:szCs w:val="24"/>
        </w:rPr>
        <w:t>(II), 1.7.2014, ric. n. 36629/10</w:t>
      </w:r>
      <w:r w:rsidR="00DE60CA" w:rsidRPr="009F02E3">
        <w:rPr>
          <w:rFonts w:ascii="Times New Roman" w:hAnsi="Times New Roman" w:cs="Times New Roman"/>
          <w:sz w:val="24"/>
          <w:szCs w:val="24"/>
        </w:rPr>
        <w:t xml:space="preserve">: </w:t>
      </w:r>
      <w:r w:rsidR="00FF1816" w:rsidRPr="009F02E3">
        <w:rPr>
          <w:rFonts w:ascii="Times New Roman" w:hAnsi="Times New Roman" w:cs="Times New Roman"/>
          <w:sz w:val="24"/>
          <w:szCs w:val="24"/>
        </w:rPr>
        <w:t>maltrattamenti durante la detenzione; dimensione sostanziale e procedurale dell’art. 3; valutazione dei giudici interni su profili di fatto; distinzione fra le tre figure contemplate dall’art. 3; violazione</w:t>
      </w:r>
    </w:p>
    <w:p w:rsidR="007E04A2" w:rsidRPr="009F02E3" w:rsidRDefault="00D24B80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>Torreggiani e altri c. Italie</w:t>
      </w:r>
      <w:r w:rsidRPr="009F02E3">
        <w:rPr>
          <w:rFonts w:ascii="Times New Roman" w:hAnsi="Times New Roman" w:cs="Times New Roman"/>
          <w:sz w:val="24"/>
          <w:szCs w:val="24"/>
        </w:rPr>
        <w:t xml:space="preserve"> (II), 8.1.2013, ric. </w:t>
      </w:r>
      <w:r w:rsidR="003701BC">
        <w:rPr>
          <w:rFonts w:ascii="Times New Roman" w:hAnsi="Times New Roman" w:cs="Times New Roman"/>
          <w:sz w:val="24"/>
          <w:szCs w:val="24"/>
        </w:rPr>
        <w:t xml:space="preserve">nn. </w:t>
      </w:r>
      <w:r w:rsidRPr="009F02E3">
        <w:rPr>
          <w:rFonts w:ascii="Times New Roman" w:hAnsi="Times New Roman" w:cs="Times New Roman"/>
          <w:sz w:val="24"/>
          <w:szCs w:val="24"/>
        </w:rPr>
        <w:t>43517/09, 35315/10, 37818/10</w:t>
      </w:r>
      <w:r w:rsidR="00FF1816" w:rsidRPr="009F02E3">
        <w:rPr>
          <w:rFonts w:ascii="Times New Roman" w:hAnsi="Times New Roman" w:cs="Times New Roman"/>
          <w:sz w:val="24"/>
          <w:szCs w:val="24"/>
        </w:rPr>
        <w:t>: sovraffolamento carcerario; spazio vitale a disposizione dei detenuti; altre condizioni detentive; violazione; problema strutturale; sentenza pilota</w:t>
      </w:r>
    </w:p>
    <w:p w:rsidR="007E04A2" w:rsidRPr="009F02E3" w:rsidRDefault="007E04A2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3E2" w:rsidRPr="009F02E3" w:rsidRDefault="000023E2" w:rsidP="000023E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Tutela dell’ordine e della sicurezza pubblica; tortura</w:t>
      </w:r>
    </w:p>
    <w:p w:rsidR="007E04A2" w:rsidRPr="009F02E3" w:rsidRDefault="000023E2" w:rsidP="000023E2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>Cestaro c. Italia [IV]</w:t>
      </w:r>
      <w:r w:rsidRPr="009F02E3">
        <w:rPr>
          <w:rFonts w:ascii="Times New Roman" w:hAnsi="Times New Roman" w:cs="Times New Roman"/>
          <w:sz w:val="24"/>
          <w:szCs w:val="24"/>
        </w:rPr>
        <w:t>, 7.4.2015, ric. n. 6884/11</w:t>
      </w:r>
      <w:r w:rsidR="00DE60CA" w:rsidRPr="009F02E3">
        <w:rPr>
          <w:rFonts w:ascii="Times New Roman" w:hAnsi="Times New Roman" w:cs="Times New Roman"/>
          <w:sz w:val="24"/>
          <w:szCs w:val="24"/>
        </w:rPr>
        <w:t>: pratiche equivalenti a tortura da parte della polizia durante il G8 di Genova; irruzione notturna, percosse e maltrattamenti a carico di “dimostranti autorizzati” nelle scuole Diaz e Pertini</w:t>
      </w:r>
    </w:p>
    <w:p w:rsidR="007E04A2" w:rsidRPr="009F02E3" w:rsidRDefault="007E04A2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430F42" w:rsidP="00430F4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Obblighi positivi: tutela dei soggetti deboli da maltrattamenti imputabili a privati; quadro normativo adeguato</w:t>
      </w:r>
    </w:p>
    <w:p w:rsidR="007E04A2" w:rsidRPr="009F02E3" w:rsidRDefault="00430F42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→</w:t>
      </w:r>
      <w:r w:rsidRPr="009F02E3">
        <w:rPr>
          <w:rFonts w:ascii="Times New Roman" w:hAnsi="Times New Roman" w:cs="Times New Roman"/>
          <w:bCs/>
          <w:i/>
          <w:iCs/>
          <w:sz w:val="24"/>
          <w:szCs w:val="24"/>
          <w:u w:val="thick"/>
        </w:rPr>
        <w:t>O’Keeffe c. Irlanda (GC)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>, 28.1.2004, ric</w:t>
      </w:r>
      <w:r w:rsidR="003701B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 xml:space="preserve"> n</w:t>
      </w:r>
      <w:r w:rsidR="003701B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11" w:anchor="{&quot;appno&quot;:[&quot;35810/09&quot;]}" w:tgtFrame="_blank" w:history="1">
        <w:r w:rsidRPr="009F02E3">
          <w:rPr>
            <w:rStyle w:val="Collegamentoipertestual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35810/09</w:t>
        </w:r>
      </w:hyperlink>
      <w:r w:rsidR="00DE60CA" w:rsidRPr="009F02E3">
        <w:rPr>
          <w:rFonts w:ascii="Times New Roman" w:hAnsi="Times New Roman" w:cs="Times New Roman"/>
          <w:sz w:val="24"/>
          <w:szCs w:val="24"/>
        </w:rPr>
        <w:t>: abusi sessuali subiti da una studentessa in scuola irlandese finanziata dallo Stato ma gestita dalla Chiesa cattolica</w:t>
      </w:r>
    </w:p>
    <w:p w:rsidR="007E04A2" w:rsidRPr="009F02E3" w:rsidRDefault="007E04A2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E64A55" w:rsidP="00430F4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Pratiche mediche coercitive</w:t>
      </w:r>
    </w:p>
    <w:p w:rsidR="007E04A2" w:rsidRPr="009F02E3" w:rsidRDefault="00E64A55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>Jalloh c. Germania (GC)</w:t>
      </w:r>
      <w:r w:rsidRPr="009F02E3">
        <w:rPr>
          <w:rFonts w:ascii="Times New Roman" w:hAnsi="Times New Roman" w:cs="Times New Roman"/>
          <w:sz w:val="24"/>
          <w:szCs w:val="24"/>
        </w:rPr>
        <w:t>, 11.7.2006, ric</w:t>
      </w:r>
      <w:r w:rsidR="003701BC">
        <w:rPr>
          <w:rFonts w:ascii="Times New Roman" w:hAnsi="Times New Roman" w:cs="Times New Roman"/>
          <w:sz w:val="24"/>
          <w:szCs w:val="24"/>
        </w:rPr>
        <w:t xml:space="preserve">. </w:t>
      </w:r>
      <w:r w:rsidRPr="009F02E3">
        <w:rPr>
          <w:rFonts w:ascii="Times New Roman" w:hAnsi="Times New Roman" w:cs="Times New Roman"/>
          <w:sz w:val="24"/>
          <w:szCs w:val="24"/>
        </w:rPr>
        <w:t>n</w:t>
      </w:r>
      <w:r w:rsidR="003701BC">
        <w:rPr>
          <w:rFonts w:ascii="Times New Roman" w:hAnsi="Times New Roman" w:cs="Times New Roman"/>
          <w:sz w:val="24"/>
          <w:szCs w:val="24"/>
        </w:rPr>
        <w:t>.</w:t>
      </w:r>
      <w:r w:rsidRPr="009F02E3">
        <w:rPr>
          <w:rFonts w:ascii="Times New Roman" w:hAnsi="Times New Roman" w:cs="Times New Roman"/>
          <w:sz w:val="24"/>
          <w:szCs w:val="24"/>
        </w:rPr>
        <w:t xml:space="preserve"> 54810/00</w:t>
      </w:r>
      <w:r w:rsidR="00C04FCB" w:rsidRPr="009F02E3">
        <w:rPr>
          <w:rFonts w:ascii="Times New Roman" w:hAnsi="Times New Roman" w:cs="Times New Roman"/>
          <w:sz w:val="24"/>
          <w:szCs w:val="24"/>
        </w:rPr>
        <w:t>: ottenimento di prove attraverso la somministrazione coercitiva di emetici; proporzionalità; dignità umana; violazione</w:t>
      </w:r>
    </w:p>
    <w:p w:rsidR="00E64A55" w:rsidRPr="009F02E3" w:rsidRDefault="00E64A55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>V.C. c. Repubblica slovacca (IV)</w:t>
      </w:r>
      <w:r w:rsidRPr="009F02E3">
        <w:rPr>
          <w:rFonts w:ascii="Times New Roman" w:hAnsi="Times New Roman" w:cs="Times New Roman"/>
          <w:sz w:val="24"/>
          <w:szCs w:val="24"/>
        </w:rPr>
        <w:t>, 8.11.2011, ric</w:t>
      </w:r>
      <w:r w:rsidR="003701BC">
        <w:rPr>
          <w:rFonts w:ascii="Times New Roman" w:hAnsi="Times New Roman" w:cs="Times New Roman"/>
          <w:sz w:val="24"/>
          <w:szCs w:val="24"/>
        </w:rPr>
        <w:t>.</w:t>
      </w:r>
      <w:r w:rsidRPr="009F02E3">
        <w:rPr>
          <w:rFonts w:ascii="Times New Roman" w:hAnsi="Times New Roman" w:cs="Times New Roman"/>
          <w:sz w:val="24"/>
          <w:szCs w:val="24"/>
        </w:rPr>
        <w:t xml:space="preserve"> n</w:t>
      </w:r>
      <w:r w:rsidR="003701BC">
        <w:rPr>
          <w:rFonts w:ascii="Times New Roman" w:hAnsi="Times New Roman" w:cs="Times New Roman"/>
          <w:sz w:val="24"/>
          <w:szCs w:val="24"/>
        </w:rPr>
        <w:t>.</w:t>
      </w:r>
      <w:r w:rsidRPr="009F02E3">
        <w:rPr>
          <w:rFonts w:ascii="Times New Roman" w:hAnsi="Times New Roman" w:cs="Times New Roman"/>
          <w:sz w:val="24"/>
          <w:szCs w:val="24"/>
        </w:rPr>
        <w:t xml:space="preserve"> 18968/07</w:t>
      </w:r>
      <w:r w:rsidR="00C04FCB" w:rsidRPr="009F02E3">
        <w:rPr>
          <w:rFonts w:ascii="Times New Roman" w:hAnsi="Times New Roman" w:cs="Times New Roman"/>
          <w:sz w:val="24"/>
          <w:szCs w:val="24"/>
        </w:rPr>
        <w:t>: pratiche di sterilizzazione; c</w:t>
      </w:r>
      <w:r w:rsidR="00803897" w:rsidRPr="009F02E3">
        <w:rPr>
          <w:rFonts w:ascii="Times New Roman" w:hAnsi="Times New Roman" w:cs="Times New Roman"/>
          <w:sz w:val="24"/>
          <w:szCs w:val="24"/>
        </w:rPr>
        <w:t>onsenso del paziente; assenza di consenso in fatto; necessità medica</w:t>
      </w:r>
    </w:p>
    <w:p w:rsidR="00E64A55" w:rsidRPr="009F02E3" w:rsidRDefault="00E64A55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C04FCB" w:rsidP="00C04F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Allontanamento di stranieri verso Stati terzi che praticano trattamenti vietati dall’art. 3</w:t>
      </w:r>
      <w:r w:rsidR="001E2C98" w:rsidRPr="009F02E3">
        <w:rPr>
          <w:rFonts w:ascii="Times New Roman" w:hAnsi="Times New Roman" w:cs="Times New Roman"/>
          <w:sz w:val="24"/>
          <w:szCs w:val="24"/>
        </w:rPr>
        <w:t xml:space="preserve"> (ivi compresi Stati membri dell’Unione europea: casi </w:t>
      </w:r>
      <w:r w:rsidR="001E2C98" w:rsidRPr="009F02E3">
        <w:rPr>
          <w:rFonts w:ascii="Times New Roman" w:hAnsi="Times New Roman" w:cs="Times New Roman"/>
          <w:i/>
          <w:sz w:val="24"/>
          <w:szCs w:val="24"/>
        </w:rPr>
        <w:t>Tarakhel</w:t>
      </w:r>
      <w:r w:rsidR="001E2C98" w:rsidRPr="009F02E3">
        <w:rPr>
          <w:rFonts w:ascii="Times New Roman" w:hAnsi="Times New Roman" w:cs="Times New Roman"/>
          <w:sz w:val="24"/>
          <w:szCs w:val="24"/>
        </w:rPr>
        <w:t xml:space="preserve"> e </w:t>
      </w:r>
      <w:r w:rsidR="001E2C98" w:rsidRPr="009F02E3">
        <w:rPr>
          <w:rFonts w:ascii="Times New Roman" w:hAnsi="Times New Roman" w:cs="Times New Roman"/>
          <w:i/>
          <w:sz w:val="24"/>
          <w:szCs w:val="24"/>
        </w:rPr>
        <w:t>Sharifi</w:t>
      </w:r>
      <w:r w:rsidR="001E2C98" w:rsidRPr="009F02E3">
        <w:rPr>
          <w:rFonts w:ascii="Times New Roman" w:hAnsi="Times New Roman" w:cs="Times New Roman"/>
          <w:sz w:val="24"/>
          <w:szCs w:val="24"/>
        </w:rPr>
        <w:t>)</w:t>
      </w:r>
    </w:p>
    <w:p w:rsidR="007E04A2" w:rsidRPr="009F02E3" w:rsidRDefault="00874A91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 xml:space="preserve">Saadi </w:t>
      </w:r>
      <w:r w:rsidR="001334E6" w:rsidRPr="009F02E3">
        <w:rPr>
          <w:rFonts w:ascii="Times New Roman" w:hAnsi="Times New Roman" w:cs="Times New Roman"/>
          <w:i/>
          <w:sz w:val="24"/>
          <w:szCs w:val="24"/>
          <w:u w:val="thick"/>
        </w:rPr>
        <w:t>c. Italia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 xml:space="preserve"> (GC)</w:t>
      </w:r>
      <w:r w:rsidRPr="009F02E3">
        <w:rPr>
          <w:rFonts w:ascii="Times New Roman" w:hAnsi="Times New Roman" w:cs="Times New Roman"/>
          <w:sz w:val="24"/>
          <w:szCs w:val="24"/>
        </w:rPr>
        <w:t>, 28.2.2008, ric. n. 37201/06</w:t>
      </w:r>
      <w:r w:rsidR="001E2C98" w:rsidRPr="009F02E3">
        <w:rPr>
          <w:rFonts w:ascii="Times New Roman" w:hAnsi="Times New Roman" w:cs="Times New Roman"/>
          <w:sz w:val="24"/>
          <w:szCs w:val="24"/>
        </w:rPr>
        <w:t xml:space="preserve">: </w:t>
      </w:r>
      <w:r w:rsidR="00803897" w:rsidRPr="009F02E3">
        <w:rPr>
          <w:rFonts w:ascii="Times New Roman" w:hAnsi="Times New Roman" w:cs="Times New Roman"/>
          <w:sz w:val="24"/>
          <w:szCs w:val="24"/>
        </w:rPr>
        <w:t>residente tunisino, condannato in Italia e in Tunisia, espulso verso la Tunisia dove rischia di scontare trattamenti contrari all’art. 3 CEDU (condanna in absentia a 20 anni di reclusione per attività terroristiche)</w:t>
      </w:r>
    </w:p>
    <w:p w:rsidR="001334E6" w:rsidRPr="009F02E3" w:rsidRDefault="001334E6" w:rsidP="00AC707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02E3">
        <w:rPr>
          <w:rFonts w:ascii="Times New Roman" w:hAnsi="Times New Roman" w:cs="Times New Roman"/>
          <w:bCs/>
          <w:iCs/>
          <w:sz w:val="24"/>
          <w:szCs w:val="24"/>
        </w:rPr>
        <w:t>→</w:t>
      </w:r>
      <w:r w:rsidRPr="009F02E3">
        <w:rPr>
          <w:rFonts w:ascii="Times New Roman" w:hAnsi="Times New Roman" w:cs="Times New Roman"/>
          <w:bCs/>
          <w:i/>
          <w:iCs/>
          <w:sz w:val="24"/>
          <w:szCs w:val="24"/>
          <w:u w:val="thick"/>
        </w:rPr>
        <w:t>Hirsi Jamaa e altri c. Italia (GC)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>, 23.2.2012, ric. n. 27765/09</w:t>
      </w:r>
      <w:r w:rsidR="00803897" w:rsidRPr="009F02E3">
        <w:rPr>
          <w:rFonts w:ascii="Times New Roman" w:hAnsi="Times New Roman" w:cs="Times New Roman"/>
          <w:bCs/>
          <w:iCs/>
          <w:sz w:val="24"/>
          <w:szCs w:val="24"/>
        </w:rPr>
        <w:t>: respingimento in alto mare di cittadini di Stati terzi e consegna alle autorità libiche</w:t>
      </w:r>
    </w:p>
    <w:p w:rsidR="00874A91" w:rsidRPr="009F02E3" w:rsidRDefault="00874A91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bCs/>
          <w:iCs/>
          <w:sz w:val="24"/>
          <w:szCs w:val="24"/>
        </w:rPr>
        <w:t>→</w:t>
      </w:r>
      <w:r w:rsidRPr="009F02E3">
        <w:rPr>
          <w:rFonts w:ascii="Times New Roman" w:hAnsi="Times New Roman" w:cs="Times New Roman"/>
          <w:bCs/>
          <w:i/>
          <w:iCs/>
          <w:sz w:val="24"/>
          <w:szCs w:val="24"/>
          <w:u w:val="thick"/>
        </w:rPr>
        <w:t>Khlaifia e</w:t>
      </w:r>
      <w:r w:rsidR="001334E6" w:rsidRPr="009F02E3">
        <w:rPr>
          <w:rFonts w:ascii="Times New Roman" w:hAnsi="Times New Roman" w:cs="Times New Roman"/>
          <w:bCs/>
          <w:i/>
          <w:iCs/>
          <w:sz w:val="24"/>
          <w:szCs w:val="24"/>
          <w:u w:val="thick"/>
        </w:rPr>
        <w:t xml:space="preserve"> altri c. Italia</w:t>
      </w:r>
      <w:r w:rsidRPr="009F02E3">
        <w:rPr>
          <w:rFonts w:ascii="Times New Roman" w:hAnsi="Times New Roman" w:cs="Times New Roman"/>
          <w:bCs/>
          <w:i/>
          <w:iCs/>
          <w:sz w:val="24"/>
          <w:szCs w:val="24"/>
          <w:u w:val="thick"/>
        </w:rPr>
        <w:t xml:space="preserve"> (II)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>, 1.9.2015, ric</w:t>
      </w:r>
      <w:r w:rsidR="003701B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="003701B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F02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12" w:anchor="{&quot;appno&quot;:[&quot;16483/12&quot;]}" w:tgtFrame="_blank" w:history="1">
        <w:r w:rsidRPr="009F02E3">
          <w:rPr>
            <w:rStyle w:val="Collegamentoipertestual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16483/12</w:t>
        </w:r>
      </w:hyperlink>
      <w:r w:rsidR="001E2C98" w:rsidRPr="009F02E3">
        <w:rPr>
          <w:rFonts w:ascii="Times New Roman" w:hAnsi="Times New Roman" w:cs="Times New Roman"/>
          <w:sz w:val="24"/>
          <w:szCs w:val="24"/>
        </w:rPr>
        <w:t xml:space="preserve">: </w:t>
      </w:r>
      <w:r w:rsidR="00803897" w:rsidRPr="009F02E3">
        <w:rPr>
          <w:rFonts w:ascii="Times New Roman" w:hAnsi="Times New Roman" w:cs="Times New Roman"/>
          <w:sz w:val="24"/>
          <w:szCs w:val="24"/>
        </w:rPr>
        <w:t>espulsione collettiva di migranti senza identificazione, dal porto di Lampedusa a Tunisi, in violazione degli art.  4 Protocollo 4, 3 e 13 CEDU</w:t>
      </w:r>
    </w:p>
    <w:p w:rsidR="001334E6" w:rsidRPr="009F02E3" w:rsidRDefault="001334E6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 xml:space="preserve">Tarakhel </w:t>
      </w:r>
      <w:r w:rsidR="009F02E3">
        <w:rPr>
          <w:rFonts w:ascii="Times New Roman" w:hAnsi="Times New Roman" w:cs="Times New Roman"/>
          <w:i/>
          <w:sz w:val="24"/>
          <w:szCs w:val="24"/>
          <w:u w:val="thick"/>
        </w:rPr>
        <w:t>c. Svizzera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 xml:space="preserve"> (GC)</w:t>
      </w:r>
      <w:r w:rsidRPr="009F02E3">
        <w:rPr>
          <w:rFonts w:ascii="Times New Roman" w:hAnsi="Times New Roman" w:cs="Times New Roman"/>
          <w:sz w:val="24"/>
          <w:szCs w:val="24"/>
        </w:rPr>
        <w:t>, 4.11.2014, ric. n. 29217/12</w:t>
      </w:r>
      <w:r w:rsidR="001E2C98" w:rsidRPr="009F02E3">
        <w:rPr>
          <w:rFonts w:ascii="Times New Roman" w:hAnsi="Times New Roman" w:cs="Times New Roman"/>
          <w:sz w:val="24"/>
          <w:szCs w:val="24"/>
        </w:rPr>
        <w:t>: rischio di respingimento verso l’Italia di cittadini di Stati terzi da parte della Confederazione elvetica</w:t>
      </w:r>
    </w:p>
    <w:p w:rsidR="001334E6" w:rsidRPr="009F02E3" w:rsidRDefault="001334E6" w:rsidP="00A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9F02E3">
        <w:rPr>
          <w:rFonts w:ascii="Times New Roman" w:hAnsi="Times New Roman" w:cs="Times New Roman"/>
          <w:sz w:val="24"/>
          <w:szCs w:val="24"/>
        </w:rPr>
        <w:t>→</w:t>
      </w:r>
      <w:r w:rsidRPr="009F02E3">
        <w:rPr>
          <w:rFonts w:ascii="Times New Roman" w:hAnsi="Times New Roman" w:cs="Times New Roman"/>
          <w:i/>
          <w:sz w:val="24"/>
          <w:szCs w:val="24"/>
          <w:u w:val="thick"/>
        </w:rPr>
        <w:t>Sharifi e altri c. Italia e Grecia</w:t>
      </w:r>
      <w:r w:rsidRPr="009F02E3">
        <w:rPr>
          <w:rFonts w:ascii="Times New Roman" w:hAnsi="Times New Roman" w:cs="Times New Roman"/>
          <w:sz w:val="24"/>
          <w:szCs w:val="24"/>
        </w:rPr>
        <w:t xml:space="preserve"> (II), 21.10.2014, ric. n. 16643/09</w:t>
      </w:r>
      <w:r w:rsidR="001E2C98" w:rsidRPr="009F02E3">
        <w:rPr>
          <w:rFonts w:ascii="Times New Roman" w:hAnsi="Times New Roman" w:cs="Times New Roman"/>
          <w:sz w:val="24"/>
          <w:szCs w:val="24"/>
        </w:rPr>
        <w:t xml:space="preserve">: respingimenti verso la Grecia di cittadini di Stati terzi </w:t>
      </w:r>
    </w:p>
    <w:p w:rsidR="001334E6" w:rsidRPr="009F02E3" w:rsidRDefault="001334E6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A91" w:rsidRPr="009F02E3" w:rsidRDefault="00874A91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FCB" w:rsidRPr="009F02E3" w:rsidRDefault="00C04FCB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 w:rsidP="00AC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>
      <w:pPr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>
      <w:pPr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>
      <w:pPr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>
      <w:pPr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>
      <w:pPr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>
      <w:pPr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>
      <w:pPr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>
      <w:pPr>
        <w:rPr>
          <w:rFonts w:ascii="Times New Roman" w:hAnsi="Times New Roman" w:cs="Times New Roman"/>
          <w:sz w:val="24"/>
          <w:szCs w:val="24"/>
        </w:rPr>
      </w:pPr>
    </w:p>
    <w:p w:rsidR="007E04A2" w:rsidRPr="009F02E3" w:rsidRDefault="007E04A2">
      <w:pPr>
        <w:rPr>
          <w:rFonts w:ascii="Times New Roman" w:hAnsi="Times New Roman" w:cs="Times New Roman"/>
          <w:sz w:val="24"/>
          <w:szCs w:val="24"/>
        </w:rPr>
      </w:pPr>
    </w:p>
    <w:sectPr w:rsidR="007E04A2" w:rsidRPr="009F02E3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59A" w:rsidRDefault="00DF359A" w:rsidP="009338E1">
      <w:pPr>
        <w:spacing w:after="0" w:line="240" w:lineRule="auto"/>
      </w:pPr>
      <w:r>
        <w:separator/>
      </w:r>
    </w:p>
  </w:endnote>
  <w:endnote w:type="continuationSeparator" w:id="0">
    <w:p w:rsidR="00DF359A" w:rsidRDefault="00DF359A" w:rsidP="0093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017148"/>
      <w:docPartObj>
        <w:docPartGallery w:val="Page Numbers (Bottom of Page)"/>
        <w:docPartUnique/>
      </w:docPartObj>
    </w:sdtPr>
    <w:sdtEndPr/>
    <w:sdtContent>
      <w:p w:rsidR="009338E1" w:rsidRDefault="00933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1BC">
          <w:rPr>
            <w:noProof/>
          </w:rPr>
          <w:t>1</w:t>
        </w:r>
        <w:r>
          <w:fldChar w:fldCharType="end"/>
        </w:r>
      </w:p>
    </w:sdtContent>
  </w:sdt>
  <w:p w:rsidR="009338E1" w:rsidRDefault="009338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59A" w:rsidRDefault="00DF359A" w:rsidP="009338E1">
      <w:pPr>
        <w:spacing w:after="0" w:line="240" w:lineRule="auto"/>
      </w:pPr>
      <w:r>
        <w:separator/>
      </w:r>
    </w:p>
  </w:footnote>
  <w:footnote w:type="continuationSeparator" w:id="0">
    <w:p w:rsidR="00DF359A" w:rsidRDefault="00DF359A" w:rsidP="0093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7087B"/>
    <w:multiLevelType w:val="hybridMultilevel"/>
    <w:tmpl w:val="0010E2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30D02"/>
    <w:multiLevelType w:val="hybridMultilevel"/>
    <w:tmpl w:val="513279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A2"/>
    <w:rsid w:val="000023E2"/>
    <w:rsid w:val="001334E6"/>
    <w:rsid w:val="001E2C98"/>
    <w:rsid w:val="001F764D"/>
    <w:rsid w:val="00211C19"/>
    <w:rsid w:val="00245CC0"/>
    <w:rsid w:val="00294E3F"/>
    <w:rsid w:val="003701BC"/>
    <w:rsid w:val="00430F42"/>
    <w:rsid w:val="0049215B"/>
    <w:rsid w:val="00521B40"/>
    <w:rsid w:val="00533FC9"/>
    <w:rsid w:val="006169CB"/>
    <w:rsid w:val="0075115E"/>
    <w:rsid w:val="007E04A2"/>
    <w:rsid w:val="00803897"/>
    <w:rsid w:val="0084250F"/>
    <w:rsid w:val="00874A91"/>
    <w:rsid w:val="008A3E6C"/>
    <w:rsid w:val="008B3F3C"/>
    <w:rsid w:val="008E380E"/>
    <w:rsid w:val="009338E1"/>
    <w:rsid w:val="0099530D"/>
    <w:rsid w:val="009F02E3"/>
    <w:rsid w:val="009F0D81"/>
    <w:rsid w:val="00A0254C"/>
    <w:rsid w:val="00AC7079"/>
    <w:rsid w:val="00B90E63"/>
    <w:rsid w:val="00C04FCB"/>
    <w:rsid w:val="00D07BBD"/>
    <w:rsid w:val="00D24B80"/>
    <w:rsid w:val="00D306EA"/>
    <w:rsid w:val="00D60E31"/>
    <w:rsid w:val="00DA3646"/>
    <w:rsid w:val="00DE60CA"/>
    <w:rsid w:val="00DF359A"/>
    <w:rsid w:val="00E14F67"/>
    <w:rsid w:val="00E64A55"/>
    <w:rsid w:val="00FC5389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22F3-BBAD-4CFC-A33B-CC4DF6E6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4F6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425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3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8E1"/>
  </w:style>
  <w:style w:type="paragraph" w:styleId="Pidipagina">
    <w:name w:val="footer"/>
    <w:basedOn w:val="Normale"/>
    <w:link w:val="PidipaginaCarattere"/>
    <w:uiPriority w:val="99"/>
    <w:unhideWhenUsed/>
    <w:rsid w:val="00933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doc.echr.coe.int/e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udoc.echr.coe.int/eng" TargetMode="External"/><Relationship Id="rId12" Type="http://schemas.openxmlformats.org/officeDocument/2006/relationships/hyperlink" Target="http://hudoc.echr.coe.int/e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udoc.echr.coe.int/e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udoc.echr.coe.int/e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Amadeo</dc:creator>
  <cp:keywords/>
  <dc:description/>
  <cp:lastModifiedBy>Amadeo</cp:lastModifiedBy>
  <cp:revision>23</cp:revision>
  <dcterms:created xsi:type="dcterms:W3CDTF">2015-12-17T06:13:00Z</dcterms:created>
  <dcterms:modified xsi:type="dcterms:W3CDTF">2015-12-24T08:43:00Z</dcterms:modified>
</cp:coreProperties>
</file>