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566C7" w:rsidRPr="00FE23E6" w:rsidRDefault="000566C7" w:rsidP="000566C7">
      <w:pPr>
        <w:spacing w:after="0" w:line="240" w:lineRule="auto"/>
        <w:jc w:val="both"/>
        <w:rPr>
          <w:rFonts w:asciiTheme="majorHAnsi" w:hAnsiTheme="majorHAnsi"/>
          <w:b/>
        </w:rPr>
      </w:pPr>
      <w:r w:rsidRPr="00FE23E6">
        <w:rPr>
          <w:rFonts w:asciiTheme="majorHAnsi" w:hAnsiTheme="majorHAnsi"/>
          <w:b/>
        </w:rPr>
        <w:t>Traduzione audiovisiva</w:t>
      </w:r>
    </w:p>
    <w:p w:rsidR="0081057E" w:rsidRPr="00FE23E6" w:rsidRDefault="0081057E" w:rsidP="0083186B">
      <w:pPr>
        <w:spacing w:after="0" w:line="240" w:lineRule="auto"/>
        <w:jc w:val="both"/>
        <w:rPr>
          <w:rFonts w:asciiTheme="majorHAnsi" w:hAnsiTheme="majorHAnsi"/>
        </w:rPr>
      </w:pPr>
    </w:p>
    <w:p w:rsidR="000566C7" w:rsidRPr="00FE23E6" w:rsidRDefault="000566C7" w:rsidP="0083186B">
      <w:pPr>
        <w:spacing w:after="0" w:line="240" w:lineRule="auto"/>
        <w:jc w:val="both"/>
        <w:rPr>
          <w:rFonts w:asciiTheme="majorHAnsi" w:hAnsiTheme="majorHAnsi"/>
        </w:rPr>
      </w:pPr>
      <w:r w:rsidRPr="00FE23E6">
        <w:rPr>
          <w:rFonts w:asciiTheme="majorHAnsi" w:hAnsiTheme="majorHAnsi"/>
        </w:rPr>
        <w:t xml:space="preserve">C. Taylor e E. Perego, </w:t>
      </w:r>
      <w:r w:rsidR="002C40C7" w:rsidRPr="00FE23E6">
        <w:rPr>
          <w:rFonts w:asciiTheme="majorHAnsi" w:hAnsiTheme="majorHAnsi"/>
        </w:rPr>
        <w:t xml:space="preserve">266 SL, </w:t>
      </w:r>
      <w:r w:rsidRPr="00FE23E6">
        <w:rPr>
          <w:rFonts w:asciiTheme="majorHAnsi" w:hAnsiTheme="majorHAnsi"/>
        </w:rPr>
        <w:t>6 CFU, a.a. 2014/15</w:t>
      </w:r>
    </w:p>
    <w:p w:rsidR="000566C7" w:rsidRPr="00FE23E6" w:rsidRDefault="000566C7" w:rsidP="0083186B">
      <w:pPr>
        <w:spacing w:after="0" w:line="240" w:lineRule="auto"/>
        <w:jc w:val="both"/>
        <w:rPr>
          <w:rFonts w:asciiTheme="majorHAnsi" w:hAnsiTheme="majorHAnsi"/>
        </w:rPr>
      </w:pPr>
    </w:p>
    <w:p w:rsidR="00C90981" w:rsidRPr="00FE23E6" w:rsidRDefault="00FE23E6" w:rsidP="0083186B">
      <w:pPr>
        <w:spacing w:line="240" w:lineRule="auto"/>
        <w:rPr>
          <w:rFonts w:asciiTheme="majorHAnsi" w:hAnsiTheme="majorHAnsi"/>
        </w:rPr>
      </w:pPr>
      <w:r w:rsidRPr="00FE23E6">
        <w:rPr>
          <w:rFonts w:asciiTheme="majorHAnsi" w:hAnsiTheme="majorHAnsi"/>
          <w:b/>
        </w:rPr>
        <w:t>Contenuti</w:t>
      </w:r>
      <w:r>
        <w:rPr>
          <w:rFonts w:asciiTheme="majorHAnsi" w:hAnsiTheme="majorHAnsi"/>
        </w:rPr>
        <w:t xml:space="preserve">: </w:t>
      </w:r>
      <w:r w:rsidR="000566C7" w:rsidRPr="00FE23E6">
        <w:rPr>
          <w:rFonts w:asciiTheme="majorHAnsi" w:hAnsiTheme="majorHAnsi"/>
        </w:rPr>
        <w:t>Dopo aver introdotto il concetto di traduzione audiovisiva (TAV) e averne tracciato brevemente la storia, il corso si concentrerà su due forme di TAV rivolte a</w:t>
      </w:r>
      <w:r w:rsidR="00B141FD" w:rsidRPr="00FE23E6">
        <w:rPr>
          <w:rFonts w:asciiTheme="majorHAnsi" w:hAnsiTheme="majorHAnsi"/>
        </w:rPr>
        <w:t>l</w:t>
      </w:r>
      <w:r w:rsidR="000566C7" w:rsidRPr="00FE23E6">
        <w:rPr>
          <w:rFonts w:asciiTheme="majorHAnsi" w:hAnsiTheme="majorHAnsi"/>
        </w:rPr>
        <w:t xml:space="preserve"> pubblico con disabilità sensoriali: la sottotitolazione per i sordi e i sordastri, e l’audiodescrizione per i ciechi e gli ipovedenti.</w:t>
      </w:r>
      <w:r w:rsidR="00556B57" w:rsidRPr="00FE23E6">
        <w:rPr>
          <w:rFonts w:asciiTheme="majorHAnsi" w:hAnsiTheme="majorHAnsi"/>
        </w:rPr>
        <w:t xml:space="preserve"> La sottotitolazione per i sordi e i sordastri sarà affrontata parallelamente a quella standard in modo da metterne in evidenza le differenze</w:t>
      </w:r>
      <w:r w:rsidR="0004217E" w:rsidRPr="00FE23E6">
        <w:rPr>
          <w:rFonts w:asciiTheme="majorHAnsi" w:hAnsiTheme="majorHAnsi"/>
        </w:rPr>
        <w:t xml:space="preserve"> dopo aver affrontato questioni legate alla nascita, alla natura, alle forme e alle strategie della sottotitolazione standard. </w:t>
      </w:r>
      <w:r w:rsidR="00C90981" w:rsidRPr="00FE23E6">
        <w:rPr>
          <w:rFonts w:asciiTheme="majorHAnsi" w:hAnsiTheme="majorHAnsi"/>
        </w:rPr>
        <w:t xml:space="preserve">L’audiodescrizione (AD) è una pratica che consiste nell’inserzione, tra un dialogo e l’altro, di una descrizione orale delle scene rilevanti di un prodotto audiovisivo. Si tratta della “resa verbale del canale visuale”. L’AD si usa anche per descrivere spettacoli teatrali, mostre nei musei, eventi dal vivo, etc. Il corso illustrerà gli sviluppi più recenti dell’AD ed esaminerà tutti gli aspetti del processo, a partire dalle esigenze dell’utente all’analisi del testo, per poi considerare il tema delle linee guida volte a creare un’AD adatta alle reali esigenze di comprensione e di apprezzamento di ciechi e ipovedenti (cioè gli utenti finali). </w:t>
      </w:r>
    </w:p>
    <w:p w:rsidR="00FE23E6" w:rsidRDefault="00FE23E6" w:rsidP="00FE23E6">
      <w:pPr>
        <w:spacing w:after="0" w:line="240" w:lineRule="auto"/>
        <w:jc w:val="both"/>
        <w:rPr>
          <w:rFonts w:asciiTheme="majorHAnsi" w:hAnsiTheme="majorHAnsi"/>
        </w:rPr>
      </w:pPr>
      <w:r w:rsidRPr="00FE23E6">
        <w:rPr>
          <w:rFonts w:asciiTheme="majorHAnsi" w:hAnsiTheme="majorHAnsi"/>
          <w:b/>
        </w:rPr>
        <w:t>Obiettivi</w:t>
      </w:r>
      <w:r w:rsidRPr="00FE23E6">
        <w:rPr>
          <w:rFonts w:asciiTheme="majorHAnsi" w:hAnsiTheme="majorHAnsi"/>
        </w:rPr>
        <w:t xml:space="preserve">: acquisire gli strumenti per capire e riflettere sulla sottotitolazione per i sordi e l’audiodescrizione per i ciechi; acquisire una sufficiente competenza linguistica e meta-linguistica di base nel campo della traduzione audiovisiva; acquisire gli strumenti adeguati per affrontare l'analisi di testi sottotitolati e audiodescritti, identificare, discutere e scegliere le strategie di traduzione più adatte da impiegare in situazioni specifiche; identificare e risolvere possibili errori di traduzione. </w:t>
      </w:r>
    </w:p>
    <w:p w:rsidR="00E61D5F" w:rsidRDefault="00E61D5F" w:rsidP="00E61D5F">
      <w:pPr>
        <w:spacing w:after="0" w:line="240" w:lineRule="auto"/>
        <w:jc w:val="both"/>
        <w:rPr>
          <w:rFonts w:asciiTheme="majorHAnsi" w:hAnsiTheme="majorHAnsi"/>
          <w:b/>
        </w:rPr>
      </w:pPr>
    </w:p>
    <w:p w:rsidR="00E61D5F" w:rsidRDefault="00E61D5F" w:rsidP="0083186B">
      <w:pPr>
        <w:spacing w:after="0" w:line="240" w:lineRule="auto"/>
        <w:jc w:val="both"/>
        <w:rPr>
          <w:rFonts w:asciiTheme="majorHAnsi" w:hAnsiTheme="majorHAnsi"/>
        </w:rPr>
      </w:pPr>
      <w:r w:rsidRPr="00FE23E6">
        <w:rPr>
          <w:rFonts w:asciiTheme="majorHAnsi" w:hAnsiTheme="majorHAnsi"/>
          <w:b/>
        </w:rPr>
        <w:t>Metodi didattici</w:t>
      </w:r>
      <w:r w:rsidRPr="00FE23E6">
        <w:rPr>
          <w:rFonts w:asciiTheme="majorHAnsi" w:hAnsiTheme="majorHAnsi"/>
        </w:rPr>
        <w:t>: lezioni frontali in lingua italiana, esercizi individuali in classe e a casa, correzione e discussione degli esercizi svolti, discussione della letteratura in classe.</w:t>
      </w:r>
    </w:p>
    <w:p w:rsidR="00FE23E6" w:rsidRDefault="00FE23E6" w:rsidP="0083186B">
      <w:pPr>
        <w:spacing w:after="0" w:line="240" w:lineRule="auto"/>
        <w:jc w:val="both"/>
        <w:rPr>
          <w:rFonts w:asciiTheme="majorHAnsi" w:hAnsiTheme="majorHAnsi"/>
        </w:rPr>
      </w:pPr>
    </w:p>
    <w:p w:rsidR="00FE23E6" w:rsidRDefault="000566C7" w:rsidP="0083186B">
      <w:pPr>
        <w:spacing w:after="0" w:line="240" w:lineRule="auto"/>
        <w:jc w:val="both"/>
        <w:rPr>
          <w:rFonts w:asciiTheme="majorHAnsi" w:hAnsiTheme="majorHAnsi"/>
        </w:rPr>
      </w:pPr>
      <w:r w:rsidRPr="00FE23E6">
        <w:rPr>
          <w:rFonts w:asciiTheme="majorHAnsi" w:hAnsiTheme="majorHAnsi"/>
        </w:rPr>
        <w:t>L'</w:t>
      </w:r>
      <w:r w:rsidRPr="00FE23E6">
        <w:rPr>
          <w:rFonts w:asciiTheme="majorHAnsi" w:hAnsiTheme="majorHAnsi"/>
          <w:b/>
        </w:rPr>
        <w:t>esame finale</w:t>
      </w:r>
      <w:r w:rsidRPr="00FE23E6">
        <w:rPr>
          <w:rFonts w:asciiTheme="majorHAnsi" w:hAnsiTheme="majorHAnsi"/>
        </w:rPr>
        <w:t xml:space="preserve"> è scritto</w:t>
      </w:r>
      <w:r w:rsidR="001F03A8">
        <w:rPr>
          <w:rFonts w:asciiTheme="majorHAnsi" w:hAnsiTheme="majorHAnsi"/>
        </w:rPr>
        <w:t>, dura 2 ore,</w:t>
      </w:r>
      <w:r w:rsidRPr="00FE23E6">
        <w:rPr>
          <w:rFonts w:asciiTheme="majorHAnsi" w:hAnsiTheme="majorHAnsi"/>
        </w:rPr>
        <w:t xml:space="preserve"> e non si diversifica per gli studenti frequentanti e non frequentanti.</w:t>
      </w:r>
      <w:r w:rsidR="00480102" w:rsidRPr="00FE23E6">
        <w:rPr>
          <w:rFonts w:asciiTheme="majorHAnsi" w:hAnsiTheme="majorHAnsi"/>
        </w:rPr>
        <w:t xml:space="preserve"> </w:t>
      </w:r>
      <w:r w:rsidRPr="00FE23E6">
        <w:rPr>
          <w:rFonts w:asciiTheme="majorHAnsi" w:hAnsiTheme="majorHAnsi"/>
        </w:rPr>
        <w:t xml:space="preserve">L’esame </w:t>
      </w:r>
      <w:r w:rsidR="00480102" w:rsidRPr="00FE23E6">
        <w:rPr>
          <w:rFonts w:asciiTheme="majorHAnsi" w:hAnsiTheme="majorHAnsi"/>
        </w:rPr>
        <w:t xml:space="preserve">consisterà nella stesura di un </w:t>
      </w:r>
      <w:r w:rsidR="001F03A8">
        <w:rPr>
          <w:rFonts w:asciiTheme="majorHAnsi" w:hAnsiTheme="majorHAnsi"/>
        </w:rPr>
        <w:t xml:space="preserve">commento relativo a un video sottotitolato per sordi della durata di max. 5 minuti, e </w:t>
      </w:r>
      <w:r w:rsidR="00E61D5F">
        <w:rPr>
          <w:rFonts w:asciiTheme="majorHAnsi" w:hAnsiTheme="majorHAnsi"/>
        </w:rPr>
        <w:t xml:space="preserve">di </w:t>
      </w:r>
      <w:r w:rsidR="001F03A8">
        <w:rPr>
          <w:rFonts w:asciiTheme="majorHAnsi" w:hAnsiTheme="majorHAnsi"/>
        </w:rPr>
        <w:t xml:space="preserve">un commento relativo a un filmato audiodescritto per ciechi della durata di max. 5 minuti. Gli studenti guarderanno </w:t>
      </w:r>
      <w:r w:rsidR="00E61D5F">
        <w:rPr>
          <w:rFonts w:asciiTheme="majorHAnsi" w:hAnsiTheme="majorHAnsi"/>
        </w:rPr>
        <w:t xml:space="preserve">ogni </w:t>
      </w:r>
      <w:r w:rsidR="001F03A8">
        <w:rPr>
          <w:rFonts w:asciiTheme="majorHAnsi" w:hAnsiTheme="majorHAnsi"/>
        </w:rPr>
        <w:t xml:space="preserve">video </w:t>
      </w:r>
      <w:r w:rsidR="00E61D5F">
        <w:rPr>
          <w:rFonts w:asciiTheme="majorHAnsi" w:hAnsiTheme="majorHAnsi"/>
        </w:rPr>
        <w:t xml:space="preserve">più </w:t>
      </w:r>
      <w:r w:rsidR="001F03A8">
        <w:rPr>
          <w:rFonts w:asciiTheme="majorHAnsi" w:hAnsiTheme="majorHAnsi"/>
        </w:rPr>
        <w:t xml:space="preserve">volte e sulla base degli appunti presi </w:t>
      </w:r>
      <w:r w:rsidR="00E61D5F">
        <w:rPr>
          <w:rFonts w:asciiTheme="majorHAnsi" w:hAnsiTheme="majorHAnsi"/>
        </w:rPr>
        <w:t xml:space="preserve">durante la visione </w:t>
      </w:r>
      <w:r w:rsidR="001F03A8">
        <w:rPr>
          <w:rFonts w:asciiTheme="majorHAnsi" w:hAnsiTheme="majorHAnsi"/>
        </w:rPr>
        <w:t>dovranno stendere un commento mettendo in evidenza i punti forti e i punti deboli di ciascuna traduzione accessibile</w:t>
      </w:r>
      <w:r w:rsidR="00E61D5F">
        <w:rPr>
          <w:rFonts w:asciiTheme="majorHAnsi" w:hAnsiTheme="majorHAnsi"/>
        </w:rPr>
        <w:t>. Dovranno produrre un commento ben organizzato e coerente, scritto in ottimo italiano.</w:t>
      </w:r>
    </w:p>
    <w:p w:rsidR="00FE23E6" w:rsidRPr="00FE23E6" w:rsidRDefault="00FE23E6" w:rsidP="0083186B">
      <w:pPr>
        <w:spacing w:after="0" w:line="240" w:lineRule="auto"/>
        <w:jc w:val="both"/>
        <w:rPr>
          <w:rFonts w:asciiTheme="majorHAnsi" w:hAnsiTheme="majorHAnsi"/>
        </w:rPr>
      </w:pPr>
    </w:p>
    <w:p w:rsidR="000566C7" w:rsidRDefault="000566C7" w:rsidP="0083186B">
      <w:pPr>
        <w:spacing w:line="240" w:lineRule="auto"/>
        <w:rPr>
          <w:rFonts w:asciiTheme="majorHAnsi" w:hAnsiTheme="majorHAnsi"/>
          <w:b/>
        </w:rPr>
      </w:pPr>
      <w:r w:rsidRPr="00FE23E6">
        <w:rPr>
          <w:rFonts w:asciiTheme="majorHAnsi" w:hAnsiTheme="majorHAnsi"/>
          <w:b/>
        </w:rPr>
        <w:t>Materiali</w:t>
      </w:r>
    </w:p>
    <w:p w:rsidR="00FE23E6" w:rsidRPr="00B17F2C" w:rsidRDefault="00FE23E6" w:rsidP="00B17F2C">
      <w:pPr>
        <w:pStyle w:val="Paragrafoelenco"/>
        <w:numPr>
          <w:ilvl w:val="0"/>
          <w:numId w:val="5"/>
        </w:numPr>
        <w:spacing w:line="240" w:lineRule="auto"/>
        <w:rPr>
          <w:rFonts w:asciiTheme="majorHAnsi" w:hAnsiTheme="majorHAnsi"/>
          <w:b/>
        </w:rPr>
      </w:pPr>
      <w:r w:rsidRPr="00B17F2C">
        <w:rPr>
          <w:rFonts w:asciiTheme="majorHAnsi" w:hAnsiTheme="majorHAnsi"/>
          <w:b/>
        </w:rPr>
        <w:t xml:space="preserve">Per </w:t>
      </w:r>
      <w:r w:rsidR="00CE4BE8">
        <w:rPr>
          <w:rFonts w:asciiTheme="majorHAnsi" w:hAnsiTheme="majorHAnsi"/>
          <w:b/>
        </w:rPr>
        <w:t>la parte</w:t>
      </w:r>
      <w:r w:rsidRPr="00B17F2C">
        <w:rPr>
          <w:rFonts w:asciiTheme="majorHAnsi" w:hAnsiTheme="majorHAnsi"/>
          <w:b/>
        </w:rPr>
        <w:t xml:space="preserve"> sulla sottotitolazione:</w:t>
      </w:r>
    </w:p>
    <w:p w:rsidR="00FE23E6" w:rsidRPr="00FE23E6" w:rsidRDefault="00FE23E6" w:rsidP="00FE23E6">
      <w:pPr>
        <w:spacing w:line="240" w:lineRule="auto"/>
        <w:rPr>
          <w:rFonts w:asciiTheme="majorHAnsi" w:hAnsiTheme="majorHAnsi"/>
        </w:rPr>
      </w:pPr>
      <w:r w:rsidRPr="00FE23E6">
        <w:rPr>
          <w:rFonts w:asciiTheme="majorHAnsi" w:hAnsiTheme="majorHAnsi"/>
        </w:rPr>
        <w:t xml:space="preserve">Perego, E. (2005). </w:t>
      </w:r>
      <w:r w:rsidRPr="00FE23E6">
        <w:rPr>
          <w:rFonts w:asciiTheme="majorHAnsi" w:hAnsiTheme="majorHAnsi"/>
          <w:i/>
        </w:rPr>
        <w:t>La traduzione audiovisiva</w:t>
      </w:r>
      <w:r w:rsidRPr="00FE23E6">
        <w:rPr>
          <w:rFonts w:asciiTheme="majorHAnsi" w:hAnsiTheme="majorHAnsi"/>
        </w:rPr>
        <w:t>. Roma: Carocci.</w:t>
      </w:r>
    </w:p>
    <w:p w:rsidR="00FE23E6" w:rsidRDefault="00FE23E6" w:rsidP="00FE23E6">
      <w:pPr>
        <w:spacing w:line="240" w:lineRule="auto"/>
        <w:rPr>
          <w:rFonts w:asciiTheme="majorHAnsi" w:hAnsiTheme="majorHAnsi"/>
        </w:rPr>
      </w:pPr>
      <w:r w:rsidRPr="00FE23E6">
        <w:rPr>
          <w:rFonts w:asciiTheme="majorHAnsi" w:hAnsiTheme="majorHAnsi"/>
        </w:rPr>
        <w:t xml:space="preserve">Perego, E. &amp; Taylor, C. (2012). </w:t>
      </w:r>
      <w:r w:rsidRPr="00024D39">
        <w:rPr>
          <w:rFonts w:asciiTheme="majorHAnsi" w:hAnsiTheme="majorHAnsi"/>
          <w:i/>
        </w:rPr>
        <w:t>Tradurre l’audiovisivo</w:t>
      </w:r>
      <w:r w:rsidRPr="00024D39">
        <w:rPr>
          <w:rFonts w:asciiTheme="majorHAnsi" w:hAnsiTheme="majorHAnsi"/>
        </w:rPr>
        <w:t xml:space="preserve">. </w:t>
      </w:r>
      <w:r w:rsidRPr="00FE23E6">
        <w:rPr>
          <w:rFonts w:asciiTheme="majorHAnsi" w:hAnsiTheme="majorHAnsi"/>
        </w:rPr>
        <w:t xml:space="preserve">Roma: Carocci [cap. 1, </w:t>
      </w:r>
      <w:r w:rsidR="00024D39">
        <w:rPr>
          <w:rFonts w:asciiTheme="majorHAnsi" w:hAnsiTheme="majorHAnsi"/>
        </w:rPr>
        <w:t xml:space="preserve">2, </w:t>
      </w:r>
      <w:r w:rsidRPr="00FE23E6">
        <w:rPr>
          <w:rFonts w:asciiTheme="majorHAnsi" w:hAnsiTheme="majorHAnsi"/>
        </w:rPr>
        <w:t>5, 11]</w:t>
      </w:r>
      <w:r w:rsidR="001F6B3D">
        <w:rPr>
          <w:rFonts w:asciiTheme="majorHAnsi" w:hAnsiTheme="majorHAnsi"/>
        </w:rPr>
        <w:t>.</w:t>
      </w:r>
    </w:p>
    <w:p w:rsidR="001F6B3D" w:rsidRPr="00FE23E6" w:rsidRDefault="001F6B3D" w:rsidP="00FE23E6">
      <w:pPr>
        <w:spacing w:line="240" w:lineRule="auto"/>
        <w:rPr>
          <w:rFonts w:asciiTheme="majorHAnsi" w:hAnsiTheme="majorHAnsi"/>
        </w:rPr>
      </w:pPr>
      <w:r>
        <w:rPr>
          <w:rFonts w:asciiTheme="majorHAnsi" w:hAnsiTheme="majorHAnsi"/>
        </w:rPr>
        <w:t xml:space="preserve">Mortara Garavelli, B. (2007 o altre edizioni). </w:t>
      </w:r>
      <w:r w:rsidRPr="001F6B3D">
        <w:rPr>
          <w:rFonts w:asciiTheme="majorHAnsi" w:hAnsiTheme="majorHAnsi"/>
          <w:i/>
        </w:rPr>
        <w:t>Prontuario di punteggiatura</w:t>
      </w:r>
      <w:r>
        <w:rPr>
          <w:rFonts w:asciiTheme="majorHAnsi" w:hAnsiTheme="majorHAnsi"/>
        </w:rPr>
        <w:t>. Bari: Laterza.</w:t>
      </w:r>
    </w:p>
    <w:p w:rsidR="00FE23E6" w:rsidRPr="00E61D5F" w:rsidRDefault="00E61D5F" w:rsidP="00E61D5F">
      <w:pPr>
        <w:pStyle w:val="Paragrafoelenco"/>
        <w:numPr>
          <w:ilvl w:val="0"/>
          <w:numId w:val="5"/>
        </w:numPr>
        <w:spacing w:line="240" w:lineRule="auto"/>
        <w:rPr>
          <w:rFonts w:asciiTheme="majorHAnsi" w:hAnsiTheme="majorHAnsi"/>
          <w:b/>
        </w:rPr>
      </w:pPr>
      <w:r w:rsidRPr="00E61D5F">
        <w:rPr>
          <w:rFonts w:asciiTheme="majorHAnsi" w:hAnsiTheme="majorHAnsi"/>
          <w:b/>
        </w:rPr>
        <w:t xml:space="preserve">Per </w:t>
      </w:r>
      <w:r w:rsidR="00CE4BE8">
        <w:rPr>
          <w:rFonts w:asciiTheme="majorHAnsi" w:hAnsiTheme="majorHAnsi"/>
          <w:b/>
        </w:rPr>
        <w:t xml:space="preserve">la parte </w:t>
      </w:r>
      <w:r w:rsidRPr="00E61D5F">
        <w:rPr>
          <w:rFonts w:asciiTheme="majorHAnsi" w:hAnsiTheme="majorHAnsi"/>
          <w:b/>
        </w:rPr>
        <w:t>sull'audiodescrizione</w:t>
      </w:r>
    </w:p>
    <w:p w:rsidR="00D84ACE" w:rsidRPr="00024D39" w:rsidRDefault="0083186B" w:rsidP="00D84ACE">
      <w:pPr>
        <w:spacing w:line="240" w:lineRule="auto"/>
        <w:rPr>
          <w:rFonts w:asciiTheme="majorHAnsi" w:hAnsiTheme="majorHAnsi"/>
          <w:lang w:val="en-US"/>
        </w:rPr>
      </w:pPr>
      <w:r w:rsidRPr="0083186B">
        <w:rPr>
          <w:rFonts w:asciiTheme="majorHAnsi" w:hAnsiTheme="majorHAnsi"/>
          <w:lang w:val="en-US"/>
        </w:rPr>
        <w:t xml:space="preserve"> </w:t>
      </w:r>
      <w:r w:rsidRPr="0083186B">
        <w:rPr>
          <w:rFonts w:asciiTheme="majorHAnsi" w:hAnsiTheme="majorHAnsi"/>
        </w:rPr>
        <w:t xml:space="preserve">Maszerowska, A., </w:t>
      </w:r>
      <w:r w:rsidR="00D84ACE" w:rsidRPr="0083186B">
        <w:rPr>
          <w:rFonts w:asciiTheme="majorHAnsi" w:hAnsiTheme="majorHAnsi"/>
        </w:rPr>
        <w:t>Matamala, A.</w:t>
      </w:r>
      <w:r w:rsidRPr="0083186B">
        <w:rPr>
          <w:rFonts w:asciiTheme="majorHAnsi" w:hAnsiTheme="majorHAnsi"/>
        </w:rPr>
        <w:t>,</w:t>
      </w:r>
      <w:r w:rsidR="00D84ACE" w:rsidRPr="0083186B">
        <w:rPr>
          <w:rFonts w:asciiTheme="majorHAnsi" w:hAnsiTheme="majorHAnsi"/>
        </w:rPr>
        <w:t xml:space="preserve"> &amp; Orero, P. (2014)</w:t>
      </w:r>
      <w:r w:rsidR="00A4550F" w:rsidRPr="0083186B">
        <w:rPr>
          <w:rFonts w:asciiTheme="majorHAnsi" w:hAnsiTheme="majorHAnsi"/>
        </w:rPr>
        <w:t>.</w:t>
      </w:r>
      <w:r w:rsidR="00D84ACE" w:rsidRPr="0083186B">
        <w:rPr>
          <w:rFonts w:asciiTheme="majorHAnsi" w:hAnsiTheme="majorHAnsi"/>
        </w:rPr>
        <w:t xml:space="preserve"> </w:t>
      </w:r>
      <w:r w:rsidR="00D84ACE" w:rsidRPr="00A4550F">
        <w:rPr>
          <w:rFonts w:asciiTheme="majorHAnsi" w:hAnsiTheme="majorHAnsi"/>
          <w:i/>
          <w:lang w:val="en-US"/>
        </w:rPr>
        <w:t>Audio description: N</w:t>
      </w:r>
      <w:r w:rsidR="00D84ACE" w:rsidRPr="00024D39">
        <w:rPr>
          <w:rFonts w:asciiTheme="majorHAnsi" w:hAnsiTheme="majorHAnsi"/>
          <w:i/>
          <w:lang w:val="en-US"/>
        </w:rPr>
        <w:t>ew perspecti</w:t>
      </w:r>
      <w:r w:rsidR="00D84ACE" w:rsidRPr="00FE23E6">
        <w:rPr>
          <w:rFonts w:asciiTheme="majorHAnsi" w:hAnsiTheme="majorHAnsi"/>
          <w:i/>
          <w:lang w:val="en-US"/>
        </w:rPr>
        <w:t>ves illustrated</w:t>
      </w:r>
      <w:r w:rsidR="00D84ACE" w:rsidRPr="00FE23E6">
        <w:rPr>
          <w:rFonts w:asciiTheme="majorHAnsi" w:hAnsiTheme="majorHAnsi"/>
          <w:lang w:val="en-US"/>
        </w:rPr>
        <w:t xml:space="preserve">. </w:t>
      </w:r>
      <w:r w:rsidR="00D84ACE" w:rsidRPr="00024D39">
        <w:rPr>
          <w:rFonts w:asciiTheme="majorHAnsi" w:hAnsiTheme="majorHAnsi"/>
          <w:lang w:val="en-US"/>
        </w:rPr>
        <w:t>Amsterdam: Benjamins.</w:t>
      </w:r>
    </w:p>
    <w:p w:rsidR="0083186B" w:rsidRDefault="0083186B" w:rsidP="0083186B">
      <w:pPr>
        <w:pStyle w:val="BodyA"/>
        <w:jc w:val="both"/>
        <w:rPr>
          <w:rFonts w:asciiTheme="majorHAnsi" w:hAnsiTheme="majorHAnsi"/>
          <w:color w:val="auto"/>
        </w:rPr>
      </w:pPr>
      <w:r>
        <w:rPr>
          <w:rFonts w:asciiTheme="majorHAnsi" w:hAnsiTheme="majorHAnsi"/>
          <w:color w:val="auto"/>
        </w:rPr>
        <w:t xml:space="preserve">ADLAB (2014). </w:t>
      </w:r>
      <w:r w:rsidR="00D84ACE" w:rsidRPr="0083186B">
        <w:rPr>
          <w:rFonts w:asciiTheme="majorHAnsi" w:hAnsiTheme="majorHAnsi"/>
          <w:i/>
          <w:color w:val="auto"/>
        </w:rPr>
        <w:t>Pictures Painted in Words: ADLAB Audio Description guidelines</w:t>
      </w:r>
      <w:r w:rsidR="00D84ACE" w:rsidRPr="00FE23E6">
        <w:rPr>
          <w:rFonts w:asciiTheme="majorHAnsi" w:hAnsiTheme="majorHAnsi"/>
          <w:color w:val="auto"/>
        </w:rPr>
        <w:t xml:space="preserve">, </w:t>
      </w:r>
      <w:r>
        <w:rPr>
          <w:rFonts w:asciiTheme="majorHAnsi" w:hAnsiTheme="majorHAnsi"/>
          <w:color w:val="auto"/>
        </w:rPr>
        <w:t>www.adlabproject.eu/</w:t>
      </w:r>
      <w:r w:rsidR="00CE4BE8">
        <w:rPr>
          <w:rFonts w:asciiTheme="majorHAnsi" w:hAnsiTheme="majorHAnsi"/>
          <w:color w:val="auto"/>
        </w:rPr>
        <w:t xml:space="preserve"> </w:t>
      </w:r>
    </w:p>
    <w:p w:rsidR="0083186B" w:rsidRPr="0083186B" w:rsidRDefault="0083186B" w:rsidP="0083186B">
      <w:pPr>
        <w:pStyle w:val="BodyA"/>
        <w:jc w:val="both"/>
        <w:rPr>
          <w:rFonts w:asciiTheme="majorHAnsi" w:hAnsiTheme="majorHAnsi"/>
          <w:color w:val="auto"/>
        </w:rPr>
      </w:pPr>
    </w:p>
    <w:p w:rsidR="00E61D5F" w:rsidRPr="0083186B" w:rsidRDefault="00E61D5F" w:rsidP="0083186B">
      <w:pPr>
        <w:pStyle w:val="BodyA"/>
        <w:jc w:val="both"/>
        <w:rPr>
          <w:rFonts w:asciiTheme="majorHAnsi" w:hAnsiTheme="majorHAnsi"/>
          <w:color w:val="auto"/>
        </w:rPr>
      </w:pPr>
      <w:r w:rsidRPr="0083186B">
        <w:rPr>
          <w:rFonts w:asciiTheme="majorHAnsi" w:hAnsiTheme="majorHAnsi"/>
          <w:color w:val="auto"/>
        </w:rPr>
        <w:t xml:space="preserve">Perego, E. &amp; Taylor, C. (2012). </w:t>
      </w:r>
      <w:r w:rsidRPr="0083186B">
        <w:rPr>
          <w:rFonts w:asciiTheme="majorHAnsi" w:hAnsiTheme="majorHAnsi"/>
          <w:i/>
          <w:color w:val="auto"/>
        </w:rPr>
        <w:t>Tradurre l’</w:t>
      </w:r>
      <w:r w:rsidRPr="0083186B">
        <w:rPr>
          <w:rFonts w:asciiTheme="majorHAnsi" w:hAnsiTheme="majorHAnsi"/>
          <w:i/>
          <w:color w:val="auto"/>
          <w:lang w:val="it-IT"/>
        </w:rPr>
        <w:t>audiovisivo</w:t>
      </w:r>
      <w:r w:rsidRPr="0083186B">
        <w:rPr>
          <w:rFonts w:asciiTheme="majorHAnsi" w:hAnsiTheme="majorHAnsi"/>
          <w:color w:val="auto"/>
          <w:lang w:val="it-IT"/>
        </w:rPr>
        <w:t xml:space="preserve">. </w:t>
      </w:r>
      <w:r w:rsidRPr="0083186B">
        <w:rPr>
          <w:rFonts w:asciiTheme="majorHAnsi" w:hAnsiTheme="majorHAnsi"/>
          <w:color w:val="auto"/>
        </w:rPr>
        <w:t>Roma: Carocci [cap. 12].</w:t>
      </w:r>
    </w:p>
    <w:p w:rsidR="00E61D5F" w:rsidRPr="0083186B" w:rsidRDefault="00E61D5F" w:rsidP="000566C7"/>
    <w:sectPr w:rsidR="00E61D5F" w:rsidRPr="0083186B" w:rsidSect="006D2B52">
      <w:pgSz w:w="11906" w:h="16838"/>
      <w:pgMar w:top="1417" w:right="1134" w:bottom="1134" w:left="1134"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794F67"/>
    <w:multiLevelType w:val="hybridMultilevel"/>
    <w:tmpl w:val="684A700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nsid w:val="13CC1E2E"/>
    <w:multiLevelType w:val="multilevel"/>
    <w:tmpl w:val="17EC3E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20043D"/>
    <w:multiLevelType w:val="multilevel"/>
    <w:tmpl w:val="80E8EB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F8F2D3C"/>
    <w:multiLevelType w:val="hybridMultilevel"/>
    <w:tmpl w:val="CD968D96"/>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3C1A7C58"/>
    <w:multiLevelType w:val="hybridMultilevel"/>
    <w:tmpl w:val="02DAD51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2"/>
  </w:num>
  <w:num w:numId="5">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210"/>
  <w:defaultTabStop w:val="708"/>
  <w:hyphenationZone w:val="283"/>
  <w:characterSpacingControl w:val="doNotCompress"/>
  <w:compat/>
  <w:rsids>
    <w:rsidRoot w:val="004F7F72"/>
    <w:rsid w:val="00015C83"/>
    <w:rsid w:val="00024D39"/>
    <w:rsid w:val="00030457"/>
    <w:rsid w:val="00030D76"/>
    <w:rsid w:val="0004217E"/>
    <w:rsid w:val="0004407C"/>
    <w:rsid w:val="000566C7"/>
    <w:rsid w:val="00062F00"/>
    <w:rsid w:val="000705E7"/>
    <w:rsid w:val="00072A02"/>
    <w:rsid w:val="00073617"/>
    <w:rsid w:val="000816BD"/>
    <w:rsid w:val="00081801"/>
    <w:rsid w:val="000910AB"/>
    <w:rsid w:val="00092DAC"/>
    <w:rsid w:val="000939D8"/>
    <w:rsid w:val="00094E08"/>
    <w:rsid w:val="000B35F0"/>
    <w:rsid w:val="000B4D29"/>
    <w:rsid w:val="000E43A2"/>
    <w:rsid w:val="000E7860"/>
    <w:rsid w:val="000F1366"/>
    <w:rsid w:val="00101DD2"/>
    <w:rsid w:val="00102B72"/>
    <w:rsid w:val="001100F0"/>
    <w:rsid w:val="00113A4D"/>
    <w:rsid w:val="0013142F"/>
    <w:rsid w:val="00135255"/>
    <w:rsid w:val="00145AD3"/>
    <w:rsid w:val="00145FDE"/>
    <w:rsid w:val="00172773"/>
    <w:rsid w:val="00176A20"/>
    <w:rsid w:val="001808AB"/>
    <w:rsid w:val="00194EBE"/>
    <w:rsid w:val="001A4DF8"/>
    <w:rsid w:val="001A63B1"/>
    <w:rsid w:val="001A777C"/>
    <w:rsid w:val="001A7B83"/>
    <w:rsid w:val="001B1DA1"/>
    <w:rsid w:val="001C6774"/>
    <w:rsid w:val="001D3CF1"/>
    <w:rsid w:val="001D4EA4"/>
    <w:rsid w:val="001E2CF2"/>
    <w:rsid w:val="001F03A8"/>
    <w:rsid w:val="001F6B3D"/>
    <w:rsid w:val="00224593"/>
    <w:rsid w:val="0022651D"/>
    <w:rsid w:val="0023414D"/>
    <w:rsid w:val="00244AC5"/>
    <w:rsid w:val="00246771"/>
    <w:rsid w:val="00266B1F"/>
    <w:rsid w:val="00272A1A"/>
    <w:rsid w:val="0027472D"/>
    <w:rsid w:val="002869D6"/>
    <w:rsid w:val="002916C0"/>
    <w:rsid w:val="0029482E"/>
    <w:rsid w:val="002B57FE"/>
    <w:rsid w:val="002C40C7"/>
    <w:rsid w:val="002C5EF4"/>
    <w:rsid w:val="002E6C53"/>
    <w:rsid w:val="00310876"/>
    <w:rsid w:val="00310FA3"/>
    <w:rsid w:val="00347310"/>
    <w:rsid w:val="00350B30"/>
    <w:rsid w:val="003578E6"/>
    <w:rsid w:val="003715B2"/>
    <w:rsid w:val="003820C8"/>
    <w:rsid w:val="003A0800"/>
    <w:rsid w:val="003A4636"/>
    <w:rsid w:val="003B6B1E"/>
    <w:rsid w:val="003D194A"/>
    <w:rsid w:val="003E4F00"/>
    <w:rsid w:val="00411BB4"/>
    <w:rsid w:val="004122B9"/>
    <w:rsid w:val="00416BF1"/>
    <w:rsid w:val="00417EDB"/>
    <w:rsid w:val="00431C1A"/>
    <w:rsid w:val="0045687C"/>
    <w:rsid w:val="00480102"/>
    <w:rsid w:val="004806C0"/>
    <w:rsid w:val="0048115B"/>
    <w:rsid w:val="00485F5C"/>
    <w:rsid w:val="00491733"/>
    <w:rsid w:val="004B4D63"/>
    <w:rsid w:val="004C39EA"/>
    <w:rsid w:val="004D0572"/>
    <w:rsid w:val="004E0749"/>
    <w:rsid w:val="004F78F1"/>
    <w:rsid w:val="004F7F72"/>
    <w:rsid w:val="0050175E"/>
    <w:rsid w:val="0050642D"/>
    <w:rsid w:val="00515DE3"/>
    <w:rsid w:val="00530CE1"/>
    <w:rsid w:val="00546B2D"/>
    <w:rsid w:val="00547B5F"/>
    <w:rsid w:val="00550417"/>
    <w:rsid w:val="00554D6E"/>
    <w:rsid w:val="00556B57"/>
    <w:rsid w:val="0059638B"/>
    <w:rsid w:val="005974DF"/>
    <w:rsid w:val="005B2BBD"/>
    <w:rsid w:val="005B31BF"/>
    <w:rsid w:val="005F14E4"/>
    <w:rsid w:val="00604E8F"/>
    <w:rsid w:val="006246BA"/>
    <w:rsid w:val="00636175"/>
    <w:rsid w:val="006475FB"/>
    <w:rsid w:val="00654BB2"/>
    <w:rsid w:val="006566F6"/>
    <w:rsid w:val="006649AD"/>
    <w:rsid w:val="006712A5"/>
    <w:rsid w:val="006A10FF"/>
    <w:rsid w:val="006A38F0"/>
    <w:rsid w:val="006A63B1"/>
    <w:rsid w:val="006D1C46"/>
    <w:rsid w:val="006E5BC0"/>
    <w:rsid w:val="0071064E"/>
    <w:rsid w:val="00710817"/>
    <w:rsid w:val="00720382"/>
    <w:rsid w:val="00726730"/>
    <w:rsid w:val="007371A9"/>
    <w:rsid w:val="0075110C"/>
    <w:rsid w:val="007533ED"/>
    <w:rsid w:val="00754284"/>
    <w:rsid w:val="00764487"/>
    <w:rsid w:val="0077039E"/>
    <w:rsid w:val="007736F3"/>
    <w:rsid w:val="00781314"/>
    <w:rsid w:val="0078592D"/>
    <w:rsid w:val="007A3359"/>
    <w:rsid w:val="007A5437"/>
    <w:rsid w:val="007A700F"/>
    <w:rsid w:val="007C2789"/>
    <w:rsid w:val="007F12BD"/>
    <w:rsid w:val="0081057E"/>
    <w:rsid w:val="0083186B"/>
    <w:rsid w:val="00855C51"/>
    <w:rsid w:val="00856887"/>
    <w:rsid w:val="00870D89"/>
    <w:rsid w:val="008A421F"/>
    <w:rsid w:val="008A5D46"/>
    <w:rsid w:val="008C0FC1"/>
    <w:rsid w:val="008D78BD"/>
    <w:rsid w:val="008E3D04"/>
    <w:rsid w:val="008F54A3"/>
    <w:rsid w:val="009052C3"/>
    <w:rsid w:val="00914CD9"/>
    <w:rsid w:val="00924E16"/>
    <w:rsid w:val="00945C31"/>
    <w:rsid w:val="00947462"/>
    <w:rsid w:val="009745C6"/>
    <w:rsid w:val="00981BD0"/>
    <w:rsid w:val="009A36F9"/>
    <w:rsid w:val="009C2067"/>
    <w:rsid w:val="009C43B1"/>
    <w:rsid w:val="009C50D0"/>
    <w:rsid w:val="009C6B1A"/>
    <w:rsid w:val="009F5EF3"/>
    <w:rsid w:val="00A021B6"/>
    <w:rsid w:val="00A17A84"/>
    <w:rsid w:val="00A24778"/>
    <w:rsid w:val="00A4550F"/>
    <w:rsid w:val="00A47C6D"/>
    <w:rsid w:val="00AA241C"/>
    <w:rsid w:val="00AB5018"/>
    <w:rsid w:val="00AD398F"/>
    <w:rsid w:val="00B106AF"/>
    <w:rsid w:val="00B141FD"/>
    <w:rsid w:val="00B17F2C"/>
    <w:rsid w:val="00B376C4"/>
    <w:rsid w:val="00B55B6B"/>
    <w:rsid w:val="00B566D0"/>
    <w:rsid w:val="00B60C38"/>
    <w:rsid w:val="00B73886"/>
    <w:rsid w:val="00BB15B7"/>
    <w:rsid w:val="00BB4699"/>
    <w:rsid w:val="00BD5369"/>
    <w:rsid w:val="00C059E5"/>
    <w:rsid w:val="00C22AD8"/>
    <w:rsid w:val="00C33476"/>
    <w:rsid w:val="00C519A3"/>
    <w:rsid w:val="00C6062C"/>
    <w:rsid w:val="00C60BD1"/>
    <w:rsid w:val="00C645C0"/>
    <w:rsid w:val="00C67D0E"/>
    <w:rsid w:val="00C8559F"/>
    <w:rsid w:val="00C90981"/>
    <w:rsid w:val="00CA11C6"/>
    <w:rsid w:val="00CB5F85"/>
    <w:rsid w:val="00CC1AB5"/>
    <w:rsid w:val="00CD320C"/>
    <w:rsid w:val="00CD488F"/>
    <w:rsid w:val="00CE107C"/>
    <w:rsid w:val="00CE4BE8"/>
    <w:rsid w:val="00CF0AAE"/>
    <w:rsid w:val="00D23EAF"/>
    <w:rsid w:val="00D44574"/>
    <w:rsid w:val="00D450B9"/>
    <w:rsid w:val="00D532D3"/>
    <w:rsid w:val="00D63F25"/>
    <w:rsid w:val="00D6446B"/>
    <w:rsid w:val="00D806F0"/>
    <w:rsid w:val="00D82796"/>
    <w:rsid w:val="00D84ACE"/>
    <w:rsid w:val="00D871FD"/>
    <w:rsid w:val="00DC584E"/>
    <w:rsid w:val="00DC6186"/>
    <w:rsid w:val="00DE6E86"/>
    <w:rsid w:val="00E04193"/>
    <w:rsid w:val="00E10C60"/>
    <w:rsid w:val="00E11FA8"/>
    <w:rsid w:val="00E21AB9"/>
    <w:rsid w:val="00E31498"/>
    <w:rsid w:val="00E34989"/>
    <w:rsid w:val="00E42420"/>
    <w:rsid w:val="00E437B5"/>
    <w:rsid w:val="00E5798F"/>
    <w:rsid w:val="00E61D5F"/>
    <w:rsid w:val="00E649A0"/>
    <w:rsid w:val="00E673D1"/>
    <w:rsid w:val="00E7072B"/>
    <w:rsid w:val="00E70F9F"/>
    <w:rsid w:val="00E80744"/>
    <w:rsid w:val="00E97375"/>
    <w:rsid w:val="00EA22E3"/>
    <w:rsid w:val="00EA4479"/>
    <w:rsid w:val="00EB5DD0"/>
    <w:rsid w:val="00EC0CA6"/>
    <w:rsid w:val="00EC25F0"/>
    <w:rsid w:val="00EC7332"/>
    <w:rsid w:val="00EE2A2C"/>
    <w:rsid w:val="00EE36D3"/>
    <w:rsid w:val="00F24973"/>
    <w:rsid w:val="00F36DC8"/>
    <w:rsid w:val="00F37917"/>
    <w:rsid w:val="00F61399"/>
    <w:rsid w:val="00F84E85"/>
    <w:rsid w:val="00F863CE"/>
    <w:rsid w:val="00F95B9F"/>
    <w:rsid w:val="00FA6D1E"/>
    <w:rsid w:val="00FD05EC"/>
    <w:rsid w:val="00FD438D"/>
    <w:rsid w:val="00FE1713"/>
    <w:rsid w:val="00FE23E6"/>
    <w:rsid w:val="00FE5012"/>
    <w:rsid w:val="00FE579C"/>
    <w:rsid w:val="00FF3102"/>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e">
    <w:name w:val="Normal"/>
    <w:qFormat/>
    <w:rsid w:val="000566C7"/>
    <w:pPr>
      <w:spacing w:after="200" w:line="276" w:lineRule="auto"/>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Paragrafoelenco">
    <w:name w:val="List Paragraph"/>
    <w:basedOn w:val="Normale"/>
    <w:uiPriority w:val="34"/>
    <w:qFormat/>
    <w:rsid w:val="000566C7"/>
    <w:pPr>
      <w:ind w:left="720"/>
      <w:contextualSpacing/>
    </w:pPr>
  </w:style>
  <w:style w:type="paragraph" w:customStyle="1" w:styleId="BodyA">
    <w:name w:val="Body A"/>
    <w:rsid w:val="00764487"/>
    <w:pPr>
      <w:pBdr>
        <w:top w:val="nil"/>
        <w:left w:val="nil"/>
        <w:bottom w:val="nil"/>
        <w:right w:val="nil"/>
        <w:between w:val="nil"/>
        <w:bar w:val="nil"/>
      </w:pBdr>
      <w:spacing w:after="0" w:line="240" w:lineRule="auto"/>
    </w:pPr>
    <w:rPr>
      <w:rFonts w:ascii="Helvetica" w:eastAsia="Arial Unicode MS" w:hAnsi="Arial Unicode MS" w:cs="Arial Unicode MS"/>
      <w:color w:val="000000"/>
      <w:u w:color="000000"/>
      <w:bdr w:val="nil"/>
      <w:lang w:val="en-US" w:eastAsia="it-IT"/>
    </w:rPr>
  </w:style>
</w:styles>
</file>

<file path=word/webSettings.xml><?xml version="1.0" encoding="utf-8"?>
<w:webSettings xmlns:r="http://schemas.openxmlformats.org/officeDocument/2006/relationships" xmlns:w="http://schemas.openxmlformats.org/wordprocessingml/2006/main">
  <w:divs>
    <w:div w:id="498543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487</Words>
  <Characters>2776</Characters>
  <Application>Microsoft Office Word</Application>
  <DocSecurity>0</DocSecurity>
  <Lines>23</Lines>
  <Paragraphs>6</Paragraphs>
  <ScaleCrop>false</ScaleCrop>
  <HeadingPairs>
    <vt:vector size="4" baseType="variant">
      <vt:variant>
        <vt:lpstr>Title</vt:lpstr>
      </vt:variant>
      <vt:variant>
        <vt:i4>1</vt:i4>
      </vt:variant>
      <vt:variant>
        <vt:lpstr>Titolo</vt:lpstr>
      </vt:variant>
      <vt:variant>
        <vt:i4>1</vt:i4>
      </vt:variant>
    </vt:vector>
  </HeadingPairs>
  <TitlesOfParts>
    <vt:vector size="2" baseType="lpstr">
      <vt:lpstr/>
      <vt:lpstr/>
    </vt:vector>
  </TitlesOfParts>
  <Company/>
  <LinksUpToDate>false</LinksUpToDate>
  <CharactersWithSpaces>3257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dc:creator>
  <cp:lastModifiedBy>3256</cp:lastModifiedBy>
  <cp:revision>2</cp:revision>
  <dcterms:created xsi:type="dcterms:W3CDTF">2015-03-24T13:47:00Z</dcterms:created>
  <dcterms:modified xsi:type="dcterms:W3CDTF">2015-03-24T13:47:00Z</dcterms:modified>
</cp:coreProperties>
</file>