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C54" w:rsidRPr="00E71B13" w:rsidRDefault="00E71B13">
      <w:pPr>
        <w:rPr>
          <w:b/>
          <w:lang w:val="fr-FR"/>
        </w:rPr>
      </w:pPr>
      <w:r w:rsidRPr="00E71B13">
        <w:rPr>
          <w:b/>
          <w:lang w:val="fr-FR"/>
        </w:rPr>
        <w:t>Introduction</w:t>
      </w:r>
    </w:p>
    <w:p w:rsidR="00E71B13" w:rsidRDefault="00E71B13">
      <w:pPr>
        <w:rPr>
          <w:lang w:val="fr-FR"/>
        </w:rPr>
      </w:pPr>
      <w:r>
        <w:rPr>
          <w:lang w:val="fr-FR"/>
        </w:rPr>
        <w:t>Kant : </w:t>
      </w:r>
      <w:r w:rsidRPr="00D821F3">
        <w:rPr>
          <w:i/>
          <w:lang w:val="fr-FR"/>
        </w:rPr>
        <w:t>Qu’est-ce que les Lumières ?</w:t>
      </w:r>
      <w:r>
        <w:rPr>
          <w:lang w:val="fr-FR"/>
        </w:rPr>
        <w:t xml:space="preserve"> (1784)</w:t>
      </w:r>
    </w:p>
    <w:p w:rsidR="00D821F3" w:rsidRDefault="00E71B13">
      <w:pPr>
        <w:rPr>
          <w:lang w:val="fr-FR"/>
        </w:rPr>
      </w:pPr>
      <w:r>
        <w:rPr>
          <w:lang w:val="fr-FR"/>
        </w:rPr>
        <w:t>« </w:t>
      </w:r>
      <w:r w:rsidRPr="00E71B13">
        <w:rPr>
          <w:lang w:val="fr-FR"/>
        </w:rPr>
        <w:t xml:space="preserve">Qu’est-ce que les Lumières? </w:t>
      </w:r>
      <w:r>
        <w:rPr>
          <w:lang w:val="fr-FR"/>
        </w:rPr>
        <w:t xml:space="preserve">La sortie de l’homme de sa minorité, dont il est lui-même responsable. Minorité, c’est-à-dire l’incapacité de se servir de son entendement sans la direction d’autrui, minorité dont il est lui-même responsable puisque la cause en réside non dans un défaut de l’entendement mais dans un manque de décision et de courage de s’en servir sans la direction d’autrui. </w:t>
      </w:r>
      <w:proofErr w:type="spellStart"/>
      <w:r w:rsidRPr="00E71B13">
        <w:rPr>
          <w:i/>
          <w:lang w:val="fr-FR"/>
        </w:rPr>
        <w:t>Sapere</w:t>
      </w:r>
      <w:proofErr w:type="spellEnd"/>
      <w:r w:rsidRPr="00E71B13">
        <w:rPr>
          <w:i/>
          <w:lang w:val="fr-FR"/>
        </w:rPr>
        <w:t xml:space="preserve"> </w:t>
      </w:r>
      <w:proofErr w:type="spellStart"/>
      <w:r w:rsidRPr="00E71B13">
        <w:rPr>
          <w:i/>
          <w:lang w:val="fr-FR"/>
        </w:rPr>
        <w:t>aude</w:t>
      </w:r>
      <w:proofErr w:type="spellEnd"/>
      <w:r>
        <w:rPr>
          <w:lang w:val="fr-FR"/>
        </w:rPr>
        <w:t> ! (Ose savoir) Aie le courage de te servir de ton propre entendement. Voilà la devise des Lumières […] »</w:t>
      </w:r>
    </w:p>
    <w:p w:rsidR="00F42094" w:rsidRPr="00F454C7" w:rsidRDefault="00F42094" w:rsidP="00D821F3">
      <w:pPr>
        <w:pStyle w:val="Paragrafoelenco"/>
        <w:numPr>
          <w:ilvl w:val="0"/>
          <w:numId w:val="2"/>
        </w:numPr>
        <w:spacing w:after="100"/>
        <w:contextualSpacing w:val="0"/>
        <w:rPr>
          <w:b/>
          <w:lang w:val="fr-FR"/>
        </w:rPr>
      </w:pPr>
      <w:r w:rsidRPr="00F454C7">
        <w:rPr>
          <w:b/>
          <w:lang w:val="fr-FR"/>
        </w:rPr>
        <w:t>« Lumière » et « Lumières » : histoire d’une image et d’une idée.</w:t>
      </w:r>
    </w:p>
    <w:p w:rsidR="00F42094" w:rsidRDefault="00F42094" w:rsidP="00D821F3">
      <w:pPr>
        <w:pStyle w:val="Paragrafoelenco"/>
        <w:numPr>
          <w:ilvl w:val="0"/>
          <w:numId w:val="3"/>
        </w:numPr>
        <w:spacing w:after="100"/>
        <w:contextualSpacing w:val="0"/>
        <w:rPr>
          <w:lang w:val="fr-FR"/>
        </w:rPr>
      </w:pPr>
      <w:r>
        <w:rPr>
          <w:lang w:val="fr-FR"/>
        </w:rPr>
        <w:t>Lumière surnaturelle et lumière naturelle. Foi et Raison. P. Bayle</w:t>
      </w:r>
    </w:p>
    <w:p w:rsidR="00F42094" w:rsidRDefault="00F42094" w:rsidP="00D821F3">
      <w:pPr>
        <w:pStyle w:val="Paragrafoelenco"/>
        <w:numPr>
          <w:ilvl w:val="0"/>
          <w:numId w:val="3"/>
        </w:numPr>
        <w:spacing w:after="100"/>
        <w:contextualSpacing w:val="0"/>
        <w:rPr>
          <w:lang w:val="fr-FR"/>
        </w:rPr>
      </w:pPr>
      <w:r>
        <w:rPr>
          <w:lang w:val="fr-FR"/>
        </w:rPr>
        <w:t>De la nuit du préjugé à la nuit étoilée</w:t>
      </w:r>
    </w:p>
    <w:p w:rsidR="00F42094" w:rsidRDefault="00F42094" w:rsidP="00D821F3">
      <w:pPr>
        <w:pStyle w:val="Paragrafoelenco"/>
        <w:numPr>
          <w:ilvl w:val="1"/>
          <w:numId w:val="3"/>
        </w:numPr>
        <w:spacing w:after="100"/>
        <w:contextualSpacing w:val="0"/>
        <w:rPr>
          <w:lang w:val="fr-FR"/>
        </w:rPr>
      </w:pPr>
      <w:r>
        <w:rPr>
          <w:lang w:val="fr-FR"/>
        </w:rPr>
        <w:t xml:space="preserve">Fontenelle, </w:t>
      </w:r>
      <w:r w:rsidRPr="00D821F3">
        <w:rPr>
          <w:i/>
          <w:lang w:val="fr-FR"/>
        </w:rPr>
        <w:t>Entretiens sur la pluralité des mondes</w:t>
      </w:r>
      <w:r>
        <w:rPr>
          <w:lang w:val="fr-FR"/>
        </w:rPr>
        <w:t xml:space="preserve"> (1686)</w:t>
      </w:r>
    </w:p>
    <w:p w:rsidR="00F42094" w:rsidRDefault="00F42094" w:rsidP="00D821F3">
      <w:pPr>
        <w:pStyle w:val="Paragrafoelenco"/>
        <w:numPr>
          <w:ilvl w:val="1"/>
          <w:numId w:val="3"/>
        </w:numPr>
        <w:spacing w:after="100"/>
        <w:contextualSpacing w:val="0"/>
        <w:rPr>
          <w:lang w:val="fr-FR"/>
        </w:rPr>
      </w:pPr>
      <w:r>
        <w:rPr>
          <w:lang w:val="fr-FR"/>
        </w:rPr>
        <w:t xml:space="preserve">Rousseau, </w:t>
      </w:r>
      <w:r w:rsidRPr="00D821F3">
        <w:rPr>
          <w:i/>
          <w:lang w:val="fr-FR"/>
        </w:rPr>
        <w:t>Confessions</w:t>
      </w:r>
      <w:r>
        <w:rPr>
          <w:lang w:val="fr-FR"/>
        </w:rPr>
        <w:t>, V</w:t>
      </w:r>
    </w:p>
    <w:p w:rsidR="00F42094" w:rsidRDefault="00F42094" w:rsidP="00D821F3">
      <w:pPr>
        <w:pStyle w:val="Paragrafoelenco"/>
        <w:numPr>
          <w:ilvl w:val="1"/>
          <w:numId w:val="3"/>
        </w:numPr>
        <w:spacing w:after="100"/>
        <w:contextualSpacing w:val="0"/>
        <w:rPr>
          <w:lang w:val="fr-FR"/>
        </w:rPr>
      </w:pPr>
      <w:r>
        <w:rPr>
          <w:lang w:val="fr-FR"/>
        </w:rPr>
        <w:t xml:space="preserve">Voltaire, </w:t>
      </w:r>
      <w:r w:rsidRPr="00D821F3">
        <w:rPr>
          <w:i/>
          <w:lang w:val="fr-FR"/>
        </w:rPr>
        <w:t>Zadig</w:t>
      </w:r>
      <w:r>
        <w:rPr>
          <w:lang w:val="fr-FR"/>
        </w:rPr>
        <w:t xml:space="preserve"> (1747), chap. IX (« la femme battue »)</w:t>
      </w:r>
    </w:p>
    <w:p w:rsidR="00F42094" w:rsidRDefault="00F42094" w:rsidP="00D821F3">
      <w:pPr>
        <w:pStyle w:val="Paragrafoelenco"/>
        <w:numPr>
          <w:ilvl w:val="1"/>
          <w:numId w:val="3"/>
        </w:numPr>
        <w:spacing w:after="100"/>
        <w:contextualSpacing w:val="0"/>
        <w:rPr>
          <w:lang w:val="fr-FR"/>
        </w:rPr>
      </w:pPr>
      <w:r>
        <w:rPr>
          <w:lang w:val="fr-FR"/>
        </w:rPr>
        <w:t xml:space="preserve">Kant, </w:t>
      </w:r>
      <w:r w:rsidRPr="00D821F3">
        <w:rPr>
          <w:i/>
          <w:lang w:val="fr-FR"/>
        </w:rPr>
        <w:t>Critique de la Raison pratique</w:t>
      </w:r>
      <w:r>
        <w:rPr>
          <w:lang w:val="fr-FR"/>
        </w:rPr>
        <w:t xml:space="preserve"> (1788)</w:t>
      </w:r>
    </w:p>
    <w:p w:rsidR="00F42094" w:rsidRDefault="00F42094" w:rsidP="00D821F3">
      <w:pPr>
        <w:pStyle w:val="Paragrafoelenco"/>
        <w:numPr>
          <w:ilvl w:val="1"/>
          <w:numId w:val="3"/>
        </w:numPr>
        <w:spacing w:after="100"/>
        <w:contextualSpacing w:val="0"/>
        <w:rPr>
          <w:lang w:val="fr-FR"/>
        </w:rPr>
      </w:pPr>
      <w:r>
        <w:rPr>
          <w:lang w:val="fr-FR"/>
        </w:rPr>
        <w:t>Boullée, Cénotaphe de Newton (1784)</w:t>
      </w:r>
    </w:p>
    <w:p w:rsidR="00F42094" w:rsidRDefault="00F42094" w:rsidP="00D821F3">
      <w:pPr>
        <w:pStyle w:val="Paragrafoelenco"/>
        <w:numPr>
          <w:ilvl w:val="0"/>
          <w:numId w:val="3"/>
        </w:numPr>
        <w:spacing w:after="100"/>
        <w:contextualSpacing w:val="0"/>
        <w:rPr>
          <w:lang w:val="fr-FR"/>
        </w:rPr>
      </w:pPr>
      <w:r>
        <w:rPr>
          <w:lang w:val="fr-FR"/>
        </w:rPr>
        <w:t>La nuit menaçante </w:t>
      </w:r>
    </w:p>
    <w:p w:rsidR="00F42094" w:rsidRDefault="00F42094" w:rsidP="00D821F3">
      <w:pPr>
        <w:pStyle w:val="Paragrafoelenco"/>
        <w:numPr>
          <w:ilvl w:val="1"/>
          <w:numId w:val="3"/>
        </w:numPr>
        <w:spacing w:after="100"/>
        <w:contextualSpacing w:val="0"/>
        <w:rPr>
          <w:lang w:val="fr-FR"/>
        </w:rPr>
      </w:pPr>
      <w:r>
        <w:rPr>
          <w:lang w:val="fr-FR"/>
        </w:rPr>
        <w:t xml:space="preserve">Mozart, </w:t>
      </w:r>
      <w:r w:rsidRPr="00D821F3">
        <w:rPr>
          <w:i/>
          <w:lang w:val="fr-FR"/>
        </w:rPr>
        <w:t xml:space="preserve">La </w:t>
      </w:r>
      <w:r w:rsidR="00D821F3" w:rsidRPr="00D821F3">
        <w:rPr>
          <w:i/>
          <w:lang w:val="fr-FR"/>
        </w:rPr>
        <w:t>fl</w:t>
      </w:r>
      <w:r w:rsidR="00D821F3" w:rsidRPr="00D821F3">
        <w:rPr>
          <w:rFonts w:cstheme="minorHAnsi"/>
          <w:i/>
          <w:lang w:val="fr-FR"/>
        </w:rPr>
        <w:t>û</w:t>
      </w:r>
      <w:r w:rsidR="00D821F3" w:rsidRPr="00D821F3">
        <w:rPr>
          <w:i/>
          <w:lang w:val="fr-FR"/>
        </w:rPr>
        <w:t>te</w:t>
      </w:r>
      <w:r w:rsidRPr="00D821F3">
        <w:rPr>
          <w:i/>
          <w:lang w:val="fr-FR"/>
        </w:rPr>
        <w:t xml:space="preserve"> enchantée</w:t>
      </w:r>
      <w:r>
        <w:rPr>
          <w:lang w:val="fr-FR"/>
        </w:rPr>
        <w:t xml:space="preserve"> (1791)</w:t>
      </w:r>
    </w:p>
    <w:p w:rsidR="00F42094" w:rsidRDefault="00F42094" w:rsidP="00D821F3">
      <w:pPr>
        <w:pStyle w:val="Paragrafoelenco"/>
        <w:numPr>
          <w:ilvl w:val="1"/>
          <w:numId w:val="3"/>
        </w:numPr>
        <w:spacing w:after="100"/>
        <w:contextualSpacing w:val="0"/>
        <w:rPr>
          <w:lang w:val="fr-FR"/>
        </w:rPr>
      </w:pPr>
      <w:r>
        <w:rPr>
          <w:lang w:val="fr-FR"/>
        </w:rPr>
        <w:t xml:space="preserve">Sade, </w:t>
      </w:r>
      <w:r w:rsidRPr="00D821F3">
        <w:rPr>
          <w:i/>
          <w:lang w:val="fr-FR"/>
        </w:rPr>
        <w:t>Histoire de Juliette</w:t>
      </w:r>
      <w:r>
        <w:rPr>
          <w:lang w:val="fr-FR"/>
        </w:rPr>
        <w:t xml:space="preserve"> (1791) : « la philosophie doit tout dire »</w:t>
      </w:r>
    </w:p>
    <w:p w:rsidR="00F42094" w:rsidRDefault="00D821F3" w:rsidP="00D821F3">
      <w:pPr>
        <w:pStyle w:val="Paragrafoelenco"/>
        <w:numPr>
          <w:ilvl w:val="1"/>
          <w:numId w:val="3"/>
        </w:numPr>
        <w:spacing w:after="100"/>
        <w:contextualSpacing w:val="0"/>
        <w:rPr>
          <w:lang w:val="fr-FR"/>
        </w:rPr>
      </w:pPr>
      <w:r>
        <w:rPr>
          <w:lang w:val="fr-FR"/>
        </w:rPr>
        <w:t>Fü</w:t>
      </w:r>
      <w:r>
        <w:rPr>
          <w:rFonts w:cstheme="minorHAnsi"/>
          <w:lang w:val="fr-FR"/>
        </w:rPr>
        <w:t>s</w:t>
      </w:r>
      <w:r>
        <w:rPr>
          <w:lang w:val="fr-FR"/>
        </w:rPr>
        <w:t>sli</w:t>
      </w:r>
      <w:r w:rsidR="00F42094">
        <w:rPr>
          <w:lang w:val="fr-FR"/>
        </w:rPr>
        <w:t xml:space="preserve">, </w:t>
      </w:r>
      <w:r w:rsidR="00F42094" w:rsidRPr="00D821F3">
        <w:rPr>
          <w:i/>
          <w:lang w:val="fr-FR"/>
        </w:rPr>
        <w:t>Le cauchemar</w:t>
      </w:r>
    </w:p>
    <w:p w:rsidR="00F42094" w:rsidRDefault="00F42094" w:rsidP="00D821F3">
      <w:pPr>
        <w:pStyle w:val="Paragrafoelenco"/>
        <w:numPr>
          <w:ilvl w:val="1"/>
          <w:numId w:val="3"/>
        </w:numPr>
        <w:spacing w:after="100"/>
        <w:contextualSpacing w:val="0"/>
        <w:rPr>
          <w:lang w:val="fr-FR"/>
        </w:rPr>
      </w:pPr>
      <w:r>
        <w:rPr>
          <w:lang w:val="fr-FR"/>
        </w:rPr>
        <w:t>Goya, « le sommeil de la raison engendre des monstres… »</w:t>
      </w:r>
    </w:p>
    <w:p w:rsidR="00F42094" w:rsidRDefault="00F42094" w:rsidP="00D821F3">
      <w:pPr>
        <w:pStyle w:val="Paragrafoelenco"/>
        <w:numPr>
          <w:ilvl w:val="0"/>
          <w:numId w:val="3"/>
        </w:numPr>
        <w:spacing w:after="100"/>
        <w:contextualSpacing w:val="0"/>
        <w:rPr>
          <w:lang w:val="fr-FR"/>
        </w:rPr>
      </w:pPr>
      <w:r>
        <w:rPr>
          <w:lang w:val="fr-FR"/>
        </w:rPr>
        <w:t>Le retour des ténèbres</w:t>
      </w:r>
    </w:p>
    <w:p w:rsidR="00F42094" w:rsidRDefault="00F42094" w:rsidP="00D821F3">
      <w:pPr>
        <w:pStyle w:val="Paragrafoelenco"/>
        <w:numPr>
          <w:ilvl w:val="1"/>
          <w:numId w:val="3"/>
        </w:numPr>
        <w:spacing w:after="100"/>
        <w:contextualSpacing w:val="0"/>
        <w:rPr>
          <w:lang w:val="fr-FR"/>
        </w:rPr>
      </w:pPr>
      <w:r>
        <w:rPr>
          <w:lang w:val="fr-FR"/>
        </w:rPr>
        <w:t>Rousseau, Confessions, XII</w:t>
      </w:r>
    </w:p>
    <w:p w:rsidR="00F42094" w:rsidRDefault="00F42094" w:rsidP="00D821F3">
      <w:pPr>
        <w:pStyle w:val="Paragrafoelenco"/>
        <w:numPr>
          <w:ilvl w:val="1"/>
          <w:numId w:val="3"/>
        </w:numPr>
        <w:spacing w:after="100"/>
        <w:contextualSpacing w:val="0"/>
        <w:rPr>
          <w:lang w:val="fr-FR"/>
        </w:rPr>
      </w:pPr>
      <w:r>
        <w:rPr>
          <w:lang w:val="fr-FR"/>
        </w:rPr>
        <w:t xml:space="preserve">Rousseau, </w:t>
      </w:r>
      <w:r w:rsidRPr="00D821F3">
        <w:rPr>
          <w:i/>
          <w:lang w:val="fr-FR"/>
        </w:rPr>
        <w:t>Dialogues</w:t>
      </w:r>
      <w:r>
        <w:rPr>
          <w:lang w:val="fr-FR"/>
        </w:rPr>
        <w:t>, III</w:t>
      </w:r>
    </w:p>
    <w:p w:rsidR="00D821F3" w:rsidRPr="005B61FC" w:rsidRDefault="00F42094" w:rsidP="005B61FC">
      <w:pPr>
        <w:pStyle w:val="Paragrafoelenco"/>
        <w:numPr>
          <w:ilvl w:val="1"/>
          <w:numId w:val="3"/>
        </w:numPr>
        <w:spacing w:after="100"/>
        <w:contextualSpacing w:val="0"/>
        <w:rPr>
          <w:lang w:val="fr-FR"/>
        </w:rPr>
      </w:pPr>
      <w:r>
        <w:rPr>
          <w:lang w:val="fr-FR"/>
        </w:rPr>
        <w:t xml:space="preserve">Lumières et anti-Lumières : Cazotte, </w:t>
      </w:r>
      <w:r w:rsidRPr="00D821F3">
        <w:rPr>
          <w:i/>
          <w:lang w:val="fr-FR"/>
        </w:rPr>
        <w:t>Le diable amoureux</w:t>
      </w:r>
      <w:r>
        <w:rPr>
          <w:lang w:val="fr-FR"/>
        </w:rPr>
        <w:t xml:space="preserve"> (1772).</w:t>
      </w:r>
    </w:p>
    <w:p w:rsidR="00F42094" w:rsidRPr="00D821F3" w:rsidRDefault="00F42094" w:rsidP="00D821F3">
      <w:pPr>
        <w:pStyle w:val="Paragrafoelenco"/>
        <w:numPr>
          <w:ilvl w:val="0"/>
          <w:numId w:val="2"/>
        </w:numPr>
        <w:spacing w:after="100"/>
        <w:contextualSpacing w:val="0"/>
        <w:rPr>
          <w:b/>
          <w:lang w:val="fr-FR"/>
        </w:rPr>
      </w:pPr>
      <w:r w:rsidRPr="00D821F3">
        <w:rPr>
          <w:b/>
          <w:lang w:val="fr-FR"/>
        </w:rPr>
        <w:t>Sociabilité littéraires et réseaux intellectuels</w:t>
      </w:r>
      <w:r w:rsidR="00F454C7" w:rsidRPr="00D821F3">
        <w:rPr>
          <w:b/>
          <w:lang w:val="fr-FR"/>
        </w:rPr>
        <w:t>.</w:t>
      </w:r>
    </w:p>
    <w:p w:rsidR="00F454C7" w:rsidRDefault="00F454C7" w:rsidP="00D821F3">
      <w:pPr>
        <w:pStyle w:val="Paragrafoelenco"/>
        <w:numPr>
          <w:ilvl w:val="1"/>
          <w:numId w:val="2"/>
        </w:numPr>
        <w:spacing w:after="100"/>
        <w:contextualSpacing w:val="0"/>
        <w:rPr>
          <w:lang w:val="fr-FR"/>
        </w:rPr>
      </w:pPr>
      <w:r>
        <w:rPr>
          <w:lang w:val="fr-FR"/>
        </w:rPr>
        <w:t>L’Europe des Lumières.</w:t>
      </w:r>
    </w:p>
    <w:p w:rsidR="00F454C7" w:rsidRDefault="00F454C7" w:rsidP="00D821F3">
      <w:pPr>
        <w:pStyle w:val="Paragrafoelenco"/>
        <w:numPr>
          <w:ilvl w:val="2"/>
          <w:numId w:val="2"/>
        </w:numPr>
        <w:spacing w:after="100"/>
        <w:contextualSpacing w:val="0"/>
        <w:rPr>
          <w:lang w:val="fr-FR"/>
        </w:rPr>
      </w:pPr>
      <w:r>
        <w:rPr>
          <w:lang w:val="fr-FR"/>
        </w:rPr>
        <w:t xml:space="preserve">Voltaire, </w:t>
      </w:r>
      <w:r w:rsidRPr="00D821F3">
        <w:rPr>
          <w:i/>
          <w:lang w:val="fr-FR"/>
        </w:rPr>
        <w:t>l’Homme aux 40 écus</w:t>
      </w:r>
      <w:r>
        <w:rPr>
          <w:lang w:val="fr-FR"/>
        </w:rPr>
        <w:t xml:space="preserve"> (1768)</w:t>
      </w:r>
    </w:p>
    <w:p w:rsidR="00F454C7" w:rsidRDefault="00F454C7" w:rsidP="00D821F3">
      <w:pPr>
        <w:pStyle w:val="Paragrafoelenco"/>
        <w:numPr>
          <w:ilvl w:val="2"/>
          <w:numId w:val="2"/>
        </w:numPr>
        <w:spacing w:after="100"/>
        <w:contextualSpacing w:val="0"/>
        <w:rPr>
          <w:lang w:val="fr-FR"/>
        </w:rPr>
      </w:pPr>
      <w:r>
        <w:rPr>
          <w:lang w:val="fr-FR"/>
        </w:rPr>
        <w:t xml:space="preserve">Rivarol, </w:t>
      </w:r>
      <w:r w:rsidRPr="00D821F3">
        <w:rPr>
          <w:i/>
          <w:lang w:val="fr-FR"/>
        </w:rPr>
        <w:t>Discours sur l’universalité de la langue française</w:t>
      </w:r>
      <w:r>
        <w:rPr>
          <w:lang w:val="fr-FR"/>
        </w:rPr>
        <w:t xml:space="preserve"> (1784)</w:t>
      </w:r>
    </w:p>
    <w:p w:rsidR="00F454C7" w:rsidRDefault="00F454C7" w:rsidP="00D821F3">
      <w:pPr>
        <w:pStyle w:val="Paragrafoelenco"/>
        <w:numPr>
          <w:ilvl w:val="1"/>
          <w:numId w:val="2"/>
        </w:numPr>
        <w:spacing w:after="100"/>
        <w:contextualSpacing w:val="0"/>
        <w:rPr>
          <w:lang w:val="fr-FR"/>
        </w:rPr>
      </w:pPr>
      <w:r>
        <w:rPr>
          <w:lang w:val="fr-FR"/>
        </w:rPr>
        <w:t>Les livres et leurs lecteurs. Cabinets de lecture.</w:t>
      </w:r>
    </w:p>
    <w:p w:rsidR="00F454C7" w:rsidRDefault="00F454C7" w:rsidP="00D821F3">
      <w:pPr>
        <w:pStyle w:val="Paragrafoelenco"/>
        <w:numPr>
          <w:ilvl w:val="1"/>
          <w:numId w:val="2"/>
        </w:numPr>
        <w:spacing w:after="100"/>
        <w:contextualSpacing w:val="0"/>
        <w:rPr>
          <w:lang w:val="fr-FR"/>
        </w:rPr>
      </w:pPr>
      <w:r>
        <w:rPr>
          <w:lang w:val="fr-FR"/>
        </w:rPr>
        <w:t>Statut de l’ « homme de Lettres ». La propriété littéraire.</w:t>
      </w:r>
    </w:p>
    <w:p w:rsidR="00F454C7" w:rsidRDefault="00F454C7" w:rsidP="00D821F3">
      <w:pPr>
        <w:pStyle w:val="Paragrafoelenco"/>
        <w:numPr>
          <w:ilvl w:val="1"/>
          <w:numId w:val="2"/>
        </w:numPr>
        <w:spacing w:after="100"/>
        <w:contextualSpacing w:val="0"/>
        <w:rPr>
          <w:lang w:val="fr-FR"/>
        </w:rPr>
      </w:pPr>
      <w:r>
        <w:rPr>
          <w:lang w:val="fr-FR"/>
        </w:rPr>
        <w:t>La censure. Littérature clandestine</w:t>
      </w:r>
    </w:p>
    <w:p w:rsidR="00F454C7" w:rsidRDefault="00F454C7" w:rsidP="00D821F3">
      <w:pPr>
        <w:pStyle w:val="Paragrafoelenco"/>
        <w:numPr>
          <w:ilvl w:val="1"/>
          <w:numId w:val="2"/>
        </w:numPr>
        <w:spacing w:after="100"/>
        <w:contextualSpacing w:val="0"/>
        <w:rPr>
          <w:lang w:val="fr-FR"/>
        </w:rPr>
      </w:pPr>
      <w:r>
        <w:rPr>
          <w:lang w:val="fr-FR"/>
        </w:rPr>
        <w:t>Les Académies. Les salons et l’ « esprit de la conversation »</w:t>
      </w:r>
    </w:p>
    <w:p w:rsidR="00F454C7" w:rsidRDefault="00F454C7" w:rsidP="00D821F3">
      <w:pPr>
        <w:pStyle w:val="Paragrafoelenco"/>
        <w:numPr>
          <w:ilvl w:val="1"/>
          <w:numId w:val="2"/>
        </w:numPr>
        <w:spacing w:after="100"/>
        <w:contextualSpacing w:val="0"/>
        <w:rPr>
          <w:lang w:val="fr-FR"/>
        </w:rPr>
      </w:pPr>
      <w:r>
        <w:rPr>
          <w:lang w:val="fr-FR"/>
        </w:rPr>
        <w:t>Les cafés.</w:t>
      </w:r>
    </w:p>
    <w:p w:rsidR="00F454C7" w:rsidRDefault="00F454C7" w:rsidP="00D821F3">
      <w:pPr>
        <w:pStyle w:val="Paragrafoelenco"/>
        <w:numPr>
          <w:ilvl w:val="1"/>
          <w:numId w:val="2"/>
        </w:numPr>
        <w:spacing w:after="100"/>
        <w:contextualSpacing w:val="0"/>
        <w:rPr>
          <w:lang w:val="fr-FR"/>
        </w:rPr>
      </w:pPr>
      <w:r>
        <w:rPr>
          <w:lang w:val="fr-FR"/>
        </w:rPr>
        <w:t>Clubs, Sociétés. La franc-maçonnerie.</w:t>
      </w:r>
    </w:p>
    <w:p w:rsidR="00D821F3" w:rsidRPr="005B61FC" w:rsidRDefault="00F454C7" w:rsidP="005B61FC">
      <w:pPr>
        <w:pStyle w:val="Paragrafoelenco"/>
        <w:numPr>
          <w:ilvl w:val="1"/>
          <w:numId w:val="2"/>
        </w:numPr>
        <w:spacing w:after="100"/>
        <w:contextualSpacing w:val="0"/>
        <w:rPr>
          <w:lang w:val="fr-FR"/>
        </w:rPr>
      </w:pPr>
      <w:r>
        <w:rPr>
          <w:lang w:val="fr-FR"/>
        </w:rPr>
        <w:t>Emergence d’une « opinion publique ».</w:t>
      </w:r>
    </w:p>
    <w:sectPr w:rsidR="00D821F3" w:rsidRPr="005B61FC" w:rsidSect="00E21C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1FC" w:rsidRDefault="005B61FC" w:rsidP="005B61FC">
      <w:pPr>
        <w:spacing w:after="0" w:line="240" w:lineRule="auto"/>
      </w:pPr>
      <w:r>
        <w:separator/>
      </w:r>
    </w:p>
  </w:endnote>
  <w:endnote w:type="continuationSeparator" w:id="0">
    <w:p w:rsidR="005B61FC" w:rsidRDefault="005B61FC" w:rsidP="005B6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A4F" w:rsidRDefault="000C5A4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A4F" w:rsidRDefault="000C5A4F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A4F" w:rsidRDefault="000C5A4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1FC" w:rsidRDefault="005B61FC" w:rsidP="005B61FC">
      <w:pPr>
        <w:spacing w:after="0" w:line="240" w:lineRule="auto"/>
      </w:pPr>
      <w:r>
        <w:separator/>
      </w:r>
    </w:p>
  </w:footnote>
  <w:footnote w:type="continuationSeparator" w:id="0">
    <w:p w:rsidR="005B61FC" w:rsidRDefault="005B61FC" w:rsidP="005B6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A4F" w:rsidRDefault="000C5A4F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1FC" w:rsidRDefault="005B61FC" w:rsidP="005B61FC">
    <w:pPr>
      <w:rPr>
        <w:lang w:val="fr-FR"/>
      </w:rPr>
    </w:pPr>
    <w:r>
      <w:rPr>
        <w:lang w:val="fr-FR"/>
      </w:rPr>
      <w:t>Cours du 26 mars 2015</w:t>
    </w:r>
  </w:p>
  <w:p w:rsidR="005B61FC" w:rsidRDefault="005B61FC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A4F" w:rsidRDefault="000C5A4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5DDF"/>
    <w:multiLevelType w:val="hybridMultilevel"/>
    <w:tmpl w:val="2EDE520A"/>
    <w:lvl w:ilvl="0" w:tplc="055633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DE6239"/>
    <w:multiLevelType w:val="hybridMultilevel"/>
    <w:tmpl w:val="FCDE94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6E3BA4"/>
    <w:multiLevelType w:val="hybridMultilevel"/>
    <w:tmpl w:val="4D9CAF60"/>
    <w:lvl w:ilvl="0" w:tplc="04100013">
      <w:start w:val="1"/>
      <w:numFmt w:val="upperRoman"/>
      <w:lvlText w:val="%1."/>
      <w:lvlJc w:val="right"/>
      <w:pPr>
        <w:ind w:left="360" w:hanging="360"/>
      </w:p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71B13"/>
    <w:rsid w:val="000C5A4F"/>
    <w:rsid w:val="005B61FC"/>
    <w:rsid w:val="00636E8C"/>
    <w:rsid w:val="00D821F3"/>
    <w:rsid w:val="00E21C54"/>
    <w:rsid w:val="00E71B13"/>
    <w:rsid w:val="00F42094"/>
    <w:rsid w:val="00F45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1B13"/>
  </w:style>
  <w:style w:type="paragraph" w:styleId="Titolo1">
    <w:name w:val="heading 1"/>
    <w:basedOn w:val="Normale"/>
    <w:next w:val="Normale"/>
    <w:link w:val="Titolo1Carattere"/>
    <w:uiPriority w:val="9"/>
    <w:qFormat/>
    <w:rsid w:val="00E71B1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1B1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1B1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1B1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1B1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1B1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1B1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1B1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1B1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1B1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1B1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71B13"/>
    <w:rPr>
      <w:rFonts w:asciiTheme="majorHAnsi" w:eastAsiaTheme="majorEastAsia" w:hAnsiTheme="majorHAnsi" w:cstheme="majorBidi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1B1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1B1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1B1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1B13"/>
    <w:rPr>
      <w:rFonts w:asciiTheme="majorHAnsi" w:eastAsiaTheme="majorEastAsia" w:hAnsiTheme="majorHAnsi" w:cstheme="majorBidi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1B13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1B1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1B1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E71B1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1B1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1B1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nfasigrassetto">
    <w:name w:val="Strong"/>
    <w:uiPriority w:val="22"/>
    <w:qFormat/>
    <w:rsid w:val="00E71B13"/>
    <w:rPr>
      <w:b/>
      <w:bCs/>
    </w:rPr>
  </w:style>
  <w:style w:type="character" w:styleId="Enfasicorsivo">
    <w:name w:val="Emphasis"/>
    <w:uiPriority w:val="20"/>
    <w:qFormat/>
    <w:rsid w:val="00E71B1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essunaspaziatura">
    <w:name w:val="No Spacing"/>
    <w:basedOn w:val="Normale"/>
    <w:uiPriority w:val="1"/>
    <w:qFormat/>
    <w:rsid w:val="00E71B13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E71B13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71B13"/>
    <w:pPr>
      <w:spacing w:before="200" w:after="0"/>
      <w:ind w:left="360" w:right="360"/>
    </w:pPr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1B13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1B1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1B13"/>
    <w:rPr>
      <w:b/>
      <w:bCs/>
      <w:i/>
      <w:iCs/>
    </w:rPr>
  </w:style>
  <w:style w:type="character" w:styleId="Enfasidelicata">
    <w:name w:val="Subtle Emphasis"/>
    <w:uiPriority w:val="19"/>
    <w:qFormat/>
    <w:rsid w:val="00E71B13"/>
    <w:rPr>
      <w:i/>
      <w:iCs/>
    </w:rPr>
  </w:style>
  <w:style w:type="character" w:styleId="Enfasiintensa">
    <w:name w:val="Intense Emphasis"/>
    <w:uiPriority w:val="21"/>
    <w:qFormat/>
    <w:rsid w:val="00E71B13"/>
    <w:rPr>
      <w:b/>
      <w:bCs/>
    </w:rPr>
  </w:style>
  <w:style w:type="character" w:styleId="Riferimentodelicato">
    <w:name w:val="Subtle Reference"/>
    <w:uiPriority w:val="31"/>
    <w:qFormat/>
    <w:rsid w:val="00E71B13"/>
    <w:rPr>
      <w:smallCaps/>
    </w:rPr>
  </w:style>
  <w:style w:type="character" w:styleId="Riferimentointenso">
    <w:name w:val="Intense Reference"/>
    <w:uiPriority w:val="32"/>
    <w:qFormat/>
    <w:rsid w:val="00E71B13"/>
    <w:rPr>
      <w:smallCaps/>
      <w:spacing w:val="5"/>
      <w:u w:val="single"/>
    </w:rPr>
  </w:style>
  <w:style w:type="character" w:styleId="Titolodellibro">
    <w:name w:val="Book Title"/>
    <w:uiPriority w:val="33"/>
    <w:qFormat/>
    <w:rsid w:val="00E71B13"/>
    <w:rPr>
      <w:i/>
      <w:i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71B13"/>
    <w:pPr>
      <w:outlineLvl w:val="9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5B61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B61FC"/>
  </w:style>
  <w:style w:type="paragraph" w:styleId="Pidipagina">
    <w:name w:val="footer"/>
    <w:basedOn w:val="Normale"/>
    <w:link w:val="PidipaginaCarattere"/>
    <w:uiPriority w:val="99"/>
    <w:semiHidden/>
    <w:unhideWhenUsed/>
    <w:rsid w:val="005B61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B61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2015-04-01T14:50:00Z</dcterms:created>
  <dcterms:modified xsi:type="dcterms:W3CDTF">2015-04-01T14:51:00Z</dcterms:modified>
  <cp:contentStatus>Finale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