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FD8" w:rsidRPr="00C21ACC" w:rsidRDefault="00C21ACC" w:rsidP="00873C8F">
      <w:pPr>
        <w:spacing w:after="100"/>
        <w:contextualSpacing/>
        <w:rPr>
          <w:b/>
          <w:lang w:val="fr-FR"/>
        </w:rPr>
      </w:pPr>
      <w:r>
        <w:rPr>
          <w:b/>
          <w:lang w:val="fr-FR"/>
        </w:rPr>
        <w:t xml:space="preserve">III.  </w:t>
      </w:r>
      <w:r>
        <w:rPr>
          <w:b/>
          <w:lang w:val="fr-FR"/>
        </w:rPr>
        <w:tab/>
      </w:r>
      <w:r w:rsidR="001B1FD8" w:rsidRPr="00C21ACC">
        <w:rPr>
          <w:b/>
          <w:lang w:val="fr-FR"/>
        </w:rPr>
        <w:t>Qu’est-ce qu’un « philosophe », au XVIII</w:t>
      </w:r>
      <w:r w:rsidR="001B1FD8" w:rsidRPr="00C21ACC">
        <w:rPr>
          <w:b/>
          <w:vertAlign w:val="superscript"/>
          <w:lang w:val="fr-FR"/>
        </w:rPr>
        <w:t>e</w:t>
      </w:r>
      <w:r w:rsidR="001B1FD8" w:rsidRPr="00C21ACC">
        <w:rPr>
          <w:b/>
          <w:lang w:val="fr-FR"/>
        </w:rPr>
        <w:t xml:space="preserve"> siècle ?</w:t>
      </w:r>
    </w:p>
    <w:p w:rsidR="001B1FD8" w:rsidRDefault="001B1FD8" w:rsidP="00873C8F">
      <w:pPr>
        <w:pStyle w:val="Paragrafoelenco"/>
        <w:numPr>
          <w:ilvl w:val="1"/>
          <w:numId w:val="1"/>
        </w:numPr>
        <w:spacing w:after="100"/>
        <w:rPr>
          <w:lang w:val="fr-FR"/>
        </w:rPr>
      </w:pPr>
      <w:r>
        <w:rPr>
          <w:lang w:val="fr-FR"/>
        </w:rPr>
        <w:t>Article « Philosophe » (</w:t>
      </w:r>
      <w:proofErr w:type="spellStart"/>
      <w:r>
        <w:rPr>
          <w:lang w:val="fr-FR"/>
        </w:rPr>
        <w:t>Enc</w:t>
      </w:r>
      <w:proofErr w:type="spellEnd"/>
      <w:r>
        <w:rPr>
          <w:lang w:val="fr-FR"/>
        </w:rPr>
        <w:t>.)</w:t>
      </w:r>
    </w:p>
    <w:p w:rsidR="001B1FD8" w:rsidRDefault="001B1FD8" w:rsidP="00873C8F">
      <w:pPr>
        <w:pStyle w:val="Paragrafoelenco"/>
        <w:numPr>
          <w:ilvl w:val="1"/>
          <w:numId w:val="1"/>
        </w:numPr>
        <w:spacing w:after="100"/>
        <w:rPr>
          <w:lang w:val="fr-FR"/>
        </w:rPr>
      </w:pPr>
      <w:r>
        <w:rPr>
          <w:lang w:val="fr-FR"/>
        </w:rPr>
        <w:t>La critique des « systèmes ».</w:t>
      </w:r>
    </w:p>
    <w:p w:rsidR="001B1FD8" w:rsidRDefault="001B1FD8" w:rsidP="00873C8F">
      <w:pPr>
        <w:pStyle w:val="Paragrafoelenco"/>
        <w:numPr>
          <w:ilvl w:val="1"/>
          <w:numId w:val="1"/>
        </w:numPr>
        <w:spacing w:after="100"/>
        <w:rPr>
          <w:lang w:val="fr-FR"/>
        </w:rPr>
      </w:pPr>
      <w:r>
        <w:rPr>
          <w:lang w:val="fr-FR"/>
        </w:rPr>
        <w:t xml:space="preserve">Locke, </w:t>
      </w:r>
      <w:r w:rsidRPr="00D821F3">
        <w:rPr>
          <w:i/>
          <w:lang w:val="fr-FR"/>
        </w:rPr>
        <w:t>Essai sur l’Entendement humain</w:t>
      </w:r>
      <w:r>
        <w:rPr>
          <w:lang w:val="fr-FR"/>
        </w:rPr>
        <w:t xml:space="preserve"> (1690, trad. </w:t>
      </w:r>
      <w:proofErr w:type="spellStart"/>
      <w:r>
        <w:rPr>
          <w:lang w:val="fr-FR"/>
        </w:rPr>
        <w:t>fr</w:t>
      </w:r>
      <w:proofErr w:type="spellEnd"/>
      <w:r>
        <w:rPr>
          <w:lang w:val="fr-FR"/>
        </w:rPr>
        <w:t>. 1700). Critique de l’innéisme cartésien. De l’empirisme au sensualisme (Condillac).</w:t>
      </w:r>
    </w:p>
    <w:p w:rsidR="001B1FD8" w:rsidRDefault="001B1FD8" w:rsidP="00873C8F">
      <w:pPr>
        <w:pStyle w:val="Paragrafoelenco"/>
        <w:numPr>
          <w:ilvl w:val="1"/>
          <w:numId w:val="1"/>
        </w:numPr>
        <w:spacing w:after="100"/>
        <w:rPr>
          <w:lang w:val="fr-FR"/>
        </w:rPr>
      </w:pPr>
      <w:r>
        <w:rPr>
          <w:lang w:val="fr-FR"/>
        </w:rPr>
        <w:t>Les modèles : Socrate, Diogène, Sénèque…</w:t>
      </w:r>
    </w:p>
    <w:p w:rsidR="001B1FD8" w:rsidRDefault="001B1FD8" w:rsidP="00873C8F">
      <w:pPr>
        <w:pStyle w:val="Paragrafoelenco"/>
        <w:numPr>
          <w:ilvl w:val="1"/>
          <w:numId w:val="1"/>
        </w:numPr>
        <w:spacing w:after="100"/>
        <w:rPr>
          <w:lang w:val="fr-FR"/>
        </w:rPr>
      </w:pPr>
      <w:r>
        <w:rPr>
          <w:lang w:val="fr-FR"/>
        </w:rPr>
        <w:t>Les grands thèmes : raison, expérience, liberté, nature, bonheur, vertu.</w:t>
      </w:r>
    </w:p>
    <w:p w:rsidR="001B1FD8" w:rsidRPr="00873C8F" w:rsidRDefault="00873C8F" w:rsidP="00873C8F">
      <w:pPr>
        <w:spacing w:after="100"/>
        <w:contextualSpacing/>
        <w:rPr>
          <w:b/>
          <w:lang w:val="fr-FR"/>
        </w:rPr>
      </w:pPr>
      <w:r>
        <w:rPr>
          <w:b/>
          <w:lang w:val="fr-FR"/>
        </w:rPr>
        <w:t>IV.</w:t>
      </w:r>
      <w:r>
        <w:rPr>
          <w:b/>
          <w:lang w:val="fr-FR"/>
        </w:rPr>
        <w:tab/>
      </w:r>
      <w:r w:rsidR="001B1FD8" w:rsidRPr="00873C8F">
        <w:rPr>
          <w:b/>
          <w:lang w:val="fr-FR"/>
        </w:rPr>
        <w:t>Diderot et l’Encyclopédie.</w:t>
      </w:r>
    </w:p>
    <w:p w:rsidR="001B1FD8" w:rsidRDefault="001B1FD8" w:rsidP="00873C8F">
      <w:pPr>
        <w:pStyle w:val="Paragrafoelenco"/>
        <w:numPr>
          <w:ilvl w:val="0"/>
          <w:numId w:val="3"/>
        </w:numPr>
        <w:spacing w:after="100"/>
        <w:rPr>
          <w:lang w:val="fr-FR"/>
        </w:rPr>
      </w:pPr>
      <w:r>
        <w:rPr>
          <w:lang w:val="fr-FR"/>
        </w:rPr>
        <w:t>La vogue des dictionnaires</w:t>
      </w:r>
    </w:p>
    <w:p w:rsidR="001B1FD8" w:rsidRDefault="001B1FD8" w:rsidP="00873C8F">
      <w:pPr>
        <w:pStyle w:val="Paragrafoelenco"/>
        <w:numPr>
          <w:ilvl w:val="1"/>
          <w:numId w:val="3"/>
        </w:numPr>
        <w:spacing w:after="100"/>
        <w:rPr>
          <w:lang w:val="fr-FR"/>
        </w:rPr>
      </w:pPr>
      <w:r>
        <w:rPr>
          <w:lang w:val="fr-FR"/>
        </w:rPr>
        <w:t xml:space="preserve">Voltaire, </w:t>
      </w:r>
      <w:r w:rsidRPr="00D821F3">
        <w:rPr>
          <w:i/>
          <w:lang w:val="fr-FR"/>
        </w:rPr>
        <w:t>Dictionnaire philosophique</w:t>
      </w:r>
      <w:r>
        <w:rPr>
          <w:lang w:val="fr-FR"/>
        </w:rPr>
        <w:t xml:space="preserve"> (1764)</w:t>
      </w:r>
    </w:p>
    <w:p w:rsidR="001B1FD8" w:rsidRDefault="001B1FD8" w:rsidP="00873C8F">
      <w:pPr>
        <w:pStyle w:val="Paragrafoelenco"/>
        <w:numPr>
          <w:ilvl w:val="1"/>
          <w:numId w:val="3"/>
        </w:numPr>
        <w:spacing w:after="100"/>
        <w:rPr>
          <w:lang w:val="fr-FR"/>
        </w:rPr>
      </w:pPr>
      <w:r>
        <w:rPr>
          <w:lang w:val="fr-FR"/>
        </w:rPr>
        <w:t xml:space="preserve">Rousseau, </w:t>
      </w:r>
      <w:r w:rsidRPr="00D821F3">
        <w:rPr>
          <w:i/>
          <w:lang w:val="fr-FR"/>
        </w:rPr>
        <w:t>Dictionnaire de musique</w:t>
      </w:r>
      <w:r>
        <w:rPr>
          <w:lang w:val="fr-FR"/>
        </w:rPr>
        <w:t xml:space="preserve"> (1768)</w:t>
      </w:r>
    </w:p>
    <w:p w:rsidR="001B1FD8" w:rsidRDefault="001B1FD8" w:rsidP="00873C8F">
      <w:pPr>
        <w:pStyle w:val="Paragrafoelenco"/>
        <w:numPr>
          <w:ilvl w:val="0"/>
          <w:numId w:val="3"/>
        </w:numPr>
        <w:spacing w:after="100"/>
        <w:rPr>
          <w:lang w:val="fr-FR"/>
        </w:rPr>
      </w:pPr>
      <w:r>
        <w:rPr>
          <w:lang w:val="fr-FR"/>
        </w:rPr>
        <w:t xml:space="preserve">Le Prospectus de </w:t>
      </w:r>
      <w:r w:rsidRPr="00D821F3">
        <w:rPr>
          <w:i/>
          <w:lang w:val="fr-FR"/>
        </w:rPr>
        <w:t>l’Encyclopédie</w:t>
      </w:r>
      <w:r>
        <w:rPr>
          <w:lang w:val="fr-FR"/>
        </w:rPr>
        <w:t xml:space="preserve"> (1750) et le </w:t>
      </w:r>
      <w:r w:rsidRPr="00D821F3">
        <w:rPr>
          <w:i/>
          <w:lang w:val="fr-FR"/>
        </w:rPr>
        <w:t>Discours préliminaire</w:t>
      </w:r>
      <w:r>
        <w:rPr>
          <w:lang w:val="fr-FR"/>
        </w:rPr>
        <w:t xml:space="preserve"> (D’Alembert)</w:t>
      </w:r>
    </w:p>
    <w:p w:rsidR="001B1FD8" w:rsidRDefault="001B1FD8" w:rsidP="00873C8F">
      <w:pPr>
        <w:pStyle w:val="Paragrafoelenco"/>
        <w:numPr>
          <w:ilvl w:val="0"/>
          <w:numId w:val="3"/>
        </w:numPr>
        <w:spacing w:after="100"/>
        <w:rPr>
          <w:lang w:val="fr-FR"/>
        </w:rPr>
      </w:pPr>
      <w:r w:rsidRPr="00D821F3">
        <w:rPr>
          <w:i/>
          <w:lang w:val="fr-FR"/>
        </w:rPr>
        <w:t>L’Encyclopédie ou Dictionnaire raisonné des sciences, des arts et des métiers</w:t>
      </w:r>
      <w:r>
        <w:rPr>
          <w:lang w:val="fr-FR"/>
        </w:rPr>
        <w:t xml:space="preserve"> (1750-1772)</w:t>
      </w:r>
    </w:p>
    <w:p w:rsidR="001B1FD8" w:rsidRDefault="001B1FD8" w:rsidP="00873C8F">
      <w:pPr>
        <w:pStyle w:val="Paragrafoelenco"/>
        <w:numPr>
          <w:ilvl w:val="0"/>
          <w:numId w:val="3"/>
        </w:numPr>
        <w:spacing w:after="100"/>
        <w:rPr>
          <w:lang w:val="fr-FR"/>
        </w:rPr>
      </w:pPr>
      <w:r>
        <w:rPr>
          <w:lang w:val="fr-FR"/>
        </w:rPr>
        <w:t>« Comment changer la manière de penser ? »</w:t>
      </w:r>
    </w:p>
    <w:p w:rsidR="00C21ACC" w:rsidRDefault="00C21ACC" w:rsidP="00873C8F">
      <w:pPr>
        <w:spacing w:after="100"/>
        <w:contextualSpacing/>
        <w:rPr>
          <w:lang w:val="fr-FR"/>
        </w:rPr>
      </w:pPr>
    </w:p>
    <w:p w:rsidR="00C21ACC" w:rsidRDefault="00C21ACC" w:rsidP="00C21ACC">
      <w:pPr>
        <w:spacing w:after="100"/>
        <w:rPr>
          <w:b/>
          <w:lang w:val="fr-FR"/>
        </w:rPr>
      </w:pPr>
      <w:r w:rsidRPr="00C21ACC">
        <w:rPr>
          <w:b/>
          <w:lang w:val="fr-FR"/>
        </w:rPr>
        <w:t>NATURE ET SOCIETE</w:t>
      </w:r>
    </w:p>
    <w:p w:rsidR="00C21ACC" w:rsidRDefault="00C21ACC" w:rsidP="00C21ACC">
      <w:pPr>
        <w:spacing w:after="100"/>
        <w:rPr>
          <w:b/>
          <w:lang w:val="fr-FR"/>
        </w:rPr>
      </w:pPr>
      <w:r>
        <w:rPr>
          <w:b/>
          <w:lang w:val="fr-FR"/>
        </w:rPr>
        <w:t>Introduction.</w:t>
      </w:r>
    </w:p>
    <w:p w:rsidR="00C21ACC" w:rsidRDefault="00C21ACC" w:rsidP="00873C8F">
      <w:pPr>
        <w:spacing w:after="100" w:line="240" w:lineRule="auto"/>
        <w:rPr>
          <w:lang w:val="fr-FR"/>
        </w:rPr>
      </w:pPr>
      <w:r>
        <w:rPr>
          <w:lang w:val="fr-FR"/>
        </w:rPr>
        <w:t>L’arbre (encyclopédique) de Diderot et l’arbre de Rousseau.</w:t>
      </w:r>
      <w:r w:rsidR="00873C8F">
        <w:rPr>
          <w:lang w:val="fr-FR"/>
        </w:rPr>
        <w:t xml:space="preserve"> </w:t>
      </w:r>
      <w:r>
        <w:rPr>
          <w:lang w:val="fr-FR"/>
        </w:rPr>
        <w:t xml:space="preserve">Homme </w:t>
      </w:r>
      <w:r w:rsidRPr="00C21ACC">
        <w:rPr>
          <w:i/>
          <w:lang w:val="fr-FR"/>
        </w:rPr>
        <w:t>prospectus</w:t>
      </w:r>
      <w:r>
        <w:rPr>
          <w:lang w:val="fr-FR"/>
        </w:rPr>
        <w:t xml:space="preserve"> vs </w:t>
      </w:r>
      <w:proofErr w:type="spellStart"/>
      <w:r w:rsidRPr="00C21ACC">
        <w:rPr>
          <w:i/>
          <w:lang w:val="fr-FR"/>
        </w:rPr>
        <w:t>respectus</w:t>
      </w:r>
      <w:proofErr w:type="spellEnd"/>
      <w:r>
        <w:rPr>
          <w:lang w:val="fr-FR"/>
        </w:rPr>
        <w:t>.</w:t>
      </w:r>
    </w:p>
    <w:p w:rsidR="00C21ACC" w:rsidRDefault="00C21ACC" w:rsidP="00873C8F">
      <w:pPr>
        <w:spacing w:after="100" w:line="240" w:lineRule="auto"/>
        <w:rPr>
          <w:lang w:val="fr-FR"/>
        </w:rPr>
      </w:pPr>
      <w:r>
        <w:rPr>
          <w:lang w:val="fr-FR"/>
        </w:rPr>
        <w:t xml:space="preserve">Le </w:t>
      </w:r>
      <w:r w:rsidRPr="00C21ACC">
        <w:rPr>
          <w:i/>
          <w:lang w:val="fr-FR"/>
        </w:rPr>
        <w:t>Discours sur les sciences et sur les arts</w:t>
      </w:r>
      <w:r>
        <w:rPr>
          <w:lang w:val="fr-FR"/>
        </w:rPr>
        <w:t>.</w:t>
      </w:r>
    </w:p>
    <w:p w:rsidR="00873C8F" w:rsidRDefault="00873C8F" w:rsidP="00873C8F">
      <w:pPr>
        <w:spacing w:after="100" w:line="240" w:lineRule="auto"/>
        <w:rPr>
          <w:lang w:val="fr-FR"/>
        </w:rPr>
      </w:pPr>
    </w:p>
    <w:p w:rsidR="00C21ACC" w:rsidRPr="00873C8F" w:rsidRDefault="00C21ACC" w:rsidP="00873C8F">
      <w:pPr>
        <w:pStyle w:val="Paragrafoelenco"/>
        <w:numPr>
          <w:ilvl w:val="0"/>
          <w:numId w:val="4"/>
        </w:numPr>
        <w:spacing w:after="100"/>
        <w:contextualSpacing w:val="0"/>
        <w:rPr>
          <w:b/>
          <w:lang w:val="fr-FR"/>
        </w:rPr>
      </w:pPr>
      <w:r w:rsidRPr="00873C8F">
        <w:rPr>
          <w:b/>
          <w:lang w:val="fr-FR"/>
        </w:rPr>
        <w:t>L’idée de NATURE au XVIII</w:t>
      </w:r>
      <w:r w:rsidRPr="00873C8F">
        <w:rPr>
          <w:b/>
          <w:vertAlign w:val="superscript"/>
          <w:lang w:val="fr-FR"/>
        </w:rPr>
        <w:t>e</w:t>
      </w:r>
      <w:r w:rsidRPr="00873C8F">
        <w:rPr>
          <w:b/>
          <w:lang w:val="fr-FR"/>
        </w:rPr>
        <w:t xml:space="preserve"> s.</w:t>
      </w:r>
    </w:p>
    <w:p w:rsidR="00C21ACC" w:rsidRDefault="00C21ACC" w:rsidP="00C21ACC">
      <w:pPr>
        <w:pStyle w:val="Paragrafoelenco"/>
        <w:numPr>
          <w:ilvl w:val="1"/>
          <w:numId w:val="4"/>
        </w:numPr>
        <w:spacing w:after="100"/>
        <w:rPr>
          <w:lang w:val="fr-FR"/>
        </w:rPr>
      </w:pPr>
      <w:r>
        <w:rPr>
          <w:lang w:val="fr-FR"/>
        </w:rPr>
        <w:t>Aspects divers de la curiosité scientifique au XVIII</w:t>
      </w:r>
      <w:r w:rsidRPr="00C21ACC">
        <w:rPr>
          <w:vertAlign w:val="superscript"/>
          <w:lang w:val="fr-FR"/>
        </w:rPr>
        <w:t>e</w:t>
      </w:r>
      <w:r>
        <w:rPr>
          <w:lang w:val="fr-FR"/>
        </w:rPr>
        <w:t xml:space="preserve"> s. L’observation. L’expérience. </w:t>
      </w:r>
    </w:p>
    <w:p w:rsidR="00C21ACC" w:rsidRDefault="00C21ACC" w:rsidP="00C21ACC">
      <w:pPr>
        <w:pStyle w:val="Paragrafoelenco"/>
        <w:numPr>
          <w:ilvl w:val="2"/>
          <w:numId w:val="4"/>
        </w:numPr>
        <w:spacing w:after="100"/>
        <w:rPr>
          <w:lang w:val="fr-FR"/>
        </w:rPr>
      </w:pPr>
      <w:r>
        <w:rPr>
          <w:lang w:val="fr-FR"/>
        </w:rPr>
        <w:t>Fontenelle : la dent d’or (</w:t>
      </w:r>
      <w:r w:rsidRPr="002322EE">
        <w:rPr>
          <w:i/>
          <w:lang w:val="fr-FR"/>
        </w:rPr>
        <w:t>Histoire des oracles</w:t>
      </w:r>
      <w:r>
        <w:rPr>
          <w:lang w:val="fr-FR"/>
        </w:rPr>
        <w:t>, 1687)</w:t>
      </w:r>
    </w:p>
    <w:p w:rsidR="00C21ACC" w:rsidRDefault="00C21ACC" w:rsidP="00C21ACC">
      <w:pPr>
        <w:pStyle w:val="Paragrafoelenco"/>
        <w:numPr>
          <w:ilvl w:val="2"/>
          <w:numId w:val="4"/>
        </w:numPr>
        <w:spacing w:after="100"/>
        <w:rPr>
          <w:lang w:val="fr-FR"/>
        </w:rPr>
      </w:pPr>
      <w:r>
        <w:rPr>
          <w:lang w:val="fr-FR"/>
        </w:rPr>
        <w:t xml:space="preserve">Diderot,  </w:t>
      </w:r>
      <w:r w:rsidRPr="002322EE">
        <w:rPr>
          <w:i/>
          <w:lang w:val="fr-FR"/>
        </w:rPr>
        <w:t>De l’Interprétation de la nature</w:t>
      </w:r>
      <w:r>
        <w:rPr>
          <w:lang w:val="fr-FR"/>
        </w:rPr>
        <w:t xml:space="preserve"> (1753)</w:t>
      </w:r>
    </w:p>
    <w:p w:rsidR="002322EE" w:rsidRPr="002322EE" w:rsidRDefault="002322EE" w:rsidP="002322EE">
      <w:pPr>
        <w:pStyle w:val="Paragrafoelenco"/>
        <w:numPr>
          <w:ilvl w:val="1"/>
          <w:numId w:val="4"/>
        </w:numPr>
        <w:spacing w:after="100"/>
        <w:rPr>
          <w:lang w:val="fr-FR"/>
        </w:rPr>
      </w:pPr>
      <w:r>
        <w:rPr>
          <w:lang w:val="fr-FR"/>
        </w:rPr>
        <w:t xml:space="preserve">Nature et création. </w:t>
      </w:r>
      <w:r w:rsidRPr="002322EE">
        <w:rPr>
          <w:i/>
          <w:lang w:val="fr-FR"/>
        </w:rPr>
        <w:t xml:space="preserve">Deus </w:t>
      </w:r>
      <w:proofErr w:type="spellStart"/>
      <w:r w:rsidRPr="002322EE">
        <w:rPr>
          <w:i/>
          <w:lang w:val="fr-FR"/>
        </w:rPr>
        <w:t>sive</w:t>
      </w:r>
      <w:proofErr w:type="spellEnd"/>
      <w:r w:rsidRPr="002322EE">
        <w:rPr>
          <w:i/>
          <w:lang w:val="fr-FR"/>
        </w:rPr>
        <w:t xml:space="preserve"> </w:t>
      </w:r>
      <w:proofErr w:type="spellStart"/>
      <w:r w:rsidRPr="002322EE">
        <w:rPr>
          <w:i/>
          <w:lang w:val="fr-FR"/>
        </w:rPr>
        <w:t>natura</w:t>
      </w:r>
      <w:proofErr w:type="spellEnd"/>
      <w:r w:rsidRPr="002322EE">
        <w:rPr>
          <w:i/>
          <w:lang w:val="fr-FR"/>
        </w:rPr>
        <w:t> ?</w:t>
      </w:r>
    </w:p>
    <w:p w:rsidR="002322EE" w:rsidRDefault="002322EE" w:rsidP="002322EE">
      <w:pPr>
        <w:pStyle w:val="Paragrafoelenco"/>
        <w:numPr>
          <w:ilvl w:val="1"/>
          <w:numId w:val="4"/>
        </w:numPr>
        <w:spacing w:after="100"/>
        <w:rPr>
          <w:lang w:val="fr-FR"/>
        </w:rPr>
      </w:pPr>
      <w:r>
        <w:rPr>
          <w:lang w:val="fr-FR"/>
        </w:rPr>
        <w:t>Dieu grand horloger. La « théologie naturelle ». Le déisme. La tolérance (</w:t>
      </w:r>
      <w:proofErr w:type="spellStart"/>
      <w:r>
        <w:rPr>
          <w:lang w:val="fr-FR"/>
        </w:rPr>
        <w:t>cfr</w:t>
      </w:r>
      <w:proofErr w:type="spellEnd"/>
      <w:r>
        <w:rPr>
          <w:lang w:val="fr-FR"/>
        </w:rPr>
        <w:t xml:space="preserve">. Voltaire, </w:t>
      </w:r>
      <w:r w:rsidRPr="00873C8F">
        <w:rPr>
          <w:i/>
          <w:lang w:val="fr-FR"/>
        </w:rPr>
        <w:t>Traité sur la toléranc</w:t>
      </w:r>
      <w:r>
        <w:rPr>
          <w:lang w:val="fr-FR"/>
        </w:rPr>
        <w:t>e, 1763).</w:t>
      </w:r>
    </w:p>
    <w:p w:rsidR="00873C8F" w:rsidRDefault="002322EE" w:rsidP="00873C8F">
      <w:pPr>
        <w:pStyle w:val="Paragrafoelenco"/>
        <w:numPr>
          <w:ilvl w:val="1"/>
          <w:numId w:val="4"/>
        </w:numPr>
        <w:spacing w:after="100"/>
        <w:rPr>
          <w:lang w:val="fr-FR"/>
        </w:rPr>
      </w:pPr>
      <w:r>
        <w:rPr>
          <w:lang w:val="fr-FR"/>
        </w:rPr>
        <w:t>Mécanisme et finalité</w:t>
      </w:r>
    </w:p>
    <w:p w:rsidR="002322EE" w:rsidRPr="00873C8F" w:rsidRDefault="002322EE" w:rsidP="00873C8F">
      <w:pPr>
        <w:pStyle w:val="Paragrafoelenco"/>
        <w:numPr>
          <w:ilvl w:val="1"/>
          <w:numId w:val="4"/>
        </w:numPr>
        <w:spacing w:after="100"/>
        <w:rPr>
          <w:lang w:val="fr-FR"/>
        </w:rPr>
      </w:pPr>
      <w:r w:rsidRPr="00873C8F">
        <w:rPr>
          <w:lang w:val="fr-FR"/>
        </w:rPr>
        <w:t xml:space="preserve">Mise en cause de la Providence. </w:t>
      </w:r>
      <w:r w:rsidR="00873C8F" w:rsidRPr="00873C8F">
        <w:rPr>
          <w:lang w:val="fr-FR"/>
        </w:rPr>
        <w:t xml:space="preserve">Voltaire, </w:t>
      </w:r>
      <w:r w:rsidR="00873C8F" w:rsidRPr="00873C8F">
        <w:rPr>
          <w:i/>
          <w:lang w:val="fr-FR"/>
        </w:rPr>
        <w:t>Poème sur le désastre de Lisbonne</w:t>
      </w:r>
      <w:r w:rsidR="00873C8F" w:rsidRPr="00873C8F">
        <w:rPr>
          <w:lang w:val="fr-FR"/>
        </w:rPr>
        <w:t xml:space="preserve"> (1756)</w:t>
      </w:r>
      <w:r w:rsidR="00873C8F">
        <w:rPr>
          <w:lang w:val="fr-FR"/>
        </w:rPr>
        <w:t xml:space="preserve">. </w:t>
      </w:r>
      <w:r w:rsidRPr="00873C8F">
        <w:rPr>
          <w:lang w:val="fr-FR"/>
        </w:rPr>
        <w:t>Athéisme et matérialisme.</w:t>
      </w:r>
    </w:p>
    <w:p w:rsidR="002322EE" w:rsidRDefault="002322EE" w:rsidP="002322EE">
      <w:pPr>
        <w:pStyle w:val="Paragrafoelenco"/>
        <w:numPr>
          <w:ilvl w:val="1"/>
          <w:numId w:val="4"/>
        </w:numPr>
        <w:spacing w:after="100"/>
        <w:rPr>
          <w:lang w:val="fr-FR"/>
        </w:rPr>
      </w:pPr>
      <w:r>
        <w:rPr>
          <w:lang w:val="fr-FR"/>
        </w:rPr>
        <w:t xml:space="preserve">Les sciences du vivant. L’ordre des espèces. Linné et son </w:t>
      </w:r>
      <w:r w:rsidRPr="00873C8F">
        <w:rPr>
          <w:i/>
          <w:lang w:val="fr-FR"/>
        </w:rPr>
        <w:t>Système de la nature</w:t>
      </w:r>
      <w:r>
        <w:rPr>
          <w:lang w:val="fr-FR"/>
        </w:rPr>
        <w:t xml:space="preserve"> (1735). Buffon et </w:t>
      </w:r>
      <w:r w:rsidRPr="00873C8F">
        <w:rPr>
          <w:i/>
          <w:lang w:val="fr-FR"/>
        </w:rPr>
        <w:t>l’Histoire naturelle</w:t>
      </w:r>
      <w:r>
        <w:rPr>
          <w:lang w:val="fr-FR"/>
        </w:rPr>
        <w:t xml:space="preserve"> (1749-1788). Du naturalisme au matérialisme expérimental</w:t>
      </w:r>
      <w:r w:rsidR="00873C8F">
        <w:rPr>
          <w:lang w:val="fr-FR"/>
        </w:rPr>
        <w:t>. Diderot</w:t>
      </w:r>
      <w:r w:rsidR="00873C8F" w:rsidRPr="00873C8F">
        <w:rPr>
          <w:i/>
          <w:lang w:val="fr-FR"/>
        </w:rPr>
        <w:t>, L</w:t>
      </w:r>
      <w:r w:rsidRPr="00873C8F">
        <w:rPr>
          <w:i/>
          <w:lang w:val="fr-FR"/>
        </w:rPr>
        <w:t>e rêve de d’Alember</w:t>
      </w:r>
      <w:r>
        <w:rPr>
          <w:lang w:val="fr-FR"/>
        </w:rPr>
        <w:t>t (1767).</w:t>
      </w:r>
    </w:p>
    <w:p w:rsidR="00873C8F" w:rsidRDefault="00873C8F" w:rsidP="00873C8F">
      <w:pPr>
        <w:pStyle w:val="Paragrafoelenco"/>
        <w:spacing w:after="100"/>
        <w:ind w:left="1080"/>
        <w:rPr>
          <w:lang w:val="fr-FR"/>
        </w:rPr>
      </w:pPr>
    </w:p>
    <w:p w:rsidR="00C21ACC" w:rsidRPr="00873C8F" w:rsidRDefault="00C21ACC" w:rsidP="00873C8F">
      <w:pPr>
        <w:pStyle w:val="Paragrafoelenco"/>
        <w:numPr>
          <w:ilvl w:val="0"/>
          <w:numId w:val="4"/>
        </w:numPr>
        <w:spacing w:after="100"/>
        <w:contextualSpacing w:val="0"/>
        <w:rPr>
          <w:b/>
          <w:lang w:val="fr-FR"/>
        </w:rPr>
      </w:pPr>
      <w:r w:rsidRPr="00873C8F">
        <w:rPr>
          <w:b/>
          <w:lang w:val="fr-FR"/>
        </w:rPr>
        <w:t>Nature humaine et histoire</w:t>
      </w:r>
    </w:p>
    <w:p w:rsidR="002322EE" w:rsidRDefault="002322EE" w:rsidP="002322EE">
      <w:pPr>
        <w:pStyle w:val="Paragrafoelenco"/>
        <w:numPr>
          <w:ilvl w:val="1"/>
          <w:numId w:val="4"/>
        </w:numPr>
        <w:spacing w:after="100"/>
        <w:rPr>
          <w:lang w:val="fr-FR"/>
        </w:rPr>
      </w:pPr>
      <w:r>
        <w:rPr>
          <w:lang w:val="fr-FR"/>
        </w:rPr>
        <w:t>L’anthropologie des Lumières.</w:t>
      </w:r>
    </w:p>
    <w:p w:rsidR="002322EE" w:rsidRDefault="002322EE" w:rsidP="002322EE">
      <w:pPr>
        <w:pStyle w:val="Paragrafoelenco"/>
        <w:numPr>
          <w:ilvl w:val="1"/>
          <w:numId w:val="4"/>
        </w:numPr>
        <w:spacing w:after="100"/>
        <w:rPr>
          <w:lang w:val="fr-FR"/>
        </w:rPr>
      </w:pPr>
      <w:r>
        <w:rPr>
          <w:lang w:val="fr-FR"/>
        </w:rPr>
        <w:t>Le mythe du « bon » sauvage et sa fonction critique</w:t>
      </w:r>
    </w:p>
    <w:p w:rsidR="002322EE" w:rsidRDefault="002322EE" w:rsidP="002322EE">
      <w:pPr>
        <w:pStyle w:val="Paragrafoelenco"/>
        <w:numPr>
          <w:ilvl w:val="1"/>
          <w:numId w:val="4"/>
        </w:numPr>
        <w:spacing w:after="100"/>
        <w:rPr>
          <w:lang w:val="fr-FR"/>
        </w:rPr>
      </w:pPr>
      <w:r>
        <w:rPr>
          <w:lang w:val="fr-FR"/>
        </w:rPr>
        <w:t xml:space="preserve">Rousseau : </w:t>
      </w:r>
      <w:r w:rsidRPr="002322EE">
        <w:rPr>
          <w:i/>
          <w:lang w:val="fr-FR"/>
        </w:rPr>
        <w:t>Le Discours sur l’origine et les fondements de l’inégalité parmi les hommes</w:t>
      </w:r>
      <w:r>
        <w:rPr>
          <w:lang w:val="fr-FR"/>
        </w:rPr>
        <w:t xml:space="preserve"> (1755). L’état de nature. L’état de « jeunesse du monde » et l’origine des langues. </w:t>
      </w:r>
    </w:p>
    <w:p w:rsidR="002322EE" w:rsidRDefault="002322EE" w:rsidP="002322EE">
      <w:pPr>
        <w:pStyle w:val="Paragrafoelenco"/>
        <w:numPr>
          <w:ilvl w:val="1"/>
          <w:numId w:val="4"/>
        </w:numPr>
        <w:spacing w:after="100"/>
        <w:rPr>
          <w:lang w:val="fr-FR"/>
        </w:rPr>
      </w:pPr>
      <w:r>
        <w:rPr>
          <w:lang w:val="fr-FR"/>
        </w:rPr>
        <w:t xml:space="preserve">Origine et fondement de la société. Le droit naturel. </w:t>
      </w:r>
      <w:r w:rsidRPr="002322EE">
        <w:rPr>
          <w:i/>
          <w:lang w:val="fr-FR"/>
        </w:rPr>
        <w:t>Du Contrat social</w:t>
      </w:r>
      <w:r>
        <w:rPr>
          <w:lang w:val="fr-FR"/>
        </w:rPr>
        <w:t xml:space="preserve"> (1762)</w:t>
      </w:r>
    </w:p>
    <w:p w:rsidR="00650F11" w:rsidRPr="00873C8F" w:rsidRDefault="002322EE" w:rsidP="00873C8F">
      <w:pPr>
        <w:pStyle w:val="Paragrafoelenco"/>
        <w:numPr>
          <w:ilvl w:val="1"/>
          <w:numId w:val="4"/>
        </w:numPr>
        <w:spacing w:after="100"/>
        <w:rPr>
          <w:lang w:val="fr-FR"/>
        </w:rPr>
      </w:pPr>
      <w:r w:rsidRPr="00873C8F">
        <w:rPr>
          <w:lang w:val="fr-FR"/>
        </w:rPr>
        <w:t>La fin de l’histoire : le despotisme ?</w:t>
      </w:r>
    </w:p>
    <w:sectPr w:rsidR="00650F11" w:rsidRPr="00873C8F" w:rsidSect="00E21C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CFA" w:rsidRDefault="00604CFA" w:rsidP="001B1FD8">
      <w:pPr>
        <w:spacing w:after="0" w:line="240" w:lineRule="auto"/>
      </w:pPr>
      <w:r>
        <w:separator/>
      </w:r>
    </w:p>
  </w:endnote>
  <w:endnote w:type="continuationSeparator" w:id="0">
    <w:p w:rsidR="00604CFA" w:rsidRDefault="00604CFA" w:rsidP="001B1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498" w:rsidRDefault="00F1049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498" w:rsidRDefault="00F10498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498" w:rsidRDefault="00F1049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CFA" w:rsidRDefault="00604CFA" w:rsidP="001B1FD8">
      <w:pPr>
        <w:spacing w:after="0" w:line="240" w:lineRule="auto"/>
      </w:pPr>
      <w:r>
        <w:separator/>
      </w:r>
    </w:p>
  </w:footnote>
  <w:footnote w:type="continuationSeparator" w:id="0">
    <w:p w:rsidR="00604CFA" w:rsidRDefault="00604CFA" w:rsidP="001B1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498" w:rsidRDefault="00F1049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1FC" w:rsidRDefault="00C21ACC" w:rsidP="005B61FC">
    <w:pPr>
      <w:rPr>
        <w:lang w:val="fr-FR"/>
      </w:rPr>
    </w:pPr>
    <w:r>
      <w:rPr>
        <w:lang w:val="fr-FR"/>
      </w:rPr>
      <w:t>Cours du 2/4/</w:t>
    </w:r>
    <w:r w:rsidR="00604CFA">
      <w:rPr>
        <w:lang w:val="fr-FR"/>
      </w:rPr>
      <w:t>2015</w:t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III</w:t>
    </w:r>
    <w:r w:rsidRPr="00C21ACC">
      <w:rPr>
        <w:vertAlign w:val="superscript"/>
        <w:lang w:val="fr-FR"/>
      </w:rPr>
      <w:t>e</w:t>
    </w:r>
    <w:r>
      <w:rPr>
        <w:lang w:val="fr-FR"/>
      </w:rPr>
      <w:t xml:space="preserve"> leçon</w:t>
    </w:r>
  </w:p>
  <w:p w:rsidR="005B61FC" w:rsidRDefault="00F10498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498" w:rsidRDefault="00F1049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3201E"/>
    <w:multiLevelType w:val="hybridMultilevel"/>
    <w:tmpl w:val="D1367D86"/>
    <w:lvl w:ilvl="0" w:tplc="0410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D444FD"/>
    <w:multiLevelType w:val="hybridMultilevel"/>
    <w:tmpl w:val="40D245DA"/>
    <w:lvl w:ilvl="0" w:tplc="0410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DF6B6A"/>
    <w:multiLevelType w:val="hybridMultilevel"/>
    <w:tmpl w:val="27B81EB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A6E3BA4"/>
    <w:multiLevelType w:val="hybridMultilevel"/>
    <w:tmpl w:val="4D9CAF60"/>
    <w:lvl w:ilvl="0" w:tplc="04100013">
      <w:start w:val="1"/>
      <w:numFmt w:val="upperRoman"/>
      <w:lvlText w:val="%1."/>
      <w:lvlJc w:val="right"/>
      <w:pPr>
        <w:ind w:left="360" w:hanging="360"/>
      </w:p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/>
  <w:rsids>
    <w:rsidRoot w:val="001B1FD8"/>
    <w:rsid w:val="001B1FD8"/>
    <w:rsid w:val="002322EE"/>
    <w:rsid w:val="00604CFA"/>
    <w:rsid w:val="00650F11"/>
    <w:rsid w:val="00873C8F"/>
    <w:rsid w:val="00A32539"/>
    <w:rsid w:val="00C21ACC"/>
    <w:rsid w:val="00F10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1FD8"/>
    <w:rPr>
      <w:rFonts w:eastAsiaTheme="minorEastAsia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1FD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1B1F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B1FD8"/>
    <w:rPr>
      <w:rFonts w:eastAsiaTheme="minorEastAsia"/>
      <w:lang w:val="en-US" w:bidi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B1F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B1FD8"/>
    <w:rPr>
      <w:rFonts w:eastAsiaTheme="minorEastAsia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2015-04-01T17:15:00Z</dcterms:created>
  <dcterms:modified xsi:type="dcterms:W3CDTF">2015-04-01T17:15:00Z</dcterms:modified>
  <cp:contentStatus>Finale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