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color w:val="000000"/>
          <w:sz w:val="27"/>
          <w:szCs w:val="27"/>
          <w:lang w:val="en-US"/>
        </w:rPr>
      </w:pPr>
      <w:r w:rsidRPr="003B6A29">
        <w:rPr>
          <w:rFonts w:ascii="AdvTT5235d5a9" w:hAnsi="AdvTT5235d5a9" w:cs="AdvTT5235d5a9"/>
          <w:color w:val="000000"/>
          <w:sz w:val="27"/>
          <w:szCs w:val="27"/>
          <w:lang w:val="en-US"/>
        </w:rPr>
        <w:t>Journal of Corporate Finance 42 (2017) 439–459</w:t>
      </w:r>
    </w:p>
    <w:p w:rsid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color w:val="000000"/>
          <w:sz w:val="27"/>
          <w:szCs w:val="27"/>
          <w:lang w:val="en-US"/>
        </w:rPr>
      </w:pPr>
      <w:bookmarkStart w:id="0" w:name="_GoBack"/>
      <w:bookmarkEnd w:id="0"/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color w:val="000000"/>
          <w:sz w:val="27"/>
          <w:szCs w:val="27"/>
          <w:lang w:val="en-US"/>
        </w:rPr>
      </w:pPr>
      <w:r w:rsidRPr="003B6A29">
        <w:rPr>
          <w:rFonts w:ascii="AdvTT5235d5a9" w:hAnsi="AdvTT5235d5a9" w:cs="AdvTT5235d5a9"/>
          <w:color w:val="000000"/>
          <w:sz w:val="27"/>
          <w:szCs w:val="27"/>
          <w:lang w:val="en-US"/>
        </w:rPr>
        <w:t>Governmental and independent venture capital investments in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color w:val="000000"/>
          <w:sz w:val="27"/>
          <w:szCs w:val="27"/>
          <w:lang w:val="en-US"/>
        </w:rPr>
      </w:pPr>
      <w:r w:rsidRPr="003B6A29">
        <w:rPr>
          <w:rFonts w:ascii="AdvTT5235d5a9" w:hAnsi="AdvTT5235d5a9" w:cs="AdvTT5235d5a9"/>
          <w:color w:val="000000"/>
          <w:sz w:val="27"/>
          <w:szCs w:val="27"/>
          <w:lang w:val="en-US"/>
        </w:rPr>
        <w:t xml:space="preserve">Europe: A </w:t>
      </w:r>
      <w:r w:rsidRPr="003B6A29">
        <w:rPr>
          <w:rFonts w:ascii="AdvTT5235d5a9+fb" w:hAnsi="AdvTT5235d5a9+fb" w:cs="AdvTT5235d5a9+fb"/>
          <w:color w:val="000000"/>
          <w:sz w:val="27"/>
          <w:szCs w:val="27"/>
          <w:lang w:val="en-US"/>
        </w:rPr>
        <w:t>fi</w:t>
      </w:r>
      <w:r w:rsidRPr="003B6A29">
        <w:rPr>
          <w:rFonts w:ascii="AdvTT5235d5a9" w:hAnsi="AdvTT5235d5a9" w:cs="AdvTT5235d5a9"/>
          <w:color w:val="000000"/>
          <w:sz w:val="27"/>
          <w:szCs w:val="27"/>
          <w:lang w:val="en-US"/>
        </w:rPr>
        <w:t>rm-level performance analysis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+20" w:hAnsi="AdvTT5235d5a9+20" w:cs="AdvTT5235d5a9+20"/>
          <w:color w:val="0000FF"/>
          <w:sz w:val="24"/>
          <w:szCs w:val="24"/>
          <w:lang w:val="en-US"/>
        </w:rPr>
      </w:pPr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Douglas J. Cumming </w:t>
      </w:r>
      <w:r w:rsidRPr="003B6A29">
        <w:rPr>
          <w:rFonts w:ascii="AdvTT5235d5a9" w:hAnsi="AdvTT5235d5a9" w:cs="AdvTT5235d5a9"/>
          <w:color w:val="0000FF"/>
          <w:sz w:val="14"/>
          <w:szCs w:val="14"/>
          <w:lang w:val="en-US"/>
        </w:rPr>
        <w:t>a</w:t>
      </w:r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, Luca </w:t>
      </w:r>
      <w:proofErr w:type="spellStart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>Grilli</w:t>
      </w:r>
      <w:proofErr w:type="spellEnd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 </w:t>
      </w:r>
      <w:r w:rsidRPr="003B6A29">
        <w:rPr>
          <w:rFonts w:ascii="AdvTT5235d5a9" w:hAnsi="AdvTT5235d5a9" w:cs="AdvTT5235d5a9"/>
          <w:color w:val="0000FF"/>
          <w:sz w:val="14"/>
          <w:szCs w:val="14"/>
          <w:lang w:val="en-US"/>
        </w:rPr>
        <w:t>b</w:t>
      </w:r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, </w:t>
      </w:r>
      <w:proofErr w:type="spellStart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>Samuele</w:t>
      </w:r>
      <w:proofErr w:type="spellEnd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 </w:t>
      </w:r>
      <w:proofErr w:type="spellStart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>Murtinu</w:t>
      </w:r>
      <w:proofErr w:type="spellEnd"/>
      <w:r w:rsidRPr="003B6A29">
        <w:rPr>
          <w:rFonts w:ascii="AdvTT5235d5a9" w:hAnsi="AdvTT5235d5a9" w:cs="AdvTT5235d5a9"/>
          <w:color w:val="000000"/>
          <w:sz w:val="21"/>
          <w:szCs w:val="21"/>
          <w:lang w:val="en-US"/>
        </w:rPr>
        <w:t xml:space="preserve"> </w:t>
      </w:r>
      <w:r w:rsidRPr="003B6A29">
        <w:rPr>
          <w:rFonts w:ascii="AdvTT5235d5a9" w:hAnsi="AdvTT5235d5a9" w:cs="AdvTT5235d5a9"/>
          <w:color w:val="0000FF"/>
          <w:sz w:val="14"/>
          <w:szCs w:val="14"/>
          <w:lang w:val="en-US"/>
        </w:rPr>
        <w:t>b</w:t>
      </w:r>
      <w:proofErr w:type="gramStart"/>
      <w:r w:rsidRPr="003B6A29">
        <w:rPr>
          <w:rFonts w:ascii="AdvTT5235d5a9" w:hAnsi="AdvTT5235d5a9" w:cs="AdvTT5235d5a9"/>
          <w:color w:val="0000FF"/>
          <w:sz w:val="14"/>
          <w:szCs w:val="14"/>
          <w:lang w:val="en-US"/>
        </w:rPr>
        <w:t>,</w:t>
      </w:r>
      <w:r w:rsidRPr="003B6A29">
        <w:rPr>
          <w:rFonts w:ascii="Arial" w:hAnsi="Arial" w:cs="Arial"/>
          <w:color w:val="0000FF"/>
          <w:sz w:val="24"/>
          <w:szCs w:val="24"/>
          <w:lang w:val="en-US"/>
        </w:rPr>
        <w:t>⁎</w:t>
      </w:r>
      <w:proofErr w:type="gramEnd"/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94c8263f.I" w:hAnsi="AdvTT94c8263f.I" w:cs="AdvTT94c8263f.I"/>
          <w:color w:val="000000"/>
          <w:sz w:val="13"/>
          <w:szCs w:val="13"/>
          <w:lang w:val="en-US"/>
        </w:rPr>
      </w:pPr>
      <w:proofErr w:type="gramStart"/>
      <w:r w:rsidRPr="003B6A29">
        <w:rPr>
          <w:rFonts w:ascii="AdvTT5235d5a9" w:hAnsi="AdvTT5235d5a9" w:cs="AdvTT5235d5a9"/>
          <w:color w:val="000000"/>
          <w:sz w:val="9"/>
          <w:szCs w:val="9"/>
          <w:lang w:val="en-US"/>
        </w:rPr>
        <w:t>a</w:t>
      </w:r>
      <w:proofErr w:type="gramEnd"/>
      <w:r w:rsidRPr="003B6A29">
        <w:rPr>
          <w:rFonts w:ascii="AdvTT5235d5a9" w:hAnsi="AdvTT5235d5a9" w:cs="AdvTT5235d5a9"/>
          <w:color w:val="000000"/>
          <w:sz w:val="9"/>
          <w:szCs w:val="9"/>
          <w:lang w:val="en-US"/>
        </w:rPr>
        <w:t xml:space="preserve"> </w:t>
      </w:r>
      <w:r w:rsidRPr="003B6A29">
        <w:rPr>
          <w:rFonts w:ascii="AdvTT94c8263f.I" w:hAnsi="AdvTT94c8263f.I" w:cs="AdvTT94c8263f.I"/>
          <w:color w:val="000000"/>
          <w:sz w:val="13"/>
          <w:szCs w:val="13"/>
          <w:lang w:val="en-US"/>
        </w:rPr>
        <w:t xml:space="preserve">York University - </w:t>
      </w:r>
      <w:proofErr w:type="spellStart"/>
      <w:r w:rsidRPr="003B6A29">
        <w:rPr>
          <w:rFonts w:ascii="AdvTT94c8263f.I" w:hAnsi="AdvTT94c8263f.I" w:cs="AdvTT94c8263f.I"/>
          <w:color w:val="000000"/>
          <w:sz w:val="13"/>
          <w:szCs w:val="13"/>
          <w:lang w:val="en-US"/>
        </w:rPr>
        <w:t>Schulich</w:t>
      </w:r>
      <w:proofErr w:type="spellEnd"/>
      <w:r w:rsidRPr="003B6A29">
        <w:rPr>
          <w:rFonts w:ascii="AdvTT94c8263f.I" w:hAnsi="AdvTT94c8263f.I" w:cs="AdvTT94c8263f.I"/>
          <w:color w:val="000000"/>
          <w:sz w:val="13"/>
          <w:szCs w:val="13"/>
          <w:lang w:val="en-US"/>
        </w:rPr>
        <w:t xml:space="preserve"> School of Business, 4700 </w:t>
      </w:r>
      <w:proofErr w:type="spellStart"/>
      <w:r w:rsidRPr="003B6A29">
        <w:rPr>
          <w:rFonts w:ascii="AdvTT94c8263f.I" w:hAnsi="AdvTT94c8263f.I" w:cs="AdvTT94c8263f.I"/>
          <w:color w:val="000000"/>
          <w:sz w:val="13"/>
          <w:szCs w:val="13"/>
          <w:lang w:val="en-US"/>
        </w:rPr>
        <w:t>Keele</w:t>
      </w:r>
      <w:proofErr w:type="spellEnd"/>
      <w:r w:rsidRPr="003B6A29">
        <w:rPr>
          <w:rFonts w:ascii="AdvTT94c8263f.I" w:hAnsi="AdvTT94c8263f.I" w:cs="AdvTT94c8263f.I"/>
          <w:color w:val="000000"/>
          <w:sz w:val="13"/>
          <w:szCs w:val="13"/>
          <w:lang w:val="en-US"/>
        </w:rPr>
        <w:t xml:space="preserve"> Street, Toronto, Ontario M3J 1P3, Canada</w:t>
      </w:r>
    </w:p>
    <w:p w:rsidR="003B6A29" w:rsidRDefault="003B6A29" w:rsidP="003B6A29">
      <w:pPr>
        <w:rPr>
          <w:lang w:val="en-US"/>
        </w:rPr>
      </w:pPr>
      <w:r>
        <w:rPr>
          <w:rFonts w:ascii="AdvTT5235d5a9" w:hAnsi="AdvTT5235d5a9" w:cs="AdvTT5235d5a9"/>
          <w:color w:val="000000"/>
          <w:sz w:val="9"/>
          <w:szCs w:val="9"/>
        </w:rPr>
        <w:t xml:space="preserve">b </w:t>
      </w:r>
      <w:r>
        <w:rPr>
          <w:rFonts w:ascii="AdvTT94c8263f.I" w:hAnsi="AdvTT94c8263f.I" w:cs="AdvTT94c8263f.I"/>
          <w:color w:val="000000"/>
          <w:sz w:val="13"/>
          <w:szCs w:val="13"/>
        </w:rPr>
        <w:t xml:space="preserve">Politecnico di Milano, </w:t>
      </w:r>
      <w:proofErr w:type="spellStart"/>
      <w:r>
        <w:rPr>
          <w:rFonts w:ascii="AdvTT94c8263f.I" w:hAnsi="AdvTT94c8263f.I" w:cs="AdvTT94c8263f.I"/>
          <w:color w:val="000000"/>
          <w:sz w:val="13"/>
          <w:szCs w:val="13"/>
        </w:rPr>
        <w:t>Department</w:t>
      </w:r>
      <w:proofErr w:type="spellEnd"/>
      <w:r>
        <w:rPr>
          <w:rFonts w:ascii="AdvTT94c8263f.I" w:hAnsi="AdvTT94c8263f.I" w:cs="AdvTT94c8263f.I"/>
          <w:color w:val="000000"/>
          <w:sz w:val="13"/>
          <w:szCs w:val="13"/>
        </w:rPr>
        <w:t xml:space="preserve"> of Management, </w:t>
      </w:r>
      <w:proofErr w:type="spellStart"/>
      <w:r>
        <w:rPr>
          <w:rFonts w:ascii="AdvTT94c8263f.I" w:hAnsi="AdvTT94c8263f.I" w:cs="AdvTT94c8263f.I"/>
          <w:color w:val="000000"/>
          <w:sz w:val="13"/>
          <w:szCs w:val="13"/>
        </w:rPr>
        <w:t>Economics</w:t>
      </w:r>
      <w:proofErr w:type="spellEnd"/>
      <w:r>
        <w:rPr>
          <w:rFonts w:ascii="AdvTT94c8263f.I" w:hAnsi="AdvTT94c8263f.I" w:cs="AdvTT94c8263f.I"/>
          <w:color w:val="000000"/>
          <w:sz w:val="13"/>
          <w:szCs w:val="13"/>
        </w:rPr>
        <w:t xml:space="preserve"> and Industrial </w:t>
      </w:r>
      <w:proofErr w:type="spellStart"/>
      <w:r>
        <w:rPr>
          <w:rFonts w:ascii="AdvTT94c8263f.I" w:hAnsi="AdvTT94c8263f.I" w:cs="AdvTT94c8263f.I"/>
          <w:color w:val="000000"/>
          <w:sz w:val="13"/>
          <w:szCs w:val="13"/>
        </w:rPr>
        <w:t>Engineering</w:t>
      </w:r>
      <w:proofErr w:type="spellEnd"/>
      <w:r>
        <w:rPr>
          <w:rFonts w:ascii="AdvTT94c8263f.I" w:hAnsi="AdvTT94c8263f.I" w:cs="AdvTT94c8263f.I"/>
          <w:color w:val="000000"/>
          <w:sz w:val="13"/>
          <w:szCs w:val="13"/>
        </w:rPr>
        <w:t xml:space="preserve">, Via R. </w:t>
      </w:r>
      <w:proofErr w:type="spellStart"/>
      <w:r>
        <w:rPr>
          <w:rFonts w:ascii="AdvTT94c8263f.I" w:hAnsi="AdvTT94c8263f.I" w:cs="AdvTT94c8263f.I"/>
          <w:color w:val="000000"/>
          <w:sz w:val="13"/>
          <w:szCs w:val="13"/>
        </w:rPr>
        <w:t>Lambruschini</w:t>
      </w:r>
      <w:proofErr w:type="spellEnd"/>
      <w:r>
        <w:rPr>
          <w:rFonts w:ascii="AdvTT94c8263f.I" w:hAnsi="AdvTT94c8263f.I" w:cs="AdvTT94c8263f.I"/>
          <w:color w:val="000000"/>
          <w:sz w:val="13"/>
          <w:szCs w:val="13"/>
        </w:rPr>
        <w:t xml:space="preserve"> 4/b, 20156 Milan, </w:t>
      </w:r>
      <w:proofErr w:type="spellStart"/>
      <w:r>
        <w:rPr>
          <w:rFonts w:ascii="AdvTT94c8263f.I" w:hAnsi="AdvTT94c8263f.I" w:cs="AdvTT94c8263f.I"/>
          <w:color w:val="000000"/>
          <w:sz w:val="13"/>
          <w:szCs w:val="13"/>
        </w:rPr>
        <w:t>Italy</w:t>
      </w:r>
      <w:proofErr w:type="spellEnd"/>
    </w:p>
    <w:p w:rsidR="003B6A29" w:rsidRDefault="003B6A29" w:rsidP="003B6A29">
      <w:pPr>
        <w:rPr>
          <w:lang w:val="en-US"/>
        </w:rPr>
      </w:pP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0f485e03" w:hAnsi="AdvTT0f485e03" w:cs="AdvTT0f485e03"/>
          <w:sz w:val="26"/>
          <w:szCs w:val="18"/>
          <w:lang w:val="en-US"/>
        </w:rPr>
      </w:pPr>
      <w:proofErr w:type="gramStart"/>
      <w:r w:rsidRPr="003B6A29">
        <w:rPr>
          <w:rFonts w:ascii="AdvTT0f485e03" w:hAnsi="AdvTT0f485e03" w:cs="AdvTT0f485e03"/>
          <w:sz w:val="26"/>
          <w:szCs w:val="18"/>
          <w:lang w:val="en-US"/>
        </w:rPr>
        <w:t>a</w:t>
      </w:r>
      <w:proofErr w:type="gramEnd"/>
      <w:r w:rsidRPr="003B6A29">
        <w:rPr>
          <w:rFonts w:ascii="AdvTT0f485e03" w:hAnsi="AdvTT0f485e03" w:cs="AdvTT0f485e03"/>
          <w:sz w:val="26"/>
          <w:szCs w:val="18"/>
          <w:lang w:val="en-US"/>
        </w:rPr>
        <w:t xml:space="preserve"> b s t r a c t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r w:rsidRPr="003B6A29">
        <w:rPr>
          <w:rFonts w:ascii="AdvTT5235d5a9" w:hAnsi="AdvTT5235d5a9" w:cs="AdvTT5235d5a9"/>
          <w:szCs w:val="14"/>
          <w:lang w:val="en-US"/>
        </w:rPr>
        <w:t>This paper examines the impact of government versus private independent venture capital (VC)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backing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on the exit performance of entrepreneurial </w:t>
      </w:r>
      <w:r w:rsidRPr="003B6A29">
        <w:rPr>
          <w:rFonts w:ascii="AdvTT5235d5a9+fb" w:hAnsi="AdvTT5235d5a9+fb" w:cs="AdvTT5235d5a9+fb"/>
          <w:szCs w:val="14"/>
          <w:lang w:val="en-US"/>
        </w:rPr>
        <w:t>fi</w:t>
      </w:r>
      <w:r w:rsidRPr="003B6A29">
        <w:rPr>
          <w:rFonts w:ascii="AdvTT5235d5a9" w:hAnsi="AdvTT5235d5a9" w:cs="AdvTT5235d5a9"/>
          <w:szCs w:val="14"/>
          <w:lang w:val="en-US"/>
        </w:rPr>
        <w:t xml:space="preserve">rms. Our analyses </w:t>
      </w:r>
      <w:proofErr w:type="gramStart"/>
      <w:r w:rsidRPr="003B6A29">
        <w:rPr>
          <w:rFonts w:ascii="AdvTT5235d5a9" w:hAnsi="AdvTT5235d5a9" w:cs="AdvTT5235d5a9"/>
          <w:szCs w:val="14"/>
          <w:lang w:val="en-US"/>
        </w:rPr>
        <w:t>are based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on the VICO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dataset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>, which avoids the coding problems of VC type in the Thompson Financial SDC dataset.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r w:rsidRPr="003B6A29">
        <w:rPr>
          <w:rFonts w:ascii="AdvTT5235d5a9" w:hAnsi="AdvTT5235d5a9" w:cs="AdvTT5235d5a9"/>
          <w:szCs w:val="14"/>
          <w:lang w:val="en-US"/>
        </w:rPr>
        <w:t>The data indicate that private independent VC-backed companies have better exit performance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than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government-backed companies. Mixed-syndicates of private-independent and governmental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r w:rsidRPr="003B6A29">
        <w:rPr>
          <w:rFonts w:ascii="AdvTT5235d5a9" w:hAnsi="AdvTT5235d5a9" w:cs="AdvTT5235d5a9"/>
          <w:szCs w:val="14"/>
          <w:lang w:val="en-US"/>
        </w:rPr>
        <w:t>VC investors give rise to a higher (but not statistically different) likelihood of positive exits than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that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of IVC-backing. Our </w:t>
      </w:r>
      <w:r w:rsidRPr="003B6A29">
        <w:rPr>
          <w:rFonts w:ascii="AdvTT5235d5a9+fb" w:hAnsi="AdvTT5235d5a9+fb" w:cs="AdvTT5235d5a9+fb"/>
          <w:szCs w:val="14"/>
          <w:lang w:val="en-US"/>
        </w:rPr>
        <w:t>fi</w:t>
      </w:r>
      <w:r w:rsidRPr="003B6A29">
        <w:rPr>
          <w:rFonts w:ascii="AdvTT5235d5a9" w:hAnsi="AdvTT5235d5a9" w:cs="AdvTT5235d5a9"/>
          <w:szCs w:val="14"/>
          <w:lang w:val="en-US"/>
        </w:rPr>
        <w:t xml:space="preserve">ndings </w:t>
      </w:r>
      <w:proofErr w:type="gramStart"/>
      <w:r w:rsidRPr="003B6A29">
        <w:rPr>
          <w:rFonts w:ascii="AdvTT5235d5a9" w:hAnsi="AdvTT5235d5a9" w:cs="AdvTT5235d5a9"/>
          <w:szCs w:val="14"/>
          <w:lang w:val="en-US"/>
        </w:rPr>
        <w:t>are not in</w:t>
      </w:r>
      <w:r w:rsidRPr="003B6A29">
        <w:rPr>
          <w:rFonts w:ascii="AdvTT5235d5a9+fb" w:hAnsi="AdvTT5235d5a9+fb" w:cs="AdvTT5235d5a9+fb"/>
          <w:szCs w:val="14"/>
          <w:lang w:val="en-US"/>
        </w:rPr>
        <w:t>fl</w:t>
      </w:r>
      <w:r w:rsidRPr="003B6A29">
        <w:rPr>
          <w:rFonts w:ascii="AdvTT5235d5a9" w:hAnsi="AdvTT5235d5a9" w:cs="AdvTT5235d5a9"/>
          <w:szCs w:val="14"/>
          <w:lang w:val="en-US"/>
        </w:rPr>
        <w:t>uenced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by the composition of the syndicate in terms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of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size and institutional heterogeneity. Our results remain stable after controlling for </w:t>
      </w:r>
      <w:proofErr w:type="spellStart"/>
      <w:r w:rsidRPr="003B6A29">
        <w:rPr>
          <w:rFonts w:ascii="AdvTT5235d5a9" w:hAnsi="AdvTT5235d5a9" w:cs="AdvTT5235d5a9"/>
          <w:szCs w:val="14"/>
          <w:lang w:val="en-US"/>
        </w:rPr>
        <w:t>endogeneity</w:t>
      </w:r>
      <w:proofErr w:type="spellEnd"/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concerns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>, selection bias, omitted variable bias, legal and institutional differences across countries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and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over time through several econometric techniques. Moreover, our results </w:t>
      </w:r>
      <w:proofErr w:type="gramStart"/>
      <w:r w:rsidRPr="003B6A29">
        <w:rPr>
          <w:rFonts w:ascii="AdvTT5235d5a9" w:hAnsi="AdvTT5235d5a9" w:cs="AdvTT5235d5a9"/>
          <w:szCs w:val="14"/>
          <w:lang w:val="en-US"/>
        </w:rPr>
        <w:t>are not driven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by: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spellStart"/>
      <w:r w:rsidRPr="003B6A29">
        <w:rPr>
          <w:rFonts w:ascii="AdvTT5235d5a9" w:hAnsi="AdvTT5235d5a9" w:cs="AdvTT5235d5a9"/>
          <w:szCs w:val="14"/>
          <w:lang w:val="en-US"/>
        </w:rPr>
        <w:t>i</w:t>
      </w:r>
      <w:proofErr w:type="spellEnd"/>
      <w:r w:rsidRPr="003B6A29">
        <w:rPr>
          <w:rFonts w:ascii="AdvTT5235d5a9" w:hAnsi="AdvTT5235d5a9" w:cs="AdvTT5235d5a9"/>
          <w:szCs w:val="14"/>
          <w:lang w:val="en-US"/>
        </w:rPr>
        <w:t xml:space="preserve">) </w:t>
      </w:r>
      <w:proofErr w:type="gramStart"/>
      <w:r w:rsidRPr="003B6A29">
        <w:rPr>
          <w:rFonts w:ascii="AdvTT5235d5a9" w:hAnsi="AdvTT5235d5a9" w:cs="AdvTT5235d5a9"/>
          <w:szCs w:val="14"/>
          <w:lang w:val="en-US"/>
        </w:rPr>
        <w:t>the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holding period of the different types of VC investors; ii) the potential signaling effect of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r w:rsidRPr="003B6A29">
        <w:rPr>
          <w:rFonts w:ascii="AdvTT5235d5a9" w:hAnsi="AdvTT5235d5a9" w:cs="AdvTT5235d5a9"/>
          <w:szCs w:val="14"/>
          <w:lang w:val="en-US"/>
        </w:rPr>
        <w:t xml:space="preserve">GVC towards IVC investors; iii) the </w:t>
      </w:r>
      <w:r w:rsidRPr="003B6A29">
        <w:rPr>
          <w:rFonts w:ascii="AdvTT5235d5a9+fb" w:hAnsi="AdvTT5235d5a9+fb" w:cs="AdvTT5235d5a9+fb"/>
          <w:szCs w:val="14"/>
          <w:lang w:val="en-US"/>
        </w:rPr>
        <w:t>fi</w:t>
      </w:r>
      <w:r w:rsidRPr="003B6A29">
        <w:rPr>
          <w:rFonts w:ascii="AdvTT5235d5a9" w:hAnsi="AdvTT5235d5a9" w:cs="AdvTT5235d5a9"/>
          <w:szCs w:val="14"/>
          <w:lang w:val="en-US"/>
        </w:rPr>
        <w:t xml:space="preserve">rm's </w:t>
      </w:r>
      <w:r w:rsidRPr="003B6A29">
        <w:rPr>
          <w:rFonts w:ascii="AdvTT5235d5a9+fb" w:hAnsi="AdvTT5235d5a9+fb" w:cs="AdvTT5235d5a9+fb"/>
          <w:szCs w:val="14"/>
          <w:lang w:val="en-US"/>
        </w:rPr>
        <w:t>fi</w:t>
      </w:r>
      <w:r w:rsidRPr="003B6A29">
        <w:rPr>
          <w:rFonts w:ascii="AdvTT5235d5a9" w:hAnsi="AdvTT5235d5a9" w:cs="AdvTT5235d5a9"/>
          <w:szCs w:val="14"/>
          <w:lang w:val="en-US"/>
        </w:rPr>
        <w:t>nancial structure and net cash-</w:t>
      </w:r>
      <w:r w:rsidRPr="003B6A29">
        <w:rPr>
          <w:rFonts w:ascii="AdvTT5235d5a9+fb" w:hAnsi="AdvTT5235d5a9+fb" w:cs="AdvTT5235d5a9+fb"/>
          <w:szCs w:val="14"/>
          <w:lang w:val="en-US"/>
        </w:rPr>
        <w:t>fl</w:t>
      </w:r>
      <w:r w:rsidRPr="003B6A29">
        <w:rPr>
          <w:rFonts w:ascii="AdvTT5235d5a9" w:hAnsi="AdvTT5235d5a9" w:cs="AdvTT5235d5a9"/>
          <w:szCs w:val="14"/>
          <w:lang w:val="en-US"/>
        </w:rPr>
        <w:t xml:space="preserve">ow ratio; </w:t>
      </w:r>
      <w:proofErr w:type="gramStart"/>
      <w:r w:rsidRPr="003B6A29">
        <w:rPr>
          <w:rFonts w:ascii="AdvTT5235d5a9" w:hAnsi="AdvTT5235d5a9" w:cs="AdvTT5235d5a9"/>
          <w:szCs w:val="14"/>
          <w:lang w:val="en-US"/>
        </w:rPr>
        <w:t>iv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>) the</w:t>
      </w:r>
    </w:p>
    <w:p w:rsidR="003B6A29" w:rsidRPr="003B6A29" w:rsidRDefault="003B6A29" w:rsidP="003B6A29">
      <w:pPr>
        <w:autoSpaceDE w:val="0"/>
        <w:autoSpaceDN w:val="0"/>
        <w:adjustRightInd w:val="0"/>
        <w:spacing w:after="0" w:line="240" w:lineRule="auto"/>
        <w:rPr>
          <w:rFonts w:ascii="AdvTT5235d5a9" w:hAnsi="AdvTT5235d5a9" w:cs="AdvTT5235d5a9"/>
          <w:szCs w:val="14"/>
          <w:lang w:val="en-US"/>
        </w:rPr>
      </w:pPr>
      <w:proofErr w:type="gramStart"/>
      <w:r w:rsidRPr="003B6A29">
        <w:rPr>
          <w:rFonts w:ascii="AdvTT5235d5a9" w:hAnsi="AdvTT5235d5a9" w:cs="AdvTT5235d5a9"/>
          <w:szCs w:val="14"/>
          <w:lang w:val="en-US"/>
        </w:rPr>
        <w:t>investment</w:t>
      </w:r>
      <w:proofErr w:type="gramEnd"/>
      <w:r w:rsidRPr="003B6A29">
        <w:rPr>
          <w:rFonts w:ascii="AdvTT5235d5a9" w:hAnsi="AdvTT5235d5a9" w:cs="AdvTT5235d5a9"/>
          <w:szCs w:val="14"/>
          <w:lang w:val="en-US"/>
        </w:rPr>
        <w:t xml:space="preserve"> stage; and v) the distance between the VC investor and the target company.</w:t>
      </w:r>
    </w:p>
    <w:p w:rsidR="003B6A29" w:rsidRPr="003B6A29" w:rsidRDefault="003B6A29" w:rsidP="003B6A29">
      <w:pPr>
        <w:rPr>
          <w:sz w:val="36"/>
          <w:lang w:val="en-US"/>
        </w:rPr>
      </w:pPr>
      <w:r w:rsidRPr="003B6A29">
        <w:rPr>
          <w:rFonts w:ascii="AdvTT5235d5a9" w:hAnsi="AdvTT5235d5a9" w:cs="AdvTT5235d5a9"/>
          <w:szCs w:val="14"/>
          <w:lang w:val="en-US"/>
        </w:rPr>
        <w:t>© 2014 Elsevier B.V. All rights reserved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>7. Concluding remarks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>Prior research indicates that different types of VC investors have a different impact on the performance of their portfolio companies.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>Despite the high presence of GVC funds in Europe, there is a dearth of contributions evaluating the performance of this specific</w:t>
      </w:r>
      <w:r>
        <w:rPr>
          <w:lang w:val="en-US"/>
        </w:rPr>
        <w:t xml:space="preserve"> </w:t>
      </w:r>
      <w:r w:rsidRPr="003B6A29">
        <w:rPr>
          <w:lang w:val="en-US"/>
        </w:rPr>
        <w:t>type of investor. In this work, using a large representative sample of European VC-backed and non-VC backed companies observed</w:t>
      </w:r>
      <w:r>
        <w:rPr>
          <w:lang w:val="en-US"/>
        </w:rPr>
        <w:t xml:space="preserve"> </w:t>
      </w:r>
      <w:r w:rsidRPr="003B6A29">
        <w:rPr>
          <w:lang w:val="en-US"/>
        </w:rPr>
        <w:t>from 1991 to 2010, we have compared the exit performance of GVC investors with the one of IVC funds and mixed IVC–GVC syndicates,</w:t>
      </w:r>
      <w:r>
        <w:rPr>
          <w:lang w:val="en-US"/>
        </w:rPr>
        <w:t xml:space="preserve"> </w:t>
      </w:r>
      <w:r w:rsidRPr="003B6A29">
        <w:rPr>
          <w:lang w:val="en-US"/>
        </w:rPr>
        <w:t>controlling for the yearly size and institutional heterogeneity of the syndicates.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 xml:space="preserve">Our econometric results </w:t>
      </w:r>
      <w:proofErr w:type="spellStart"/>
      <w:r w:rsidRPr="003B6A29">
        <w:rPr>
          <w:lang w:val="en-US"/>
        </w:rPr>
        <w:t>showthat</w:t>
      </w:r>
      <w:proofErr w:type="spellEnd"/>
      <w:r w:rsidRPr="003B6A29">
        <w:rPr>
          <w:lang w:val="en-US"/>
        </w:rPr>
        <w:t xml:space="preserve"> IVC-backed companies have a higher likelihood to reach a positive exit (IPO or trade-sale)</w:t>
      </w:r>
      <w:r>
        <w:rPr>
          <w:lang w:val="en-US"/>
        </w:rPr>
        <w:t xml:space="preserve"> </w:t>
      </w:r>
      <w:r w:rsidRPr="003B6A29">
        <w:rPr>
          <w:lang w:val="en-US"/>
        </w:rPr>
        <w:t>than GVC-backed ones. More interestingly, mixed IVC–GVC syndicated investments lead to a higher (but not statistically different)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likelihood of a positive exit than that of IVC-backing. This positive impact of IVC–GVC syndicates </w:t>
      </w:r>
      <w:proofErr w:type="gramStart"/>
      <w:r w:rsidRPr="003B6A29">
        <w:rPr>
          <w:lang w:val="en-US"/>
        </w:rPr>
        <w:t>is not found to be influenced</w:t>
      </w:r>
      <w:proofErr w:type="gramEnd"/>
      <w:r w:rsidRPr="003B6A29">
        <w:rPr>
          <w:lang w:val="en-US"/>
        </w:rPr>
        <w:t xml:space="preserve"> by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the composition of the syndicate in terms of size and institutional heterogeneity. Our findings are robust to several robustness checks– controlling for </w:t>
      </w:r>
      <w:proofErr w:type="spellStart"/>
      <w:r w:rsidRPr="003B6A29">
        <w:rPr>
          <w:lang w:val="en-US"/>
        </w:rPr>
        <w:t>endogeneity</w:t>
      </w:r>
      <w:proofErr w:type="spellEnd"/>
      <w:r w:rsidRPr="003B6A29">
        <w:rPr>
          <w:lang w:val="en-US"/>
        </w:rPr>
        <w:t xml:space="preserve"> concerns, selection bias, omitted variable bias, legal and institutional differences across countries and</w:t>
      </w:r>
      <w:r>
        <w:rPr>
          <w:lang w:val="en-US"/>
        </w:rPr>
        <w:t xml:space="preserve"> </w:t>
      </w:r>
      <w:r w:rsidRPr="003B6A29">
        <w:rPr>
          <w:lang w:val="en-US"/>
        </w:rPr>
        <w:t>over time through several econometric techniques – and alternative explanations.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>These results have important policy implications. First, our analysis sheds a negative light on the “go it alone” strategy of the</w:t>
      </w:r>
      <w:r>
        <w:rPr>
          <w:lang w:val="en-US"/>
        </w:rPr>
        <w:t xml:space="preserve"> </w:t>
      </w:r>
      <w:r w:rsidRPr="003B6A29">
        <w:rPr>
          <w:lang w:val="en-US"/>
        </w:rPr>
        <w:t>European GVC funds. In doing so, our study defines precise boundaries on the role of the State as active venture capitalist. In fact,</w:t>
      </w:r>
      <w:r>
        <w:rPr>
          <w:lang w:val="en-US"/>
        </w:rPr>
        <w:t xml:space="preserve"> </w:t>
      </w:r>
      <w:r w:rsidRPr="003B6A29">
        <w:rPr>
          <w:lang w:val="en-US"/>
        </w:rPr>
        <w:t>there is a positive economically and statistically relevant effect on the exit performance of young high-tech companies when governmental</w:t>
      </w:r>
      <w:r>
        <w:rPr>
          <w:lang w:val="en-US"/>
        </w:rPr>
        <w:t xml:space="preserve"> </w:t>
      </w:r>
      <w:r w:rsidRPr="003B6A29">
        <w:rPr>
          <w:lang w:val="en-US"/>
        </w:rPr>
        <w:t>bodies syndicate with IVCs, whichever the size and the composition of the syndicate. Fortunately, recent European policy initiatives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(e.g., the EU framework </w:t>
      </w:r>
      <w:proofErr w:type="spellStart"/>
      <w:r w:rsidRPr="003B6A29">
        <w:rPr>
          <w:lang w:val="en-US"/>
        </w:rPr>
        <w:t>programme</w:t>
      </w:r>
      <w:proofErr w:type="spellEnd"/>
      <w:r w:rsidRPr="003B6A29">
        <w:rPr>
          <w:lang w:val="en-US"/>
        </w:rPr>
        <w:t xml:space="preserve"> “Horizon 2020”) seem to go exactly this way through the pursuit of public–private</w:t>
      </w:r>
      <w:r>
        <w:rPr>
          <w:lang w:val="en-US"/>
        </w:rPr>
        <w:t xml:space="preserve"> </w:t>
      </w:r>
      <w:r w:rsidRPr="003B6A29">
        <w:rPr>
          <w:lang w:val="en-US"/>
        </w:rPr>
        <w:t>partnerships. Our findings totally support this view.</w:t>
      </w:r>
    </w:p>
    <w:p w:rsidR="003B6A29" w:rsidRPr="003B6A29" w:rsidRDefault="003B6A29" w:rsidP="003B6A29">
      <w:pPr>
        <w:rPr>
          <w:lang w:val="en-US"/>
        </w:rPr>
      </w:pPr>
      <w:r w:rsidRPr="003B6A29">
        <w:rPr>
          <w:lang w:val="en-US"/>
        </w:rPr>
        <w:t xml:space="preserve">However, our findings also contain a warning for the set-up of this typology of partnerships. In fact, echoing </w:t>
      </w:r>
      <w:proofErr w:type="spellStart"/>
      <w:r w:rsidRPr="003B6A29">
        <w:rPr>
          <w:lang w:val="en-US"/>
        </w:rPr>
        <w:t>Chahine</w:t>
      </w:r>
      <w:proofErr w:type="spellEnd"/>
      <w:r w:rsidRPr="003B6A29">
        <w:rPr>
          <w:lang w:val="en-US"/>
        </w:rPr>
        <w:t xml:space="preserve"> et al.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(2012), our results indicate that the increase of the institutional heterogeneity in VC </w:t>
      </w:r>
      <w:r w:rsidRPr="003B6A29">
        <w:rPr>
          <w:lang w:val="en-US"/>
        </w:rPr>
        <w:lastRenderedPageBreak/>
        <w:t>syndicates may increase the odds of portfolio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companies' liquidation. This is consistent with the fact that heterogeneous investors have different </w:t>
      </w:r>
      <w:proofErr w:type="gramStart"/>
      <w:r w:rsidRPr="003B6A29">
        <w:rPr>
          <w:lang w:val="en-US"/>
        </w:rPr>
        <w:t>objectives which</w:t>
      </w:r>
      <w:proofErr w:type="gramEnd"/>
      <w:r w:rsidRPr="003B6A29">
        <w:rPr>
          <w:lang w:val="en-US"/>
        </w:rPr>
        <w:t xml:space="preserve"> may</w:t>
      </w:r>
      <w:r>
        <w:rPr>
          <w:lang w:val="en-US"/>
        </w:rPr>
        <w:t xml:space="preserve"> </w:t>
      </w:r>
      <w:r w:rsidRPr="003B6A29">
        <w:rPr>
          <w:lang w:val="en-US"/>
        </w:rPr>
        <w:t>lead to principal–principal conflicts (Colombo et al., 2014). Therefore, if IVC–GVC syndicates are found to be beneficial on the</w:t>
      </w:r>
      <w:r>
        <w:rPr>
          <w:lang w:val="en-US"/>
        </w:rPr>
        <w:t xml:space="preserve"> </w:t>
      </w:r>
      <w:r w:rsidRPr="003B6A29">
        <w:rPr>
          <w:lang w:val="en-US"/>
        </w:rPr>
        <w:t>one side (i.e., favoring an exit through an IPO or a trade sale), the government and the independent venture capital investor should</w:t>
      </w:r>
      <w:r>
        <w:rPr>
          <w:lang w:val="en-US"/>
        </w:rPr>
        <w:t xml:space="preserve"> </w:t>
      </w:r>
      <w:r w:rsidRPr="003B6A29">
        <w:rPr>
          <w:lang w:val="en-US"/>
        </w:rPr>
        <w:t>always remind to keep the institutional heterogeneity of the syndicate at a manageable level in order to limit negative side-effects.</w:t>
      </w:r>
    </w:p>
    <w:p w:rsidR="00DF331D" w:rsidRPr="003B6A29" w:rsidRDefault="003B6A29" w:rsidP="003B6A29">
      <w:pPr>
        <w:rPr>
          <w:lang w:val="en-US"/>
        </w:rPr>
      </w:pPr>
      <w:r w:rsidRPr="003B6A29">
        <w:rPr>
          <w:lang w:val="en-US"/>
        </w:rPr>
        <w:t xml:space="preserve">To conclude, </w:t>
      </w:r>
      <w:proofErr w:type="spellStart"/>
      <w:r w:rsidRPr="003B6A29">
        <w:rPr>
          <w:lang w:val="en-US"/>
        </w:rPr>
        <w:t>thiswork</w:t>
      </w:r>
      <w:proofErr w:type="spellEnd"/>
      <w:r w:rsidRPr="003B6A29">
        <w:rPr>
          <w:lang w:val="en-US"/>
        </w:rPr>
        <w:t xml:space="preserve"> aimed at offering a general assessment on the performance of GVCs and IVCs and their syndicated activities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in the European </w:t>
      </w:r>
      <w:proofErr w:type="spellStart"/>
      <w:r w:rsidRPr="003B6A29">
        <w:rPr>
          <w:lang w:val="en-US"/>
        </w:rPr>
        <w:t>VCmarket</w:t>
      </w:r>
      <w:proofErr w:type="spellEnd"/>
      <w:r w:rsidRPr="003B6A29">
        <w:rPr>
          <w:lang w:val="en-US"/>
        </w:rPr>
        <w:t xml:space="preserve">. Of </w:t>
      </w:r>
      <w:proofErr w:type="spellStart"/>
      <w:r w:rsidRPr="003B6A29">
        <w:rPr>
          <w:lang w:val="en-US"/>
        </w:rPr>
        <w:t>course</w:t>
      </w:r>
      <w:proofErr w:type="gramStart"/>
      <w:r w:rsidRPr="003B6A29">
        <w:rPr>
          <w:lang w:val="en-US"/>
        </w:rPr>
        <w:t>,much</w:t>
      </w:r>
      <w:proofErr w:type="spellEnd"/>
      <w:proofErr w:type="gramEnd"/>
      <w:r w:rsidRPr="003B6A29">
        <w:rPr>
          <w:lang w:val="en-US"/>
        </w:rPr>
        <w:t xml:space="preserve"> remains to be investigated and several research directions might be undertaken. For example,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future research could deepen the diversity </w:t>
      </w:r>
      <w:proofErr w:type="spellStart"/>
      <w:r w:rsidRPr="003B6A29">
        <w:rPr>
          <w:lang w:val="en-US"/>
        </w:rPr>
        <w:t>amongVC</w:t>
      </w:r>
      <w:proofErr w:type="spellEnd"/>
      <w:r w:rsidRPr="003B6A29">
        <w:rPr>
          <w:lang w:val="en-US"/>
        </w:rPr>
        <w:t xml:space="preserve"> </w:t>
      </w:r>
      <w:proofErr w:type="spellStart"/>
      <w:r w:rsidRPr="003B6A29">
        <w:rPr>
          <w:lang w:val="en-US"/>
        </w:rPr>
        <w:t>syndicatemembers</w:t>
      </w:r>
      <w:proofErr w:type="spellEnd"/>
      <w:r w:rsidRPr="003B6A29">
        <w:rPr>
          <w:lang w:val="en-US"/>
        </w:rPr>
        <w:t>, exploring different dimensions than the institutional</w:t>
      </w:r>
      <w:r>
        <w:rPr>
          <w:lang w:val="en-US"/>
        </w:rPr>
        <w:t xml:space="preserve"> </w:t>
      </w:r>
      <w:r w:rsidRPr="003B6A29">
        <w:rPr>
          <w:lang w:val="en-US"/>
        </w:rPr>
        <w:t>one investigated here. An interesting element to bring into the analysis could be the reputation of VC syndicate members. Furthermore,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the heterogeneity of the GVC funds across European countries </w:t>
      </w:r>
      <w:proofErr w:type="gramStart"/>
      <w:r w:rsidRPr="003B6A29">
        <w:rPr>
          <w:lang w:val="en-US"/>
        </w:rPr>
        <w:t>could be explored</w:t>
      </w:r>
      <w:proofErr w:type="gramEnd"/>
      <w:r w:rsidRPr="003B6A29">
        <w:rPr>
          <w:lang w:val="en-US"/>
        </w:rPr>
        <w:t xml:space="preserve"> in terms of sources of financing, internal organization,</w:t>
      </w:r>
      <w:r>
        <w:rPr>
          <w:lang w:val="en-US"/>
        </w:rPr>
        <w:t xml:space="preserve"> </w:t>
      </w:r>
      <w:r w:rsidRPr="003B6A29">
        <w:rPr>
          <w:lang w:val="en-US"/>
        </w:rPr>
        <w:t xml:space="preserve">objectives and selection of portfolio companies. This way, it would be possible </w:t>
      </w:r>
      <w:proofErr w:type="gramStart"/>
      <w:r w:rsidRPr="003B6A29">
        <w:rPr>
          <w:lang w:val="en-US"/>
        </w:rPr>
        <w:t>to further understand</w:t>
      </w:r>
      <w:proofErr w:type="gramEnd"/>
      <w:r w:rsidRPr="003B6A29">
        <w:rPr>
          <w:lang w:val="en-US"/>
        </w:rPr>
        <w:t xml:space="preserve"> the conditions</w:t>
      </w:r>
      <w:r>
        <w:rPr>
          <w:lang w:val="en-US"/>
        </w:rPr>
        <w:t xml:space="preserve"> </w:t>
      </w:r>
      <w:r w:rsidRPr="003B6A29">
        <w:rPr>
          <w:lang w:val="en-US"/>
        </w:rPr>
        <w:t>under which GVCs play an important role for the development of the VC market.</w:t>
      </w:r>
      <w:r>
        <w:rPr>
          <w:lang w:val="en-US"/>
        </w:rPr>
        <w:t xml:space="preserve"> </w:t>
      </w:r>
    </w:p>
    <w:sectPr w:rsidR="00DF331D" w:rsidRPr="003B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59A" w:rsidRDefault="00E0359A" w:rsidP="003B6A29">
      <w:pPr>
        <w:spacing w:after="0" w:line="240" w:lineRule="auto"/>
      </w:pPr>
      <w:r>
        <w:separator/>
      </w:r>
    </w:p>
  </w:endnote>
  <w:endnote w:type="continuationSeparator" w:id="0">
    <w:p w:rsidR="00E0359A" w:rsidRDefault="00E0359A" w:rsidP="003B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235d5a9+f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5235d5a9+2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vTT94c8263f.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0f485e0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59A" w:rsidRDefault="00E0359A" w:rsidP="003B6A29">
      <w:pPr>
        <w:spacing w:after="0" w:line="240" w:lineRule="auto"/>
      </w:pPr>
      <w:r>
        <w:separator/>
      </w:r>
    </w:p>
  </w:footnote>
  <w:footnote w:type="continuationSeparator" w:id="0">
    <w:p w:rsidR="00E0359A" w:rsidRDefault="00E0359A" w:rsidP="003B6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5FA"/>
    <w:rsid w:val="003B6A29"/>
    <w:rsid w:val="004715FA"/>
    <w:rsid w:val="00DF331D"/>
    <w:rsid w:val="00E0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268E6"/>
  <w15:chartTrackingRefBased/>
  <w15:docId w15:val="{D4192C62-F835-44A9-A250-7BAE6FF1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A29"/>
  </w:style>
  <w:style w:type="paragraph" w:styleId="Footer">
    <w:name w:val="footer"/>
    <w:basedOn w:val="Normal"/>
    <w:link w:val="FooterChar"/>
    <w:uiPriority w:val="99"/>
    <w:unhideWhenUsed/>
    <w:rsid w:val="003B6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</dc:creator>
  <cp:keywords/>
  <dc:description/>
  <cp:lastModifiedBy>Vittorio</cp:lastModifiedBy>
  <cp:revision>2</cp:revision>
  <dcterms:created xsi:type="dcterms:W3CDTF">2017-03-12T19:10:00Z</dcterms:created>
  <dcterms:modified xsi:type="dcterms:W3CDTF">2017-03-12T19:10:00Z</dcterms:modified>
</cp:coreProperties>
</file>