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819" w:rsidRPr="00C80819" w:rsidRDefault="00C80819" w:rsidP="00B745A3">
      <w:pPr>
        <w:shd w:val="clear" w:color="auto" w:fill="FFFFFF"/>
        <w:spacing w:after="240" w:line="240" w:lineRule="auto"/>
        <w:jc w:val="both"/>
        <w:rPr>
          <w:rFonts w:ascii="Times New Roman" w:eastAsia="Times New Roman" w:hAnsi="Times New Roman" w:cs="Times New Roman"/>
          <w:b/>
          <w:sz w:val="24"/>
          <w:szCs w:val="24"/>
          <w:u w:val="thick"/>
          <w:lang w:eastAsia="it-IT"/>
        </w:rPr>
      </w:pPr>
      <w:r w:rsidRPr="00C80819">
        <w:rPr>
          <w:rFonts w:ascii="Times New Roman" w:eastAsia="Times New Roman" w:hAnsi="Times New Roman" w:cs="Times New Roman"/>
          <w:b/>
          <w:sz w:val="24"/>
          <w:szCs w:val="24"/>
          <w:u w:val="thick"/>
          <w:lang w:eastAsia="it-IT"/>
        </w:rPr>
        <w:t>Estradizione di cittadini europei in mobilità verso Stati terzi; principio di non discriminazione; diritti fondamentali della persona (la Carta)</w:t>
      </w:r>
    </w:p>
    <w:p w:rsidR="00C80819" w:rsidRPr="00C80819" w:rsidRDefault="00C80819" w:rsidP="00C80819">
      <w:pPr>
        <w:shd w:val="clear" w:color="auto" w:fill="FFFFFF"/>
        <w:spacing w:after="240" w:line="240" w:lineRule="auto"/>
        <w:jc w:val="both"/>
        <w:rPr>
          <w:rFonts w:ascii="Times New Roman" w:eastAsia="Times New Roman" w:hAnsi="Times New Roman" w:cs="Times New Roman"/>
          <w:sz w:val="24"/>
          <w:szCs w:val="24"/>
          <w:lang w:eastAsia="it-IT"/>
        </w:rPr>
      </w:pPr>
    </w:p>
    <w:p w:rsidR="00B808AA" w:rsidRDefault="00B745A3" w:rsidP="00B745A3">
      <w:pPr>
        <w:pStyle w:val="Paragrafoelenco"/>
        <w:numPr>
          <w:ilvl w:val="0"/>
          <w:numId w:val="1"/>
        </w:numPr>
        <w:shd w:val="clear" w:color="auto" w:fill="FFFFFF"/>
        <w:spacing w:after="240" w:line="240" w:lineRule="auto"/>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Libera circolazione dei cittadini dell’Unione europea</w:t>
      </w:r>
      <w:r>
        <w:rPr>
          <w:rFonts w:ascii="Times New Roman" w:eastAsia="Times New Roman" w:hAnsi="Times New Roman" w:cs="Times New Roman"/>
          <w:sz w:val="24"/>
          <w:szCs w:val="24"/>
          <w:lang w:eastAsia="it-IT"/>
        </w:rPr>
        <w:t xml:space="preserve"> (art. 21 TFUE)</w:t>
      </w:r>
      <w:r w:rsidRPr="00B745A3">
        <w:rPr>
          <w:rFonts w:ascii="Times New Roman" w:eastAsia="Times New Roman" w:hAnsi="Times New Roman" w:cs="Times New Roman"/>
          <w:sz w:val="24"/>
          <w:szCs w:val="24"/>
          <w:lang w:eastAsia="it-IT"/>
        </w:rPr>
        <w:t xml:space="preserve">; protezione contro l’estradizione verso uno Stato terzo; </w:t>
      </w:r>
      <w:r>
        <w:rPr>
          <w:rFonts w:ascii="Times New Roman" w:eastAsia="Times New Roman" w:hAnsi="Times New Roman" w:cs="Times New Roman"/>
          <w:sz w:val="24"/>
          <w:szCs w:val="24"/>
          <w:lang w:eastAsia="it-IT"/>
        </w:rPr>
        <w:t xml:space="preserve">divieto di discriminazione in base alla nazionalità nell’ambito d’applicazione del Trattato (art. 18 TFUE); trattamento differente dei cittadini nazionali e dei cittadini di altri Stati membri quanto alla facoltà di negare l’estradizione; accordo bilaterale fra la Lettonia e la Russia; </w:t>
      </w:r>
      <w:r w:rsidR="00645210">
        <w:rPr>
          <w:rFonts w:ascii="Times New Roman" w:eastAsia="Times New Roman" w:hAnsi="Times New Roman" w:cs="Times New Roman"/>
          <w:sz w:val="24"/>
          <w:szCs w:val="24"/>
          <w:lang w:eastAsia="it-IT"/>
        </w:rPr>
        <w:t>cooperazione penale internazionale, lotta contro</w:t>
      </w:r>
      <w:r>
        <w:rPr>
          <w:rFonts w:ascii="Times New Roman" w:eastAsia="Times New Roman" w:hAnsi="Times New Roman" w:cs="Times New Roman"/>
          <w:sz w:val="24"/>
          <w:szCs w:val="24"/>
          <w:lang w:eastAsia="it-IT"/>
        </w:rPr>
        <w:t xml:space="preserve"> l’impunità</w:t>
      </w:r>
      <w:r w:rsidR="00645210">
        <w:rPr>
          <w:rFonts w:ascii="Times New Roman" w:eastAsia="Times New Roman" w:hAnsi="Times New Roman" w:cs="Times New Roman"/>
          <w:sz w:val="24"/>
          <w:szCs w:val="24"/>
          <w:lang w:eastAsia="it-IT"/>
        </w:rPr>
        <w:t>; giustificazione del diverso trattamento dei cittadini di altri Stati membri</w:t>
      </w:r>
      <w:r>
        <w:rPr>
          <w:rFonts w:ascii="Times New Roman" w:eastAsia="Times New Roman" w:hAnsi="Times New Roman" w:cs="Times New Roman"/>
          <w:sz w:val="24"/>
          <w:szCs w:val="24"/>
          <w:lang w:eastAsia="it-IT"/>
        </w:rPr>
        <w:t>;</w:t>
      </w:r>
      <w:r w:rsidR="00645210">
        <w:rPr>
          <w:rFonts w:ascii="Times New Roman" w:eastAsia="Times New Roman" w:hAnsi="Times New Roman" w:cs="Times New Roman"/>
          <w:sz w:val="24"/>
          <w:szCs w:val="24"/>
          <w:lang w:eastAsia="it-IT"/>
        </w:rPr>
        <w:t xml:space="preserve"> principio di proporzionalità; </w:t>
      </w:r>
      <w:r w:rsidR="00B808AA">
        <w:rPr>
          <w:rFonts w:ascii="Times New Roman" w:eastAsia="Times New Roman" w:hAnsi="Times New Roman" w:cs="Times New Roman"/>
          <w:sz w:val="24"/>
          <w:szCs w:val="24"/>
          <w:lang w:eastAsia="it-IT"/>
        </w:rPr>
        <w:t>divieto di tortura e trattamenti inumani e degradanti (art. 3 CEDU e art. 19 Carta)</w:t>
      </w:r>
    </w:p>
    <w:p w:rsidR="00230BE8" w:rsidRDefault="00230BE8" w:rsidP="00B745A3">
      <w:pPr>
        <w:pStyle w:val="Paragrafoelenco"/>
        <w:numPr>
          <w:ilvl w:val="0"/>
          <w:numId w:val="1"/>
        </w:numPr>
        <w:shd w:val="clear" w:color="auto" w:fill="FFFFFF"/>
        <w:spacing w:after="24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 maggiori dettagli si vedano (</w:t>
      </w:r>
      <w:hyperlink r:id="rId5" w:history="1">
        <w:r w:rsidRPr="004E4374">
          <w:rPr>
            <w:rStyle w:val="Collegamentoipertestuale"/>
            <w:rFonts w:ascii="Times New Roman" w:eastAsia="Times New Roman" w:hAnsi="Times New Roman" w:cs="Times New Roman"/>
            <w:sz w:val="24"/>
            <w:szCs w:val="24"/>
            <w:lang w:eastAsia="it-IT"/>
          </w:rPr>
          <w:t>www.curia.eu</w:t>
        </w:r>
      </w:hyperlink>
      <w:r>
        <w:rPr>
          <w:rFonts w:ascii="Times New Roman" w:eastAsia="Times New Roman" w:hAnsi="Times New Roman" w:cs="Times New Roman"/>
          <w:sz w:val="24"/>
          <w:szCs w:val="24"/>
          <w:lang w:eastAsia="it-IT"/>
        </w:rPr>
        <w:t>) le conclusioni dell’avvocato generale Yves Bot</w:t>
      </w:r>
    </w:p>
    <w:p w:rsidR="00B745A3" w:rsidRPr="00B745A3" w:rsidRDefault="00B808AA" w:rsidP="00B745A3">
      <w:pPr>
        <w:pStyle w:val="Paragrafoelenco"/>
        <w:numPr>
          <w:ilvl w:val="0"/>
          <w:numId w:val="1"/>
        </w:numPr>
        <w:shd w:val="clear" w:color="auto" w:fill="FFFFFF"/>
        <w:spacing w:after="24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conclusione della sentenza la Guida alla lettura</w:t>
      </w:r>
      <w:r w:rsidR="00B745A3">
        <w:rPr>
          <w:rFonts w:ascii="Times New Roman" w:eastAsia="Times New Roman" w:hAnsi="Times New Roman" w:cs="Times New Roman"/>
          <w:sz w:val="24"/>
          <w:szCs w:val="24"/>
          <w:lang w:eastAsia="it-IT"/>
        </w:rPr>
        <w:t xml:space="preserve"> </w:t>
      </w:r>
    </w:p>
    <w:p w:rsid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
    <w:p w:rsid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
    <w:p w:rsidR="00B745A3" w:rsidRPr="00B745A3" w:rsidRDefault="00B745A3" w:rsidP="00B745A3">
      <w:pPr>
        <w:shd w:val="clear" w:color="auto" w:fill="FFFFFF"/>
        <w:spacing w:after="240" w:line="240" w:lineRule="auto"/>
        <w:ind w:left="567"/>
        <w:jc w:val="center"/>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SENTENZA DELLA CORTE (Grande Sezione)</w:t>
      </w:r>
    </w:p>
    <w:p w:rsidR="00B745A3" w:rsidRPr="00B745A3" w:rsidRDefault="00B745A3" w:rsidP="00B745A3">
      <w:pPr>
        <w:shd w:val="clear" w:color="auto" w:fill="FFFFFF"/>
        <w:spacing w:after="240" w:line="240" w:lineRule="auto"/>
        <w:ind w:left="567"/>
        <w:jc w:val="center"/>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6 settembre 2016 (</w:t>
      </w:r>
      <w:bookmarkStart w:id="0" w:name="Footref*"/>
      <w:r w:rsidRPr="00B745A3">
        <w:rPr>
          <w:rFonts w:ascii="Times New Roman" w:eastAsia="Times New Roman" w:hAnsi="Times New Roman" w:cs="Times New Roman"/>
          <w:sz w:val="24"/>
          <w:szCs w:val="24"/>
          <w:lang w:eastAsia="it-IT"/>
        </w:rPr>
        <w:fldChar w:fldCharType="begin"/>
      </w:r>
      <w:r w:rsidRPr="00B745A3">
        <w:rPr>
          <w:rFonts w:ascii="Times New Roman" w:eastAsia="Times New Roman" w:hAnsi="Times New Roman" w:cs="Times New Roman"/>
          <w:sz w:val="24"/>
          <w:szCs w:val="24"/>
          <w:lang w:eastAsia="it-IT"/>
        </w:rPr>
        <w:instrText xml:space="preserve"> HYPERLINK "http://curia.europa.eu/juris/document/document.jsf?text=Petruhhin&amp;docid=183097&amp;pageIndex=0&amp;doclang=it&amp;mode=req&amp;dir=&amp;occ=first&amp;part=1&amp;cid=672252" \l "Footnote*" </w:instrText>
      </w:r>
      <w:r w:rsidRPr="00B745A3">
        <w:rPr>
          <w:rFonts w:ascii="Times New Roman" w:eastAsia="Times New Roman" w:hAnsi="Times New Roman" w:cs="Times New Roman"/>
          <w:sz w:val="24"/>
          <w:szCs w:val="24"/>
          <w:lang w:eastAsia="it-IT"/>
        </w:rPr>
        <w:fldChar w:fldCharType="separate"/>
      </w:r>
      <w:r w:rsidRPr="00B745A3">
        <w:rPr>
          <w:rFonts w:ascii="Times New Roman" w:eastAsia="Times New Roman" w:hAnsi="Times New Roman" w:cs="Times New Roman"/>
          <w:sz w:val="24"/>
          <w:szCs w:val="24"/>
          <w:lang w:eastAsia="it-IT"/>
        </w:rPr>
        <w:t>*</w:t>
      </w:r>
      <w:r w:rsidRPr="00B745A3">
        <w:rPr>
          <w:rFonts w:ascii="Times New Roman" w:eastAsia="Times New Roman" w:hAnsi="Times New Roman" w:cs="Times New Roman"/>
          <w:sz w:val="24"/>
          <w:szCs w:val="24"/>
          <w:lang w:eastAsia="it-IT"/>
        </w:rPr>
        <w:fldChar w:fldCharType="end"/>
      </w:r>
      <w:bookmarkEnd w:id="0"/>
      <w:r w:rsidRPr="00B745A3">
        <w:rPr>
          <w:rFonts w:ascii="Times New Roman" w:eastAsia="Times New Roman" w:hAnsi="Times New Roman" w:cs="Times New Roman"/>
          <w:sz w:val="24"/>
          <w:szCs w:val="24"/>
          <w:lang w:eastAsia="it-IT"/>
        </w:rPr>
        <w:t>)</w:t>
      </w:r>
    </w:p>
    <w:p w:rsidR="00B745A3" w:rsidRPr="00B745A3" w:rsidRDefault="00B745A3" w:rsidP="00B745A3">
      <w:pPr>
        <w:shd w:val="clear" w:color="auto" w:fill="FFFFFF"/>
        <w:spacing w:before="600" w:after="560" w:line="240" w:lineRule="auto"/>
        <w:ind w:left="567"/>
        <w:jc w:val="center"/>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«Rinvio pregiudiziale – Cittadinanza dell’Unione europea – Estradizione in uno Stato terzo di un cittadino di uno Stato membro che ha esercitato il diritto di libera circolazione –– Ambito di applicazione del diritto dell’Unione – Protezione dei cittadini di uno Stato membro contro l’estradizione – Assenza di protezione dei cittadini degli altri Stati membri – Restrizione alla libera circolazione – Giustificazione fondata sulla prevenzione dell’impunità – Proporzionalità – Verifica delle garanzie previste dall’articolo 19 della Carta dei diritti fondamentali dell’Unione europea».</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Nella causa C</w:t>
      </w:r>
      <w:r w:rsidRPr="00B745A3">
        <w:rPr>
          <w:rFonts w:ascii="Times New Roman" w:eastAsia="Times New Roman" w:hAnsi="Times New Roman" w:cs="Times New Roman"/>
          <w:sz w:val="24"/>
          <w:szCs w:val="24"/>
          <w:lang w:eastAsia="it-IT"/>
        </w:rPr>
        <w:noBreakHyphen/>
        <w:t>182/15,</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roofErr w:type="gramStart"/>
      <w:r w:rsidRPr="00B745A3">
        <w:rPr>
          <w:rFonts w:ascii="Times New Roman" w:eastAsia="Times New Roman" w:hAnsi="Times New Roman" w:cs="Times New Roman"/>
          <w:sz w:val="24"/>
          <w:szCs w:val="24"/>
          <w:lang w:eastAsia="it-IT"/>
        </w:rPr>
        <w:t>avente</w:t>
      </w:r>
      <w:proofErr w:type="gramEnd"/>
      <w:r w:rsidRPr="00B745A3">
        <w:rPr>
          <w:rFonts w:ascii="Times New Roman" w:eastAsia="Times New Roman" w:hAnsi="Times New Roman" w:cs="Times New Roman"/>
          <w:sz w:val="24"/>
          <w:szCs w:val="24"/>
          <w:lang w:eastAsia="it-IT"/>
        </w:rPr>
        <w:t xml:space="preserve"> a oggetto la domanda di pronuncia pregiudiziale proposta alla Corte, ai sensi dell’articolo 267 TFUE, dall’</w:t>
      </w:r>
      <w:proofErr w:type="spellStart"/>
      <w:r w:rsidRPr="00B745A3">
        <w:rPr>
          <w:rFonts w:ascii="Times New Roman" w:eastAsia="Times New Roman" w:hAnsi="Times New Roman" w:cs="Times New Roman"/>
          <w:sz w:val="24"/>
          <w:szCs w:val="24"/>
          <w:lang w:eastAsia="it-IT"/>
        </w:rPr>
        <w:t>Augstākā</w:t>
      </w:r>
      <w:proofErr w:type="spellEnd"/>
      <w:r w:rsidRPr="00B745A3">
        <w:rPr>
          <w:rFonts w:ascii="Times New Roman" w:eastAsia="Times New Roman" w:hAnsi="Times New Roman" w:cs="Times New Roman"/>
          <w:sz w:val="24"/>
          <w:szCs w:val="24"/>
          <w:lang w:eastAsia="it-IT"/>
        </w:rPr>
        <w:t xml:space="preserve"> </w:t>
      </w:r>
      <w:proofErr w:type="spellStart"/>
      <w:r w:rsidRPr="00B745A3">
        <w:rPr>
          <w:rFonts w:ascii="Times New Roman" w:eastAsia="Times New Roman" w:hAnsi="Times New Roman" w:cs="Times New Roman"/>
          <w:sz w:val="24"/>
          <w:szCs w:val="24"/>
          <w:lang w:eastAsia="it-IT"/>
        </w:rPr>
        <w:t>tiesa</w:t>
      </w:r>
      <w:proofErr w:type="spellEnd"/>
      <w:r w:rsidRPr="00B745A3">
        <w:rPr>
          <w:rFonts w:ascii="Times New Roman" w:eastAsia="Times New Roman" w:hAnsi="Times New Roman" w:cs="Times New Roman"/>
          <w:sz w:val="24"/>
          <w:szCs w:val="24"/>
          <w:lang w:eastAsia="it-IT"/>
        </w:rPr>
        <w:t xml:space="preserve"> (Corte suprema, Lettonia), con decisione del 26 marzo 2015, pervenuta in cancelleria il 22 aprile 2015, nel procedimento relativo all’estradizione di</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roofErr w:type="spellStart"/>
      <w:r w:rsidRPr="00B745A3">
        <w:rPr>
          <w:rFonts w:ascii="Times New Roman" w:eastAsia="Times New Roman" w:hAnsi="Times New Roman" w:cs="Times New Roman"/>
          <w:b/>
          <w:bCs/>
          <w:sz w:val="24"/>
          <w:szCs w:val="24"/>
          <w:lang w:eastAsia="it-IT"/>
        </w:rPr>
        <w:t>Aleksei</w:t>
      </w:r>
      <w:proofErr w:type="spellEnd"/>
      <w:r w:rsidRPr="00B745A3">
        <w:rPr>
          <w:rFonts w:ascii="Times New Roman" w:eastAsia="Times New Roman" w:hAnsi="Times New Roman" w:cs="Times New Roman"/>
          <w:b/>
          <w:bCs/>
          <w:sz w:val="24"/>
          <w:szCs w:val="24"/>
          <w:lang w:eastAsia="it-IT"/>
        </w:rPr>
        <w:t> </w:t>
      </w:r>
      <w:bookmarkStart w:id="1" w:name="ctx1"/>
      <w:proofErr w:type="spellStart"/>
      <w:r w:rsidRPr="00B745A3">
        <w:rPr>
          <w:rFonts w:ascii="Times New Roman" w:eastAsia="Times New Roman" w:hAnsi="Times New Roman" w:cs="Times New Roman"/>
          <w:b/>
          <w:bCs/>
          <w:sz w:val="24"/>
          <w:szCs w:val="24"/>
          <w:lang w:eastAsia="it-IT"/>
        </w:rPr>
        <w:t>Petruhhin</w:t>
      </w:r>
      <w:bookmarkEnd w:id="1"/>
      <w:proofErr w:type="spellEnd"/>
      <w:r w:rsidRPr="00B745A3">
        <w:rPr>
          <w:rFonts w:ascii="Times New Roman" w:eastAsia="Times New Roman" w:hAnsi="Times New Roman" w:cs="Times New Roman"/>
          <w:b/>
          <w:bCs/>
          <w:sz w:val="24"/>
          <w:szCs w:val="24"/>
          <w:lang w:eastAsia="it-IT"/>
        </w:rPr>
        <w:t>,</w:t>
      </w:r>
    </w:p>
    <w:p w:rsidR="00B745A3" w:rsidRPr="00B745A3" w:rsidRDefault="00B745A3" w:rsidP="00B745A3">
      <w:pPr>
        <w:shd w:val="clear" w:color="auto" w:fill="FFFFFF"/>
        <w:spacing w:after="240" w:line="240" w:lineRule="auto"/>
        <w:ind w:left="567"/>
        <w:jc w:val="center"/>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LA CORTE (Grande Sezione),</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roofErr w:type="gramStart"/>
      <w:r w:rsidRPr="00B745A3">
        <w:rPr>
          <w:rFonts w:ascii="Times New Roman" w:eastAsia="Times New Roman" w:hAnsi="Times New Roman" w:cs="Times New Roman"/>
          <w:sz w:val="24"/>
          <w:szCs w:val="24"/>
          <w:lang w:eastAsia="it-IT"/>
        </w:rPr>
        <w:t>composta</w:t>
      </w:r>
      <w:proofErr w:type="gramEnd"/>
      <w:r w:rsidRPr="00B745A3">
        <w:rPr>
          <w:rFonts w:ascii="Times New Roman" w:eastAsia="Times New Roman" w:hAnsi="Times New Roman" w:cs="Times New Roman"/>
          <w:sz w:val="24"/>
          <w:szCs w:val="24"/>
          <w:lang w:eastAsia="it-IT"/>
        </w:rPr>
        <w:t xml:space="preserve"> da K. </w:t>
      </w:r>
      <w:proofErr w:type="spellStart"/>
      <w:r w:rsidRPr="00B745A3">
        <w:rPr>
          <w:rFonts w:ascii="Times New Roman" w:eastAsia="Times New Roman" w:hAnsi="Times New Roman" w:cs="Times New Roman"/>
          <w:sz w:val="24"/>
          <w:szCs w:val="24"/>
          <w:lang w:eastAsia="it-IT"/>
        </w:rPr>
        <w:t>Lenaerts</w:t>
      </w:r>
      <w:proofErr w:type="spellEnd"/>
      <w:r w:rsidRPr="00B745A3">
        <w:rPr>
          <w:rFonts w:ascii="Times New Roman" w:eastAsia="Times New Roman" w:hAnsi="Times New Roman" w:cs="Times New Roman"/>
          <w:sz w:val="24"/>
          <w:szCs w:val="24"/>
          <w:lang w:eastAsia="it-IT"/>
        </w:rPr>
        <w:t xml:space="preserve">, presidente, A. Tizzano, vicepresidente, R. Silva de </w:t>
      </w:r>
      <w:proofErr w:type="spellStart"/>
      <w:r w:rsidRPr="00B745A3">
        <w:rPr>
          <w:rFonts w:ascii="Times New Roman" w:eastAsia="Times New Roman" w:hAnsi="Times New Roman" w:cs="Times New Roman"/>
          <w:sz w:val="24"/>
          <w:szCs w:val="24"/>
          <w:lang w:eastAsia="it-IT"/>
        </w:rPr>
        <w:t>Lapuerta</w:t>
      </w:r>
      <w:proofErr w:type="spellEnd"/>
      <w:r w:rsidRPr="00B745A3">
        <w:rPr>
          <w:rFonts w:ascii="Times New Roman" w:eastAsia="Times New Roman" w:hAnsi="Times New Roman" w:cs="Times New Roman"/>
          <w:sz w:val="24"/>
          <w:szCs w:val="24"/>
          <w:lang w:eastAsia="it-IT"/>
        </w:rPr>
        <w:t>, M. </w:t>
      </w:r>
      <w:proofErr w:type="spellStart"/>
      <w:r w:rsidRPr="00B745A3">
        <w:rPr>
          <w:rFonts w:ascii="Times New Roman" w:eastAsia="Times New Roman" w:hAnsi="Times New Roman" w:cs="Times New Roman"/>
          <w:sz w:val="24"/>
          <w:szCs w:val="24"/>
          <w:lang w:eastAsia="it-IT"/>
        </w:rPr>
        <w:t>Ilešič</w:t>
      </w:r>
      <w:proofErr w:type="spellEnd"/>
      <w:r w:rsidRPr="00B745A3">
        <w:rPr>
          <w:rFonts w:ascii="Times New Roman" w:eastAsia="Times New Roman" w:hAnsi="Times New Roman" w:cs="Times New Roman"/>
          <w:sz w:val="24"/>
          <w:szCs w:val="24"/>
          <w:lang w:eastAsia="it-IT"/>
        </w:rPr>
        <w:t>, L. </w:t>
      </w:r>
      <w:proofErr w:type="spellStart"/>
      <w:r w:rsidRPr="00B745A3">
        <w:rPr>
          <w:rFonts w:ascii="Times New Roman" w:eastAsia="Times New Roman" w:hAnsi="Times New Roman" w:cs="Times New Roman"/>
          <w:sz w:val="24"/>
          <w:szCs w:val="24"/>
          <w:lang w:eastAsia="it-IT"/>
        </w:rPr>
        <w:t>Bay</w:t>
      </w:r>
      <w:proofErr w:type="spellEnd"/>
      <w:r w:rsidRPr="00B745A3">
        <w:rPr>
          <w:rFonts w:ascii="Times New Roman" w:eastAsia="Times New Roman" w:hAnsi="Times New Roman" w:cs="Times New Roman"/>
          <w:sz w:val="24"/>
          <w:szCs w:val="24"/>
          <w:lang w:eastAsia="it-IT"/>
        </w:rPr>
        <w:t xml:space="preserve"> Larsen, A. </w:t>
      </w:r>
      <w:proofErr w:type="spellStart"/>
      <w:r w:rsidRPr="00B745A3">
        <w:rPr>
          <w:rFonts w:ascii="Times New Roman" w:eastAsia="Times New Roman" w:hAnsi="Times New Roman" w:cs="Times New Roman"/>
          <w:sz w:val="24"/>
          <w:szCs w:val="24"/>
          <w:lang w:eastAsia="it-IT"/>
        </w:rPr>
        <w:t>Arabadjiev</w:t>
      </w:r>
      <w:proofErr w:type="spellEnd"/>
      <w:r w:rsidRPr="00B745A3">
        <w:rPr>
          <w:rFonts w:ascii="Times New Roman" w:eastAsia="Times New Roman" w:hAnsi="Times New Roman" w:cs="Times New Roman"/>
          <w:sz w:val="24"/>
          <w:szCs w:val="24"/>
          <w:lang w:eastAsia="it-IT"/>
        </w:rPr>
        <w:t>, C. </w:t>
      </w:r>
      <w:proofErr w:type="spellStart"/>
      <w:r w:rsidRPr="00B745A3">
        <w:rPr>
          <w:rFonts w:ascii="Times New Roman" w:eastAsia="Times New Roman" w:hAnsi="Times New Roman" w:cs="Times New Roman"/>
          <w:sz w:val="24"/>
          <w:szCs w:val="24"/>
          <w:lang w:eastAsia="it-IT"/>
        </w:rPr>
        <w:t>Toader</w:t>
      </w:r>
      <w:proofErr w:type="spellEnd"/>
      <w:r w:rsidRPr="00B745A3">
        <w:rPr>
          <w:rFonts w:ascii="Times New Roman" w:eastAsia="Times New Roman" w:hAnsi="Times New Roman" w:cs="Times New Roman"/>
          <w:sz w:val="24"/>
          <w:szCs w:val="24"/>
          <w:lang w:eastAsia="it-IT"/>
        </w:rPr>
        <w:t xml:space="preserve"> e F. </w:t>
      </w:r>
      <w:proofErr w:type="spellStart"/>
      <w:r w:rsidRPr="00B745A3">
        <w:rPr>
          <w:rFonts w:ascii="Times New Roman" w:eastAsia="Times New Roman" w:hAnsi="Times New Roman" w:cs="Times New Roman"/>
          <w:sz w:val="24"/>
          <w:szCs w:val="24"/>
          <w:lang w:eastAsia="it-IT"/>
        </w:rPr>
        <w:t>Biltgen</w:t>
      </w:r>
      <w:proofErr w:type="spellEnd"/>
      <w:r w:rsidRPr="00B745A3">
        <w:rPr>
          <w:rFonts w:ascii="Times New Roman" w:eastAsia="Times New Roman" w:hAnsi="Times New Roman" w:cs="Times New Roman"/>
          <w:sz w:val="24"/>
          <w:szCs w:val="24"/>
          <w:lang w:eastAsia="it-IT"/>
        </w:rPr>
        <w:t xml:space="preserve">, presidenti </w:t>
      </w:r>
      <w:r w:rsidRPr="00B745A3">
        <w:rPr>
          <w:rFonts w:ascii="Times New Roman" w:eastAsia="Times New Roman" w:hAnsi="Times New Roman" w:cs="Times New Roman"/>
          <w:sz w:val="24"/>
          <w:szCs w:val="24"/>
          <w:lang w:eastAsia="it-IT"/>
        </w:rPr>
        <w:lastRenderedPageBreak/>
        <w:t>di sezione, E. </w:t>
      </w:r>
      <w:proofErr w:type="spellStart"/>
      <w:r w:rsidRPr="00B745A3">
        <w:rPr>
          <w:rFonts w:ascii="Times New Roman" w:eastAsia="Times New Roman" w:hAnsi="Times New Roman" w:cs="Times New Roman"/>
          <w:sz w:val="24"/>
          <w:szCs w:val="24"/>
          <w:lang w:eastAsia="it-IT"/>
        </w:rPr>
        <w:t>Levits</w:t>
      </w:r>
      <w:proofErr w:type="spellEnd"/>
      <w:r w:rsidRPr="00B745A3">
        <w:rPr>
          <w:rFonts w:ascii="Times New Roman" w:eastAsia="Times New Roman" w:hAnsi="Times New Roman" w:cs="Times New Roman"/>
          <w:sz w:val="24"/>
          <w:szCs w:val="24"/>
          <w:lang w:eastAsia="it-IT"/>
        </w:rPr>
        <w:t>, J.</w:t>
      </w:r>
      <w:r w:rsidRPr="00B745A3">
        <w:rPr>
          <w:rFonts w:ascii="Times New Roman" w:eastAsia="Times New Roman" w:hAnsi="Times New Roman" w:cs="Times New Roman"/>
          <w:sz w:val="24"/>
          <w:szCs w:val="24"/>
          <w:lang w:eastAsia="it-IT"/>
        </w:rPr>
        <w:noBreakHyphen/>
        <w:t>C. </w:t>
      </w:r>
      <w:proofErr w:type="spellStart"/>
      <w:r w:rsidRPr="00B745A3">
        <w:rPr>
          <w:rFonts w:ascii="Times New Roman" w:eastAsia="Times New Roman" w:hAnsi="Times New Roman" w:cs="Times New Roman"/>
          <w:sz w:val="24"/>
          <w:szCs w:val="24"/>
          <w:lang w:eastAsia="it-IT"/>
        </w:rPr>
        <w:t>Bonichot</w:t>
      </w:r>
      <w:proofErr w:type="spellEnd"/>
      <w:r w:rsidRPr="00B745A3">
        <w:rPr>
          <w:rFonts w:ascii="Times New Roman" w:eastAsia="Times New Roman" w:hAnsi="Times New Roman" w:cs="Times New Roman"/>
          <w:sz w:val="24"/>
          <w:szCs w:val="24"/>
          <w:lang w:eastAsia="it-IT"/>
        </w:rPr>
        <w:t>, M. </w:t>
      </w:r>
      <w:proofErr w:type="spellStart"/>
      <w:r w:rsidRPr="00B745A3">
        <w:rPr>
          <w:rFonts w:ascii="Times New Roman" w:eastAsia="Times New Roman" w:hAnsi="Times New Roman" w:cs="Times New Roman"/>
          <w:sz w:val="24"/>
          <w:szCs w:val="24"/>
          <w:lang w:eastAsia="it-IT"/>
        </w:rPr>
        <w:t>Safjan</w:t>
      </w:r>
      <w:proofErr w:type="spellEnd"/>
      <w:r w:rsidRPr="00B745A3">
        <w:rPr>
          <w:rFonts w:ascii="Times New Roman" w:eastAsia="Times New Roman" w:hAnsi="Times New Roman" w:cs="Times New Roman"/>
          <w:sz w:val="24"/>
          <w:szCs w:val="24"/>
          <w:lang w:eastAsia="it-IT"/>
        </w:rPr>
        <w:t>, C.G. </w:t>
      </w:r>
      <w:proofErr w:type="spellStart"/>
      <w:r w:rsidRPr="00B745A3">
        <w:rPr>
          <w:rFonts w:ascii="Times New Roman" w:eastAsia="Times New Roman" w:hAnsi="Times New Roman" w:cs="Times New Roman"/>
          <w:sz w:val="24"/>
          <w:szCs w:val="24"/>
          <w:lang w:eastAsia="it-IT"/>
        </w:rPr>
        <w:t>Fernlund</w:t>
      </w:r>
      <w:proofErr w:type="spellEnd"/>
      <w:r w:rsidRPr="00B745A3">
        <w:rPr>
          <w:rFonts w:ascii="Times New Roman" w:eastAsia="Times New Roman" w:hAnsi="Times New Roman" w:cs="Times New Roman"/>
          <w:sz w:val="24"/>
          <w:szCs w:val="24"/>
          <w:lang w:eastAsia="it-IT"/>
        </w:rPr>
        <w:t xml:space="preserve"> (relatore) e S. </w:t>
      </w:r>
      <w:proofErr w:type="spellStart"/>
      <w:r w:rsidRPr="00B745A3">
        <w:rPr>
          <w:rFonts w:ascii="Times New Roman" w:eastAsia="Times New Roman" w:hAnsi="Times New Roman" w:cs="Times New Roman"/>
          <w:sz w:val="24"/>
          <w:szCs w:val="24"/>
          <w:lang w:eastAsia="it-IT"/>
        </w:rPr>
        <w:t>Rodin</w:t>
      </w:r>
      <w:proofErr w:type="spellEnd"/>
      <w:r w:rsidRPr="00B745A3">
        <w:rPr>
          <w:rFonts w:ascii="Times New Roman" w:eastAsia="Times New Roman" w:hAnsi="Times New Roman" w:cs="Times New Roman"/>
          <w:sz w:val="24"/>
          <w:szCs w:val="24"/>
          <w:lang w:eastAsia="it-IT"/>
        </w:rPr>
        <w:t>, giudici,</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roofErr w:type="gramStart"/>
      <w:r w:rsidRPr="00B745A3">
        <w:rPr>
          <w:rFonts w:ascii="Times New Roman" w:eastAsia="Times New Roman" w:hAnsi="Times New Roman" w:cs="Times New Roman"/>
          <w:sz w:val="24"/>
          <w:szCs w:val="24"/>
          <w:lang w:eastAsia="it-IT"/>
        </w:rPr>
        <w:t>avvocato</w:t>
      </w:r>
      <w:proofErr w:type="gramEnd"/>
      <w:r w:rsidRPr="00B745A3">
        <w:rPr>
          <w:rFonts w:ascii="Times New Roman" w:eastAsia="Times New Roman" w:hAnsi="Times New Roman" w:cs="Times New Roman"/>
          <w:sz w:val="24"/>
          <w:szCs w:val="24"/>
          <w:lang w:eastAsia="it-IT"/>
        </w:rPr>
        <w:t xml:space="preserve"> generale: Y. Bot</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roofErr w:type="gramStart"/>
      <w:r w:rsidRPr="00B745A3">
        <w:rPr>
          <w:rFonts w:ascii="Times New Roman" w:eastAsia="Times New Roman" w:hAnsi="Times New Roman" w:cs="Times New Roman"/>
          <w:sz w:val="24"/>
          <w:szCs w:val="24"/>
          <w:lang w:eastAsia="it-IT"/>
        </w:rPr>
        <w:t>cancelliere</w:t>
      </w:r>
      <w:proofErr w:type="gramEnd"/>
      <w:r w:rsidRPr="00B745A3">
        <w:rPr>
          <w:rFonts w:ascii="Times New Roman" w:eastAsia="Times New Roman" w:hAnsi="Times New Roman" w:cs="Times New Roman"/>
          <w:sz w:val="24"/>
          <w:szCs w:val="24"/>
          <w:lang w:eastAsia="it-IT"/>
        </w:rPr>
        <w:t>: M. </w:t>
      </w:r>
      <w:proofErr w:type="spellStart"/>
      <w:r w:rsidRPr="00B745A3">
        <w:rPr>
          <w:rFonts w:ascii="Times New Roman" w:eastAsia="Times New Roman" w:hAnsi="Times New Roman" w:cs="Times New Roman"/>
          <w:sz w:val="24"/>
          <w:szCs w:val="24"/>
          <w:lang w:eastAsia="it-IT"/>
        </w:rPr>
        <w:t>Aleksejev</w:t>
      </w:r>
      <w:proofErr w:type="spellEnd"/>
      <w:r w:rsidRPr="00B745A3">
        <w:rPr>
          <w:rFonts w:ascii="Times New Roman" w:eastAsia="Times New Roman" w:hAnsi="Times New Roman" w:cs="Times New Roman"/>
          <w:sz w:val="24"/>
          <w:szCs w:val="24"/>
          <w:lang w:eastAsia="it-IT"/>
        </w:rPr>
        <w:t>, amministratore</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roofErr w:type="gramStart"/>
      <w:r w:rsidRPr="00B745A3">
        <w:rPr>
          <w:rFonts w:ascii="Times New Roman" w:eastAsia="Times New Roman" w:hAnsi="Times New Roman" w:cs="Times New Roman"/>
          <w:sz w:val="24"/>
          <w:szCs w:val="24"/>
          <w:lang w:eastAsia="it-IT"/>
        </w:rPr>
        <w:t>vista</w:t>
      </w:r>
      <w:proofErr w:type="gramEnd"/>
      <w:r w:rsidRPr="00B745A3">
        <w:rPr>
          <w:rFonts w:ascii="Times New Roman" w:eastAsia="Times New Roman" w:hAnsi="Times New Roman" w:cs="Times New Roman"/>
          <w:sz w:val="24"/>
          <w:szCs w:val="24"/>
          <w:lang w:eastAsia="it-IT"/>
        </w:rPr>
        <w:t xml:space="preserve"> la fase scritta del procedimento e in seguito all’udienza del 1° marzo 2016,</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roofErr w:type="gramStart"/>
      <w:r w:rsidRPr="00B745A3">
        <w:rPr>
          <w:rFonts w:ascii="Times New Roman" w:eastAsia="Times New Roman" w:hAnsi="Times New Roman" w:cs="Times New Roman"/>
          <w:sz w:val="24"/>
          <w:szCs w:val="24"/>
          <w:lang w:eastAsia="it-IT"/>
        </w:rPr>
        <w:t>considerate</w:t>
      </w:r>
      <w:proofErr w:type="gramEnd"/>
      <w:r w:rsidRPr="00B745A3">
        <w:rPr>
          <w:rFonts w:ascii="Times New Roman" w:eastAsia="Times New Roman" w:hAnsi="Times New Roman" w:cs="Times New Roman"/>
          <w:sz w:val="24"/>
          <w:szCs w:val="24"/>
          <w:lang w:eastAsia="it-IT"/>
        </w:rPr>
        <w:t xml:space="preserve"> le osservazioni presentate:</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per il governo lettone, da I. </w:t>
      </w:r>
      <w:proofErr w:type="spellStart"/>
      <w:r w:rsidRPr="00B745A3">
        <w:rPr>
          <w:rFonts w:ascii="Times New Roman" w:eastAsia="Times New Roman" w:hAnsi="Times New Roman" w:cs="Times New Roman"/>
          <w:sz w:val="24"/>
          <w:szCs w:val="24"/>
          <w:lang w:eastAsia="it-IT"/>
        </w:rPr>
        <w:t>Kalniņš</w:t>
      </w:r>
      <w:proofErr w:type="spellEnd"/>
      <w:r w:rsidRPr="00B745A3">
        <w:rPr>
          <w:rFonts w:ascii="Times New Roman" w:eastAsia="Times New Roman" w:hAnsi="Times New Roman" w:cs="Times New Roman"/>
          <w:sz w:val="24"/>
          <w:szCs w:val="24"/>
          <w:lang w:eastAsia="it-IT"/>
        </w:rPr>
        <w:t>, in qualità di agente;</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per il governo ceco, da M. </w:t>
      </w:r>
      <w:proofErr w:type="spellStart"/>
      <w:r w:rsidRPr="00B745A3">
        <w:rPr>
          <w:rFonts w:ascii="Times New Roman" w:eastAsia="Times New Roman" w:hAnsi="Times New Roman" w:cs="Times New Roman"/>
          <w:sz w:val="24"/>
          <w:szCs w:val="24"/>
          <w:lang w:eastAsia="it-IT"/>
        </w:rPr>
        <w:t>Smolek</w:t>
      </w:r>
      <w:proofErr w:type="spellEnd"/>
      <w:r w:rsidRPr="00B745A3">
        <w:rPr>
          <w:rFonts w:ascii="Times New Roman" w:eastAsia="Times New Roman" w:hAnsi="Times New Roman" w:cs="Times New Roman"/>
          <w:sz w:val="24"/>
          <w:szCs w:val="24"/>
          <w:lang w:eastAsia="it-IT"/>
        </w:rPr>
        <w:t xml:space="preserve"> e J. </w:t>
      </w:r>
      <w:proofErr w:type="spellStart"/>
      <w:r w:rsidRPr="00B745A3">
        <w:rPr>
          <w:rFonts w:ascii="Times New Roman" w:eastAsia="Times New Roman" w:hAnsi="Times New Roman" w:cs="Times New Roman"/>
          <w:sz w:val="24"/>
          <w:szCs w:val="24"/>
          <w:lang w:eastAsia="it-IT"/>
        </w:rPr>
        <w:t>Vláčil</w:t>
      </w:r>
      <w:proofErr w:type="spellEnd"/>
      <w:r w:rsidRPr="00B745A3">
        <w:rPr>
          <w:rFonts w:ascii="Times New Roman" w:eastAsia="Times New Roman" w:hAnsi="Times New Roman" w:cs="Times New Roman"/>
          <w:sz w:val="24"/>
          <w:szCs w:val="24"/>
          <w:lang w:eastAsia="it-IT"/>
        </w:rPr>
        <w:t>, in qualità di agenti;</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per il governo tedesco, da T. </w:t>
      </w:r>
      <w:proofErr w:type="spellStart"/>
      <w:r w:rsidRPr="00B745A3">
        <w:rPr>
          <w:rFonts w:ascii="Times New Roman" w:eastAsia="Times New Roman" w:hAnsi="Times New Roman" w:cs="Times New Roman"/>
          <w:sz w:val="24"/>
          <w:szCs w:val="24"/>
          <w:lang w:eastAsia="it-IT"/>
        </w:rPr>
        <w:t>Henze</w:t>
      </w:r>
      <w:proofErr w:type="spellEnd"/>
      <w:r w:rsidRPr="00B745A3">
        <w:rPr>
          <w:rFonts w:ascii="Times New Roman" w:eastAsia="Times New Roman" w:hAnsi="Times New Roman" w:cs="Times New Roman"/>
          <w:sz w:val="24"/>
          <w:szCs w:val="24"/>
          <w:lang w:eastAsia="it-IT"/>
        </w:rPr>
        <w:t>, J. </w:t>
      </w:r>
      <w:proofErr w:type="spellStart"/>
      <w:r w:rsidRPr="00B745A3">
        <w:rPr>
          <w:rFonts w:ascii="Times New Roman" w:eastAsia="Times New Roman" w:hAnsi="Times New Roman" w:cs="Times New Roman"/>
          <w:sz w:val="24"/>
          <w:szCs w:val="24"/>
          <w:lang w:eastAsia="it-IT"/>
        </w:rPr>
        <w:t>Möller</w:t>
      </w:r>
      <w:proofErr w:type="spellEnd"/>
      <w:r w:rsidRPr="00B745A3">
        <w:rPr>
          <w:rFonts w:ascii="Times New Roman" w:eastAsia="Times New Roman" w:hAnsi="Times New Roman" w:cs="Times New Roman"/>
          <w:sz w:val="24"/>
          <w:szCs w:val="24"/>
          <w:lang w:eastAsia="it-IT"/>
        </w:rPr>
        <w:t>, M. </w:t>
      </w:r>
      <w:proofErr w:type="spellStart"/>
      <w:r w:rsidRPr="00B745A3">
        <w:rPr>
          <w:rFonts w:ascii="Times New Roman" w:eastAsia="Times New Roman" w:hAnsi="Times New Roman" w:cs="Times New Roman"/>
          <w:sz w:val="24"/>
          <w:szCs w:val="24"/>
          <w:lang w:eastAsia="it-IT"/>
        </w:rPr>
        <w:t>Hellmann</w:t>
      </w:r>
      <w:proofErr w:type="spellEnd"/>
      <w:r w:rsidRPr="00B745A3">
        <w:rPr>
          <w:rFonts w:ascii="Times New Roman" w:eastAsia="Times New Roman" w:hAnsi="Times New Roman" w:cs="Times New Roman"/>
          <w:sz w:val="24"/>
          <w:szCs w:val="24"/>
          <w:lang w:eastAsia="it-IT"/>
        </w:rPr>
        <w:t xml:space="preserve"> e J. </w:t>
      </w:r>
      <w:proofErr w:type="spellStart"/>
      <w:r w:rsidRPr="00B745A3">
        <w:rPr>
          <w:rFonts w:ascii="Times New Roman" w:eastAsia="Times New Roman" w:hAnsi="Times New Roman" w:cs="Times New Roman"/>
          <w:sz w:val="24"/>
          <w:szCs w:val="24"/>
          <w:lang w:eastAsia="it-IT"/>
        </w:rPr>
        <w:t>Kemper</w:t>
      </w:r>
      <w:proofErr w:type="spellEnd"/>
      <w:r w:rsidRPr="00B745A3">
        <w:rPr>
          <w:rFonts w:ascii="Times New Roman" w:eastAsia="Times New Roman" w:hAnsi="Times New Roman" w:cs="Times New Roman"/>
          <w:sz w:val="24"/>
          <w:szCs w:val="24"/>
          <w:lang w:eastAsia="it-IT"/>
        </w:rPr>
        <w:t>, in qualità di agenti;</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per l’Irlanda, da E. </w:t>
      </w:r>
      <w:proofErr w:type="spellStart"/>
      <w:r w:rsidRPr="00B745A3">
        <w:rPr>
          <w:rFonts w:ascii="Times New Roman" w:eastAsia="Times New Roman" w:hAnsi="Times New Roman" w:cs="Times New Roman"/>
          <w:sz w:val="24"/>
          <w:szCs w:val="24"/>
          <w:lang w:eastAsia="it-IT"/>
        </w:rPr>
        <w:t>Creedon</w:t>
      </w:r>
      <w:proofErr w:type="spellEnd"/>
      <w:r w:rsidRPr="00B745A3">
        <w:rPr>
          <w:rFonts w:ascii="Times New Roman" w:eastAsia="Times New Roman" w:hAnsi="Times New Roman" w:cs="Times New Roman"/>
          <w:sz w:val="24"/>
          <w:szCs w:val="24"/>
          <w:lang w:eastAsia="it-IT"/>
        </w:rPr>
        <w:t>, L. Williams e T. Joyce, in qualità di agenti, assistiti da C. </w:t>
      </w:r>
      <w:proofErr w:type="spellStart"/>
      <w:r w:rsidRPr="00B745A3">
        <w:rPr>
          <w:rFonts w:ascii="Times New Roman" w:eastAsia="Times New Roman" w:hAnsi="Times New Roman" w:cs="Times New Roman"/>
          <w:sz w:val="24"/>
          <w:szCs w:val="24"/>
          <w:lang w:eastAsia="it-IT"/>
        </w:rPr>
        <w:t>Toland</w:t>
      </w:r>
      <w:proofErr w:type="spellEnd"/>
      <w:r w:rsidRPr="00B745A3">
        <w:rPr>
          <w:rFonts w:ascii="Times New Roman" w:eastAsia="Times New Roman" w:hAnsi="Times New Roman" w:cs="Times New Roman"/>
          <w:sz w:val="24"/>
          <w:szCs w:val="24"/>
          <w:lang w:eastAsia="it-IT"/>
        </w:rPr>
        <w:t xml:space="preserve">, BL, e D. Kelly, </w:t>
      </w:r>
      <w:proofErr w:type="spellStart"/>
      <w:r w:rsidRPr="00B745A3">
        <w:rPr>
          <w:rFonts w:ascii="Times New Roman" w:eastAsia="Times New Roman" w:hAnsi="Times New Roman" w:cs="Times New Roman"/>
          <w:sz w:val="24"/>
          <w:szCs w:val="24"/>
          <w:lang w:eastAsia="it-IT"/>
        </w:rPr>
        <w:t>advisory</w:t>
      </w:r>
      <w:proofErr w:type="spellEnd"/>
      <w:r w:rsidRPr="00B745A3">
        <w:rPr>
          <w:rFonts w:ascii="Times New Roman" w:eastAsia="Times New Roman" w:hAnsi="Times New Roman" w:cs="Times New Roman"/>
          <w:sz w:val="24"/>
          <w:szCs w:val="24"/>
          <w:lang w:eastAsia="it-IT"/>
        </w:rPr>
        <w:t xml:space="preserve"> </w:t>
      </w:r>
      <w:proofErr w:type="spellStart"/>
      <w:r w:rsidRPr="00B745A3">
        <w:rPr>
          <w:rFonts w:ascii="Times New Roman" w:eastAsia="Times New Roman" w:hAnsi="Times New Roman" w:cs="Times New Roman"/>
          <w:sz w:val="24"/>
          <w:szCs w:val="24"/>
          <w:lang w:eastAsia="it-IT"/>
        </w:rPr>
        <w:t>counsel</w:t>
      </w:r>
      <w:proofErr w:type="spellEnd"/>
      <w:r w:rsidRPr="00B745A3">
        <w:rPr>
          <w:rFonts w:ascii="Times New Roman" w:eastAsia="Times New Roman" w:hAnsi="Times New Roman" w:cs="Times New Roman"/>
          <w:sz w:val="24"/>
          <w:szCs w:val="24"/>
          <w:lang w:eastAsia="it-IT"/>
        </w:rPr>
        <w:t>;</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xml:space="preserve">–        per il governo francese, da G. de </w:t>
      </w:r>
      <w:proofErr w:type="spellStart"/>
      <w:r w:rsidRPr="00B745A3">
        <w:rPr>
          <w:rFonts w:ascii="Times New Roman" w:eastAsia="Times New Roman" w:hAnsi="Times New Roman" w:cs="Times New Roman"/>
          <w:sz w:val="24"/>
          <w:szCs w:val="24"/>
          <w:lang w:eastAsia="it-IT"/>
        </w:rPr>
        <w:t>Bergues</w:t>
      </w:r>
      <w:proofErr w:type="spellEnd"/>
      <w:r w:rsidRPr="00B745A3">
        <w:rPr>
          <w:rFonts w:ascii="Times New Roman" w:eastAsia="Times New Roman" w:hAnsi="Times New Roman" w:cs="Times New Roman"/>
          <w:sz w:val="24"/>
          <w:szCs w:val="24"/>
          <w:lang w:eastAsia="it-IT"/>
        </w:rPr>
        <w:t>, D. </w:t>
      </w:r>
      <w:proofErr w:type="spellStart"/>
      <w:r w:rsidRPr="00B745A3">
        <w:rPr>
          <w:rFonts w:ascii="Times New Roman" w:eastAsia="Times New Roman" w:hAnsi="Times New Roman" w:cs="Times New Roman"/>
          <w:sz w:val="24"/>
          <w:szCs w:val="24"/>
          <w:lang w:eastAsia="it-IT"/>
        </w:rPr>
        <w:t>Colas</w:t>
      </w:r>
      <w:proofErr w:type="spellEnd"/>
      <w:r w:rsidRPr="00B745A3">
        <w:rPr>
          <w:rFonts w:ascii="Times New Roman" w:eastAsia="Times New Roman" w:hAnsi="Times New Roman" w:cs="Times New Roman"/>
          <w:sz w:val="24"/>
          <w:szCs w:val="24"/>
          <w:lang w:eastAsia="it-IT"/>
        </w:rPr>
        <w:t xml:space="preserve"> e F.</w:t>
      </w:r>
      <w:r w:rsidRPr="00B745A3">
        <w:rPr>
          <w:rFonts w:ascii="Times New Roman" w:eastAsia="Times New Roman" w:hAnsi="Times New Roman" w:cs="Times New Roman"/>
          <w:sz w:val="24"/>
          <w:szCs w:val="24"/>
          <w:lang w:eastAsia="it-IT"/>
        </w:rPr>
        <w:noBreakHyphen/>
        <w:t>X. </w:t>
      </w:r>
      <w:proofErr w:type="spellStart"/>
      <w:r w:rsidRPr="00B745A3">
        <w:rPr>
          <w:rFonts w:ascii="Times New Roman" w:eastAsia="Times New Roman" w:hAnsi="Times New Roman" w:cs="Times New Roman"/>
          <w:sz w:val="24"/>
          <w:szCs w:val="24"/>
          <w:lang w:eastAsia="it-IT"/>
        </w:rPr>
        <w:t>Bréchot</w:t>
      </w:r>
      <w:proofErr w:type="spellEnd"/>
      <w:r w:rsidRPr="00B745A3">
        <w:rPr>
          <w:rFonts w:ascii="Times New Roman" w:eastAsia="Times New Roman" w:hAnsi="Times New Roman" w:cs="Times New Roman"/>
          <w:sz w:val="24"/>
          <w:szCs w:val="24"/>
          <w:lang w:eastAsia="it-IT"/>
        </w:rPr>
        <w:t>, in qualità di agenti;</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per il governo austriaco, da G. Eberhard, in qualità di agente;</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per il governo polacco, da B. </w:t>
      </w:r>
      <w:proofErr w:type="spellStart"/>
      <w:r w:rsidRPr="00B745A3">
        <w:rPr>
          <w:rFonts w:ascii="Times New Roman" w:eastAsia="Times New Roman" w:hAnsi="Times New Roman" w:cs="Times New Roman"/>
          <w:sz w:val="24"/>
          <w:szCs w:val="24"/>
          <w:lang w:eastAsia="it-IT"/>
        </w:rPr>
        <w:t>Majczyna</w:t>
      </w:r>
      <w:proofErr w:type="spellEnd"/>
      <w:r w:rsidRPr="00B745A3">
        <w:rPr>
          <w:rFonts w:ascii="Times New Roman" w:eastAsia="Times New Roman" w:hAnsi="Times New Roman" w:cs="Times New Roman"/>
          <w:sz w:val="24"/>
          <w:szCs w:val="24"/>
          <w:lang w:eastAsia="it-IT"/>
        </w:rPr>
        <w:t>, in qualità di agente;</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xml:space="preserve">–        per il governo del Regno Unito, da V. Kaye, in qualità di agente, assistita da J. Holmes, </w:t>
      </w:r>
      <w:proofErr w:type="spellStart"/>
      <w:r w:rsidRPr="00B745A3">
        <w:rPr>
          <w:rFonts w:ascii="Times New Roman" w:eastAsia="Times New Roman" w:hAnsi="Times New Roman" w:cs="Times New Roman"/>
          <w:sz w:val="24"/>
          <w:szCs w:val="24"/>
          <w:lang w:eastAsia="it-IT"/>
        </w:rPr>
        <w:t>barrister</w:t>
      </w:r>
      <w:proofErr w:type="spellEnd"/>
      <w:r w:rsidRPr="00B745A3">
        <w:rPr>
          <w:rFonts w:ascii="Times New Roman" w:eastAsia="Times New Roman" w:hAnsi="Times New Roman" w:cs="Times New Roman"/>
          <w:sz w:val="24"/>
          <w:szCs w:val="24"/>
          <w:lang w:eastAsia="it-IT"/>
        </w:rPr>
        <w:t>;</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per la Commissione europea, da S. </w:t>
      </w:r>
      <w:proofErr w:type="spellStart"/>
      <w:r w:rsidRPr="00B745A3">
        <w:rPr>
          <w:rFonts w:ascii="Times New Roman" w:eastAsia="Times New Roman" w:hAnsi="Times New Roman" w:cs="Times New Roman"/>
          <w:sz w:val="24"/>
          <w:szCs w:val="24"/>
          <w:lang w:eastAsia="it-IT"/>
        </w:rPr>
        <w:t>Grünheid</w:t>
      </w:r>
      <w:proofErr w:type="spellEnd"/>
      <w:r w:rsidRPr="00B745A3">
        <w:rPr>
          <w:rFonts w:ascii="Times New Roman" w:eastAsia="Times New Roman" w:hAnsi="Times New Roman" w:cs="Times New Roman"/>
          <w:sz w:val="24"/>
          <w:szCs w:val="24"/>
          <w:lang w:eastAsia="it-IT"/>
        </w:rPr>
        <w:t>, E. </w:t>
      </w:r>
      <w:proofErr w:type="spellStart"/>
      <w:r w:rsidRPr="00B745A3">
        <w:rPr>
          <w:rFonts w:ascii="Times New Roman" w:eastAsia="Times New Roman" w:hAnsi="Times New Roman" w:cs="Times New Roman"/>
          <w:sz w:val="24"/>
          <w:szCs w:val="24"/>
          <w:lang w:eastAsia="it-IT"/>
        </w:rPr>
        <w:t>Kalniņš</w:t>
      </w:r>
      <w:proofErr w:type="spellEnd"/>
      <w:r w:rsidRPr="00B745A3">
        <w:rPr>
          <w:rFonts w:ascii="Times New Roman" w:eastAsia="Times New Roman" w:hAnsi="Times New Roman" w:cs="Times New Roman"/>
          <w:sz w:val="24"/>
          <w:szCs w:val="24"/>
          <w:lang w:eastAsia="it-IT"/>
        </w:rPr>
        <w:t xml:space="preserve"> e W. </w:t>
      </w:r>
      <w:proofErr w:type="spellStart"/>
      <w:r w:rsidRPr="00B745A3">
        <w:rPr>
          <w:rFonts w:ascii="Times New Roman" w:eastAsia="Times New Roman" w:hAnsi="Times New Roman" w:cs="Times New Roman"/>
          <w:sz w:val="24"/>
          <w:szCs w:val="24"/>
          <w:lang w:eastAsia="it-IT"/>
        </w:rPr>
        <w:t>Bogensberger</w:t>
      </w:r>
      <w:proofErr w:type="spellEnd"/>
      <w:r w:rsidRPr="00B745A3">
        <w:rPr>
          <w:rFonts w:ascii="Times New Roman" w:eastAsia="Times New Roman" w:hAnsi="Times New Roman" w:cs="Times New Roman"/>
          <w:sz w:val="24"/>
          <w:szCs w:val="24"/>
          <w:lang w:eastAsia="it-IT"/>
        </w:rPr>
        <w:t>, in qualità di agenti,</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roofErr w:type="gramStart"/>
      <w:r w:rsidRPr="00B745A3">
        <w:rPr>
          <w:rFonts w:ascii="Times New Roman" w:eastAsia="Times New Roman" w:hAnsi="Times New Roman" w:cs="Times New Roman"/>
          <w:sz w:val="24"/>
          <w:szCs w:val="24"/>
          <w:lang w:eastAsia="it-IT"/>
        </w:rPr>
        <w:t>sentite</w:t>
      </w:r>
      <w:proofErr w:type="gramEnd"/>
      <w:r w:rsidRPr="00B745A3">
        <w:rPr>
          <w:rFonts w:ascii="Times New Roman" w:eastAsia="Times New Roman" w:hAnsi="Times New Roman" w:cs="Times New Roman"/>
          <w:sz w:val="24"/>
          <w:szCs w:val="24"/>
          <w:lang w:eastAsia="it-IT"/>
        </w:rPr>
        <w:t xml:space="preserve"> le conclusioni dell’avvocato generale, presentate all’udienza del 10 maggio 2016,</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proofErr w:type="gramStart"/>
      <w:r w:rsidRPr="00B745A3">
        <w:rPr>
          <w:rFonts w:ascii="Times New Roman" w:eastAsia="Times New Roman" w:hAnsi="Times New Roman" w:cs="Times New Roman"/>
          <w:sz w:val="24"/>
          <w:szCs w:val="24"/>
          <w:lang w:eastAsia="it-IT"/>
        </w:rPr>
        <w:t>ha</w:t>
      </w:r>
      <w:proofErr w:type="gramEnd"/>
      <w:r w:rsidRPr="00B745A3">
        <w:rPr>
          <w:rFonts w:ascii="Times New Roman" w:eastAsia="Times New Roman" w:hAnsi="Times New Roman" w:cs="Times New Roman"/>
          <w:sz w:val="24"/>
          <w:szCs w:val="24"/>
          <w:lang w:eastAsia="it-IT"/>
        </w:rPr>
        <w:t xml:space="preserve"> pronunciato la seguente</w:t>
      </w:r>
    </w:p>
    <w:p w:rsidR="00B745A3" w:rsidRPr="00B745A3" w:rsidRDefault="00B745A3" w:rsidP="00B745A3">
      <w:pPr>
        <w:shd w:val="clear" w:color="auto" w:fill="FFFFFF"/>
        <w:spacing w:before="480" w:after="480" w:line="240" w:lineRule="auto"/>
        <w:ind w:left="567"/>
        <w:jc w:val="center"/>
        <w:rPr>
          <w:rFonts w:ascii="Times New Roman" w:eastAsia="Times New Roman" w:hAnsi="Times New Roman" w:cs="Times New Roman"/>
          <w:b/>
          <w:bCs/>
          <w:sz w:val="24"/>
          <w:szCs w:val="24"/>
          <w:lang w:eastAsia="it-IT"/>
        </w:rPr>
      </w:pPr>
      <w:r w:rsidRPr="00B745A3">
        <w:rPr>
          <w:rFonts w:ascii="Times New Roman" w:eastAsia="Times New Roman" w:hAnsi="Times New Roman" w:cs="Times New Roman"/>
          <w:b/>
          <w:bCs/>
          <w:sz w:val="24"/>
          <w:szCs w:val="24"/>
          <w:lang w:eastAsia="it-IT"/>
        </w:rPr>
        <w:t>Sentenza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 w:name="point1"/>
      <w:r w:rsidRPr="00B745A3">
        <w:rPr>
          <w:rFonts w:ascii="Times New Roman" w:eastAsia="Times New Roman" w:hAnsi="Times New Roman" w:cs="Times New Roman"/>
          <w:sz w:val="24"/>
          <w:szCs w:val="24"/>
          <w:lang w:eastAsia="it-IT"/>
        </w:rPr>
        <w:t>1</w:t>
      </w:r>
      <w:bookmarkEnd w:id="2"/>
      <w:r w:rsidRPr="00B745A3">
        <w:rPr>
          <w:rFonts w:ascii="Times New Roman" w:eastAsia="Times New Roman" w:hAnsi="Times New Roman" w:cs="Times New Roman"/>
          <w:sz w:val="24"/>
          <w:szCs w:val="24"/>
          <w:lang w:eastAsia="it-IT"/>
        </w:rPr>
        <w:t>        La domanda di pronuncia pregiudiziale verte sull’interpretazione dell’articolo 18, primo comma, e dell’articolo 21, paragrafo 1, TFUE, nonché dell’articolo 19 della Carta dei diritti fondamentali dell’Unione europea (in prosieguo: la «Carta»).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 w:name="point2"/>
      <w:r w:rsidRPr="00B745A3">
        <w:rPr>
          <w:rFonts w:ascii="Times New Roman" w:eastAsia="Times New Roman" w:hAnsi="Times New Roman" w:cs="Times New Roman"/>
          <w:sz w:val="24"/>
          <w:szCs w:val="24"/>
          <w:lang w:eastAsia="it-IT"/>
        </w:rPr>
        <w:t>2</w:t>
      </w:r>
      <w:bookmarkEnd w:id="3"/>
      <w:r w:rsidRPr="00B745A3">
        <w:rPr>
          <w:rFonts w:ascii="Times New Roman" w:eastAsia="Times New Roman" w:hAnsi="Times New Roman" w:cs="Times New Roman"/>
          <w:sz w:val="24"/>
          <w:szCs w:val="24"/>
          <w:lang w:eastAsia="it-IT"/>
        </w:rPr>
        <w:t>        Tale domanda è stata presentata nell’ambito di una domanda di estradizione rivolta dalle autorità russe alle autorità lettoni, riguardante il sig. </w:t>
      </w:r>
      <w:proofErr w:type="spellStart"/>
      <w:r w:rsidRPr="00B745A3">
        <w:rPr>
          <w:rFonts w:ascii="Times New Roman" w:eastAsia="Times New Roman" w:hAnsi="Times New Roman" w:cs="Times New Roman"/>
          <w:sz w:val="24"/>
          <w:szCs w:val="24"/>
          <w:lang w:eastAsia="it-IT"/>
        </w:rPr>
        <w:t>Aleksei</w:t>
      </w:r>
      <w:proofErr w:type="spellEnd"/>
      <w:r w:rsidRPr="00B745A3">
        <w:rPr>
          <w:rFonts w:ascii="Times New Roman" w:eastAsia="Times New Roman" w:hAnsi="Times New Roman" w:cs="Times New Roman"/>
          <w:sz w:val="24"/>
          <w:szCs w:val="24"/>
          <w:lang w:eastAsia="it-IT"/>
        </w:rPr>
        <w:t> </w:t>
      </w:r>
      <w:bookmarkStart w:id="4" w:name="ctx2"/>
      <w:proofErr w:type="spellStart"/>
      <w:r w:rsidRPr="00B745A3">
        <w:rPr>
          <w:rFonts w:ascii="Times New Roman" w:eastAsia="Times New Roman" w:hAnsi="Times New Roman" w:cs="Times New Roman"/>
          <w:b/>
          <w:bCs/>
          <w:sz w:val="24"/>
          <w:szCs w:val="24"/>
          <w:lang w:eastAsia="it-IT"/>
        </w:rPr>
        <w:t>Petruhhin</w:t>
      </w:r>
      <w:bookmarkEnd w:id="4"/>
      <w:proofErr w:type="spellEnd"/>
      <w:r w:rsidRPr="00B745A3">
        <w:rPr>
          <w:rFonts w:ascii="Times New Roman" w:eastAsia="Times New Roman" w:hAnsi="Times New Roman" w:cs="Times New Roman"/>
          <w:sz w:val="24"/>
          <w:szCs w:val="24"/>
          <w:lang w:eastAsia="it-IT"/>
        </w:rPr>
        <w:t>, cittadino estone, connessa a un reato di traffico di stupefacenti.</w:t>
      </w:r>
    </w:p>
    <w:p w:rsidR="00B745A3" w:rsidRPr="00B745A3" w:rsidRDefault="00B745A3" w:rsidP="00B745A3">
      <w:pPr>
        <w:shd w:val="clear" w:color="auto" w:fill="FFFFFF"/>
        <w:spacing w:before="480" w:after="240" w:line="240" w:lineRule="auto"/>
        <w:ind w:left="567"/>
        <w:jc w:val="both"/>
        <w:rPr>
          <w:rFonts w:ascii="Times New Roman" w:eastAsia="Times New Roman" w:hAnsi="Times New Roman" w:cs="Times New Roman"/>
          <w:b/>
          <w:bCs/>
          <w:sz w:val="24"/>
          <w:szCs w:val="24"/>
          <w:lang w:eastAsia="it-IT"/>
        </w:rPr>
      </w:pPr>
      <w:r w:rsidRPr="00B745A3">
        <w:rPr>
          <w:rFonts w:ascii="Times New Roman" w:eastAsia="Times New Roman" w:hAnsi="Times New Roman" w:cs="Times New Roman"/>
          <w:b/>
          <w:bCs/>
          <w:sz w:val="24"/>
          <w:szCs w:val="24"/>
          <w:lang w:eastAsia="it-IT"/>
        </w:rPr>
        <w:lastRenderedPageBreak/>
        <w:t> Contesto normativo</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i/>
          <w:iCs/>
          <w:sz w:val="24"/>
          <w:szCs w:val="24"/>
          <w:lang w:eastAsia="it-IT"/>
        </w:rPr>
      </w:pPr>
      <w:r w:rsidRPr="00B745A3">
        <w:rPr>
          <w:rFonts w:ascii="Times New Roman" w:eastAsia="Times New Roman" w:hAnsi="Times New Roman" w:cs="Times New Roman"/>
          <w:i/>
          <w:iCs/>
          <w:sz w:val="24"/>
          <w:szCs w:val="24"/>
          <w:lang w:eastAsia="it-IT"/>
        </w:rPr>
        <w:t> Diritto dell’Unione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 w:name="point3"/>
      <w:r w:rsidRPr="00B745A3">
        <w:rPr>
          <w:rFonts w:ascii="Times New Roman" w:eastAsia="Times New Roman" w:hAnsi="Times New Roman" w:cs="Times New Roman"/>
          <w:sz w:val="24"/>
          <w:szCs w:val="24"/>
          <w:lang w:eastAsia="it-IT"/>
        </w:rPr>
        <w:t>3</w:t>
      </w:r>
      <w:bookmarkEnd w:id="5"/>
      <w:r w:rsidRPr="00B745A3">
        <w:rPr>
          <w:rFonts w:ascii="Times New Roman" w:eastAsia="Times New Roman" w:hAnsi="Times New Roman" w:cs="Times New Roman"/>
          <w:sz w:val="24"/>
          <w:szCs w:val="24"/>
          <w:lang w:eastAsia="it-IT"/>
        </w:rPr>
        <w:t>        La decisione quadro 2002/584/GAI del Consiglio, del 13 giugno 2002, relativa al mandato d’arresto europeo e alle procedure di consegna tra Stati membri (GU 2002, L 190, pag. 1), come modificata dalla decisione quadro 2009/299/GAI del Consiglio, del 26 febbraio 2009 (GU 2009, L 81, pag. 24) (in prosieguo: la «decisione quadro 2002/584»), all’articolo 1, paragrafi 1 e 2, prevede quanto segue:</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«1.       Il mandato d’arresto europeo è una decisione giudiziaria emessa da uno Stato membro in vista dell’arresto e della consegna da parte di un altro Stato membro di una persona ricercata ai fini dell’esercizio di un’azione penale o dell’esecuzione di una pena o una misura di sicurezza privative della libertà.</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2.      Gli Stati membri danno esecuzione ad ogni mandato d’arresto europeo in base al principio del riconoscimento reciproco e conformemente alle disposizioni della presente decisione quadro».</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i/>
          <w:iCs/>
          <w:sz w:val="24"/>
          <w:szCs w:val="24"/>
          <w:lang w:eastAsia="it-IT"/>
        </w:rPr>
      </w:pPr>
      <w:r w:rsidRPr="00B745A3">
        <w:rPr>
          <w:rFonts w:ascii="Times New Roman" w:eastAsia="Times New Roman" w:hAnsi="Times New Roman" w:cs="Times New Roman"/>
          <w:i/>
          <w:iCs/>
          <w:sz w:val="24"/>
          <w:szCs w:val="24"/>
          <w:lang w:eastAsia="it-IT"/>
        </w:rPr>
        <w:t> Diritto lettone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 w:name="point4"/>
      <w:r w:rsidRPr="00B745A3">
        <w:rPr>
          <w:rFonts w:ascii="Times New Roman" w:eastAsia="Times New Roman" w:hAnsi="Times New Roman" w:cs="Times New Roman"/>
          <w:sz w:val="24"/>
          <w:szCs w:val="24"/>
          <w:lang w:eastAsia="it-IT"/>
        </w:rPr>
        <w:t>4</w:t>
      </w:r>
      <w:bookmarkEnd w:id="6"/>
      <w:r w:rsidRPr="00B745A3">
        <w:rPr>
          <w:rFonts w:ascii="Times New Roman" w:eastAsia="Times New Roman" w:hAnsi="Times New Roman" w:cs="Times New Roman"/>
          <w:sz w:val="24"/>
          <w:szCs w:val="24"/>
          <w:lang w:eastAsia="it-IT"/>
        </w:rPr>
        <w:t>        La Costituzione, all’articolo 98, terza frase, prevede quanto segue:</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xml:space="preserve">«L’estradizione di cittadini lettoni verso altri paesi viene concessa esclusivamente nei casi previsti da accordi internazionali ratificati dal </w:t>
      </w:r>
      <w:proofErr w:type="spellStart"/>
      <w:r w:rsidRPr="00B745A3">
        <w:rPr>
          <w:rFonts w:ascii="Times New Roman" w:eastAsia="Times New Roman" w:hAnsi="Times New Roman" w:cs="Times New Roman"/>
          <w:sz w:val="24"/>
          <w:szCs w:val="24"/>
          <w:lang w:eastAsia="it-IT"/>
        </w:rPr>
        <w:t>Saeima</w:t>
      </w:r>
      <w:proofErr w:type="spellEnd"/>
      <w:r w:rsidRPr="00B745A3">
        <w:rPr>
          <w:rFonts w:ascii="Times New Roman" w:eastAsia="Times New Roman" w:hAnsi="Times New Roman" w:cs="Times New Roman"/>
          <w:sz w:val="24"/>
          <w:szCs w:val="24"/>
          <w:lang w:eastAsia="it-IT"/>
        </w:rPr>
        <w:t xml:space="preserve"> [(Parlamento)] e sempreché non comporti una violazione dei diritti umani fondamentali sanciti dalla Costituzione».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 w:name="point5"/>
      <w:r w:rsidRPr="00B745A3">
        <w:rPr>
          <w:rFonts w:ascii="Times New Roman" w:eastAsia="Times New Roman" w:hAnsi="Times New Roman" w:cs="Times New Roman"/>
          <w:sz w:val="24"/>
          <w:szCs w:val="24"/>
          <w:lang w:eastAsia="it-IT"/>
        </w:rPr>
        <w:t>5</w:t>
      </w:r>
      <w:bookmarkEnd w:id="7"/>
      <w:r w:rsidRPr="00B745A3">
        <w:rPr>
          <w:rFonts w:ascii="Times New Roman" w:eastAsia="Times New Roman" w:hAnsi="Times New Roman" w:cs="Times New Roman"/>
          <w:sz w:val="24"/>
          <w:szCs w:val="24"/>
          <w:lang w:eastAsia="it-IT"/>
        </w:rPr>
        <w:t>        Il capo 66 del codice di procedura penale è intitolato «Estradizione verso altri paesi». Esso contiene l’articolo 696 che, ai paragrafi 1 e 2, dispone quanto segue:</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«(1)      L’estradizione di una persona che si trovi nel territorio della Repubblica di Lettonia ai fini dell’esercizio dell’azione penale, del giudizio o dell’esecuzione di una condanna può essere concessa qualora sia pervenuta la richiesta di uno Stato straniero di porre tale persona in stato di custodia cautelare o di estradarla in relazione a fatti qualificati come reato ai sensi della normativa lettone e di quella dello Stato straniero.</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(2)      Si può concedere l’estradizione di una persona ai fini dell’esercizio dell’azione penale o del giudizio in relazione a un fatto per il quale la legge prevede una pena detentiva di durata massima non inferiore a un anno, o una pena più severa, salvo disposizione contraria di un accordo internazionale».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8" w:name="point6"/>
      <w:r w:rsidRPr="00B745A3">
        <w:rPr>
          <w:rFonts w:ascii="Times New Roman" w:eastAsia="Times New Roman" w:hAnsi="Times New Roman" w:cs="Times New Roman"/>
          <w:sz w:val="24"/>
          <w:szCs w:val="24"/>
          <w:lang w:eastAsia="it-IT"/>
        </w:rPr>
        <w:t>6</w:t>
      </w:r>
      <w:bookmarkEnd w:id="8"/>
      <w:r w:rsidRPr="00B745A3">
        <w:rPr>
          <w:rFonts w:ascii="Times New Roman" w:eastAsia="Times New Roman" w:hAnsi="Times New Roman" w:cs="Times New Roman"/>
          <w:sz w:val="24"/>
          <w:szCs w:val="24"/>
          <w:lang w:eastAsia="it-IT"/>
        </w:rPr>
        <w:t>        L’articolo 697, paragrafo 2, punti 1, 2 e 7, del predetto codice è redatto nei termini seguenti:</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«L’estradizione è negata nei seguenti casi:</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1)      l’interessato è un cittadino lettone;</w:t>
      </w:r>
    </w:p>
    <w:p w:rsidR="00B745A3" w:rsidRPr="00B745A3" w:rsidRDefault="00B745A3" w:rsidP="00B745A3">
      <w:pPr>
        <w:shd w:val="clear" w:color="auto" w:fill="FFFFFF"/>
        <w:spacing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xml:space="preserve">2)      la domanda di estradizione è stata presentata allo scopo di perseguire penalmente o di punire la persona interessata per motivi di razza, religione, </w:t>
      </w:r>
      <w:r w:rsidRPr="00B745A3">
        <w:rPr>
          <w:rFonts w:ascii="Times New Roman" w:eastAsia="Times New Roman" w:hAnsi="Times New Roman" w:cs="Times New Roman"/>
          <w:sz w:val="24"/>
          <w:szCs w:val="24"/>
          <w:lang w:eastAsia="it-IT"/>
        </w:rPr>
        <w:lastRenderedPageBreak/>
        <w:t>nazionalità od opinioni politiche, oppure sussistono fondate ragioni per ritenere che, per i suddetti motivi, l’estradando possa subire una violazione dei propri diritti;</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w:t>
      </w:r>
    </w:p>
    <w:p w:rsidR="00B745A3" w:rsidRPr="00B745A3" w:rsidRDefault="00B745A3" w:rsidP="00B745A3">
      <w:pPr>
        <w:shd w:val="clear" w:color="auto" w:fill="FFFFFF"/>
        <w:spacing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7)      è possibile che l’estradando sia sottoposto a tortura nello Stato estero».</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9" w:name="point7"/>
      <w:r w:rsidRPr="00B745A3">
        <w:rPr>
          <w:rFonts w:ascii="Times New Roman" w:eastAsia="Times New Roman" w:hAnsi="Times New Roman" w:cs="Times New Roman"/>
          <w:sz w:val="24"/>
          <w:szCs w:val="24"/>
          <w:lang w:eastAsia="it-IT"/>
        </w:rPr>
        <w:t>7</w:t>
      </w:r>
      <w:bookmarkEnd w:id="9"/>
      <w:r w:rsidRPr="00B745A3">
        <w:rPr>
          <w:rFonts w:ascii="Times New Roman" w:eastAsia="Times New Roman" w:hAnsi="Times New Roman" w:cs="Times New Roman"/>
          <w:sz w:val="24"/>
          <w:szCs w:val="24"/>
          <w:lang w:eastAsia="it-IT"/>
        </w:rPr>
        <w:t>        L’accordo del 3 febbraio 1993 tra la Repubblica di Lettonia e la Federazione russa sull’assistenza giudiziaria e sui rapporti giudiziari in materia civile, familiare e penale, all’articolo 1 così dispone:</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«1.      In materia di diritti soggettivi e patrimoniali, i cittadini di una parte contraente godono, nel territorio dell’altra parte contraente, della stessa tutela giuridica garantita ai cittadini di quest’ultima.</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2.      I cittadini di una parte contraente hanno il diritto di rivolgersi liberamente, e senza che siano loro opposti impedimenti di sorta, ai tribunali, alle procure, agli studi notarili (…) e alle altre istituzioni dell’altra parte contraente competenti in materia civile, familiare e penale, dinanzi ai quali possono proporre azioni, presentare istanze, proporre ricorsi e compiere atti processuali alle stesse condizioni previste per i cittadini nazionali».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0" w:name="point8"/>
      <w:r w:rsidRPr="00B745A3">
        <w:rPr>
          <w:rFonts w:ascii="Times New Roman" w:eastAsia="Times New Roman" w:hAnsi="Times New Roman" w:cs="Times New Roman"/>
          <w:sz w:val="24"/>
          <w:szCs w:val="24"/>
          <w:lang w:eastAsia="it-IT"/>
        </w:rPr>
        <w:t>8</w:t>
      </w:r>
      <w:bookmarkEnd w:id="10"/>
      <w:r w:rsidRPr="00B745A3">
        <w:rPr>
          <w:rFonts w:ascii="Times New Roman" w:eastAsia="Times New Roman" w:hAnsi="Times New Roman" w:cs="Times New Roman"/>
          <w:sz w:val="24"/>
          <w:szCs w:val="24"/>
          <w:lang w:eastAsia="it-IT"/>
        </w:rPr>
        <w:t>        Detto accordo, all’articolo 62, così dispone:</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«L’estradizione non è concessa nei seguenti casi: (...) la persona di cui è chiesta l’estradizione è un cittadino della parte contraente cui è stata presentata la richiesta o ha lo status di rifugiato in tale paese».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1" w:name="point9"/>
      <w:r w:rsidRPr="00B745A3">
        <w:rPr>
          <w:rFonts w:ascii="Times New Roman" w:eastAsia="Times New Roman" w:hAnsi="Times New Roman" w:cs="Times New Roman"/>
          <w:sz w:val="24"/>
          <w:szCs w:val="24"/>
          <w:lang w:eastAsia="it-IT"/>
        </w:rPr>
        <w:t>9</w:t>
      </w:r>
      <w:bookmarkEnd w:id="11"/>
      <w:r w:rsidRPr="00B745A3">
        <w:rPr>
          <w:rFonts w:ascii="Times New Roman" w:eastAsia="Times New Roman" w:hAnsi="Times New Roman" w:cs="Times New Roman"/>
          <w:sz w:val="24"/>
          <w:szCs w:val="24"/>
          <w:lang w:eastAsia="it-IT"/>
        </w:rPr>
        <w:t>        L’accordo dell’11 novembre 1992 tra la Repubblica di Estonia, la Repubblica di Lettonia e la Repubblica di Lituania sull’assistenza giudiziaria e sui rapporti giuridici, all’articolo 1, paragrafo 1, prevede quanto segue:</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«In materia di diritti soggettivi e patrimoniali, i cittadini di una parte contraente godono, nel territorio dell’altra parte contraente, della stessa tutela giuridica garantita ai cittadini di quest’ultima».</w:t>
      </w:r>
    </w:p>
    <w:p w:rsidR="00B745A3" w:rsidRPr="00B745A3" w:rsidRDefault="00B745A3" w:rsidP="00B745A3">
      <w:pPr>
        <w:shd w:val="clear" w:color="auto" w:fill="FFFFFF"/>
        <w:spacing w:before="480" w:after="240" w:line="240" w:lineRule="auto"/>
        <w:ind w:left="567"/>
        <w:jc w:val="both"/>
        <w:rPr>
          <w:rFonts w:ascii="Times New Roman" w:eastAsia="Times New Roman" w:hAnsi="Times New Roman" w:cs="Times New Roman"/>
          <w:b/>
          <w:bCs/>
          <w:sz w:val="24"/>
          <w:szCs w:val="24"/>
          <w:lang w:eastAsia="it-IT"/>
        </w:rPr>
      </w:pPr>
      <w:r w:rsidRPr="00B745A3">
        <w:rPr>
          <w:rFonts w:ascii="Times New Roman" w:eastAsia="Times New Roman" w:hAnsi="Times New Roman" w:cs="Times New Roman"/>
          <w:b/>
          <w:bCs/>
          <w:sz w:val="24"/>
          <w:szCs w:val="24"/>
          <w:lang w:eastAsia="it-IT"/>
        </w:rPr>
        <w:t> Procedimento principale e questioni pregiudiziali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2" w:name="point10"/>
      <w:r w:rsidRPr="00B745A3">
        <w:rPr>
          <w:rFonts w:ascii="Times New Roman" w:eastAsia="Times New Roman" w:hAnsi="Times New Roman" w:cs="Times New Roman"/>
          <w:sz w:val="24"/>
          <w:szCs w:val="24"/>
          <w:lang w:eastAsia="it-IT"/>
        </w:rPr>
        <w:t>10</w:t>
      </w:r>
      <w:bookmarkEnd w:id="12"/>
      <w:r w:rsidRPr="00B745A3">
        <w:rPr>
          <w:rFonts w:ascii="Times New Roman" w:eastAsia="Times New Roman" w:hAnsi="Times New Roman" w:cs="Times New Roman"/>
          <w:sz w:val="24"/>
          <w:szCs w:val="24"/>
          <w:lang w:eastAsia="it-IT"/>
        </w:rPr>
        <w:t>      Il sig. </w:t>
      </w:r>
      <w:bookmarkStart w:id="13" w:name="ctx3"/>
      <w:proofErr w:type="spellStart"/>
      <w:r w:rsidRPr="00B745A3">
        <w:rPr>
          <w:rFonts w:ascii="Times New Roman" w:eastAsia="Times New Roman" w:hAnsi="Times New Roman" w:cs="Times New Roman"/>
          <w:bCs/>
          <w:sz w:val="24"/>
          <w:szCs w:val="24"/>
          <w:lang w:eastAsia="it-IT"/>
        </w:rPr>
        <w:t>Petruhhin</w:t>
      </w:r>
      <w:bookmarkEnd w:id="13"/>
      <w:proofErr w:type="spellEnd"/>
      <w:r w:rsidRPr="00B745A3">
        <w:rPr>
          <w:rFonts w:ascii="Times New Roman" w:eastAsia="Times New Roman" w:hAnsi="Times New Roman" w:cs="Times New Roman"/>
          <w:sz w:val="24"/>
          <w:szCs w:val="24"/>
          <w:lang w:eastAsia="it-IT"/>
        </w:rPr>
        <w:t>, cittadino estone, è stato oggetto di un avviso di ricerca prioritaria pubblicato sul sito Internet dell’Interpol il 22 luglio 2010.</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4" w:name="point11"/>
      <w:r w:rsidRPr="00B745A3">
        <w:rPr>
          <w:rFonts w:ascii="Times New Roman" w:eastAsia="Times New Roman" w:hAnsi="Times New Roman" w:cs="Times New Roman"/>
          <w:sz w:val="24"/>
          <w:szCs w:val="24"/>
          <w:lang w:eastAsia="it-IT"/>
        </w:rPr>
        <w:t>11</w:t>
      </w:r>
      <w:bookmarkEnd w:id="14"/>
      <w:r w:rsidRPr="00B745A3">
        <w:rPr>
          <w:rFonts w:ascii="Times New Roman" w:eastAsia="Times New Roman" w:hAnsi="Times New Roman" w:cs="Times New Roman"/>
          <w:sz w:val="24"/>
          <w:szCs w:val="24"/>
          <w:lang w:eastAsia="it-IT"/>
        </w:rPr>
        <w:t>      Tale cittadino è stato arrestato il 30 settembre 2014 nella città di Bauska (Lettonia) ed è stato posto in custodia cautelare il 3 ottobre 2014.</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5" w:name="point12"/>
      <w:r w:rsidRPr="00B745A3">
        <w:rPr>
          <w:rFonts w:ascii="Times New Roman" w:eastAsia="Times New Roman" w:hAnsi="Times New Roman" w:cs="Times New Roman"/>
          <w:sz w:val="24"/>
          <w:szCs w:val="24"/>
          <w:lang w:eastAsia="it-IT"/>
        </w:rPr>
        <w:t>12</w:t>
      </w:r>
      <w:bookmarkEnd w:id="15"/>
      <w:r w:rsidRPr="00B745A3">
        <w:rPr>
          <w:rFonts w:ascii="Times New Roman" w:eastAsia="Times New Roman" w:hAnsi="Times New Roman" w:cs="Times New Roman"/>
          <w:sz w:val="24"/>
          <w:szCs w:val="24"/>
          <w:lang w:eastAsia="it-IT"/>
        </w:rPr>
        <w:t>      Il 21 ottobre 2014 alle autorità lettoni è stata presentata una domanda di estradizione dal procuratore generale della Federazione russa. Da tale domanda emergeva che, in seguito a una decisione del 9 febbraio 2009, era stato avviato un procedimento penale nei confronti del sig. </w:t>
      </w:r>
      <w:bookmarkStart w:id="16" w:name="ctx4"/>
      <w:proofErr w:type="spellStart"/>
      <w:r w:rsidRPr="00B745A3">
        <w:rPr>
          <w:rFonts w:ascii="Times New Roman" w:eastAsia="Times New Roman" w:hAnsi="Times New Roman" w:cs="Times New Roman"/>
          <w:bCs/>
          <w:sz w:val="24"/>
          <w:szCs w:val="24"/>
          <w:lang w:eastAsia="it-IT"/>
        </w:rPr>
        <w:t>Petruhhin</w:t>
      </w:r>
      <w:bookmarkEnd w:id="16"/>
      <w:proofErr w:type="spellEnd"/>
      <w:r w:rsidRPr="00B745A3">
        <w:rPr>
          <w:rFonts w:ascii="Times New Roman" w:eastAsia="Times New Roman" w:hAnsi="Times New Roman" w:cs="Times New Roman"/>
          <w:sz w:val="24"/>
          <w:szCs w:val="24"/>
          <w:lang w:eastAsia="it-IT"/>
        </w:rPr>
        <w:t xml:space="preserve"> e che egli doveva essere posto in stato di custodia. Gli erano stati addebitati fatti integranti il tentativo di traffico in forma organizzata </w:t>
      </w:r>
      <w:r w:rsidRPr="00B745A3">
        <w:rPr>
          <w:rFonts w:ascii="Times New Roman" w:eastAsia="Times New Roman" w:hAnsi="Times New Roman" w:cs="Times New Roman"/>
          <w:sz w:val="24"/>
          <w:szCs w:val="24"/>
          <w:lang w:eastAsia="it-IT"/>
        </w:rPr>
        <w:lastRenderedPageBreak/>
        <w:t>di un’ingente quantità di stupefacenti. La normativa russa prevede per tale reato una pena detentiva da 8 a 20 anni di reclusione.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7" w:name="point13"/>
      <w:r w:rsidRPr="00B745A3">
        <w:rPr>
          <w:rFonts w:ascii="Times New Roman" w:eastAsia="Times New Roman" w:hAnsi="Times New Roman" w:cs="Times New Roman"/>
          <w:sz w:val="24"/>
          <w:szCs w:val="24"/>
          <w:lang w:eastAsia="it-IT"/>
        </w:rPr>
        <w:t>13</w:t>
      </w:r>
      <w:bookmarkEnd w:id="17"/>
      <w:r w:rsidRPr="00B745A3">
        <w:rPr>
          <w:rFonts w:ascii="Times New Roman" w:eastAsia="Times New Roman" w:hAnsi="Times New Roman" w:cs="Times New Roman"/>
          <w:sz w:val="24"/>
          <w:szCs w:val="24"/>
          <w:lang w:eastAsia="it-IT"/>
        </w:rPr>
        <w:t xml:space="preserve">      Il </w:t>
      </w:r>
      <w:proofErr w:type="spellStart"/>
      <w:r w:rsidRPr="00B745A3">
        <w:rPr>
          <w:rFonts w:ascii="Times New Roman" w:eastAsia="Times New Roman" w:hAnsi="Times New Roman" w:cs="Times New Roman"/>
          <w:sz w:val="24"/>
          <w:szCs w:val="24"/>
          <w:lang w:eastAsia="it-IT"/>
        </w:rPr>
        <w:t>Latvijas</w:t>
      </w:r>
      <w:proofErr w:type="spellEnd"/>
      <w:r w:rsidRPr="00B745A3">
        <w:rPr>
          <w:rFonts w:ascii="Times New Roman" w:eastAsia="Times New Roman" w:hAnsi="Times New Roman" w:cs="Times New Roman"/>
          <w:sz w:val="24"/>
          <w:szCs w:val="24"/>
          <w:lang w:eastAsia="it-IT"/>
        </w:rPr>
        <w:t xml:space="preserve"> </w:t>
      </w:r>
      <w:proofErr w:type="spellStart"/>
      <w:r w:rsidRPr="00B745A3">
        <w:rPr>
          <w:rFonts w:ascii="Times New Roman" w:eastAsia="Times New Roman" w:hAnsi="Times New Roman" w:cs="Times New Roman"/>
          <w:sz w:val="24"/>
          <w:szCs w:val="24"/>
          <w:lang w:eastAsia="it-IT"/>
        </w:rPr>
        <w:t>Republikas</w:t>
      </w:r>
      <w:proofErr w:type="spellEnd"/>
      <w:r w:rsidRPr="00B745A3">
        <w:rPr>
          <w:rFonts w:ascii="Times New Roman" w:eastAsia="Times New Roman" w:hAnsi="Times New Roman" w:cs="Times New Roman"/>
          <w:sz w:val="24"/>
          <w:szCs w:val="24"/>
          <w:lang w:eastAsia="it-IT"/>
        </w:rPr>
        <w:t xml:space="preserve"> </w:t>
      </w:r>
      <w:proofErr w:type="spellStart"/>
      <w:r w:rsidRPr="00B745A3">
        <w:rPr>
          <w:rFonts w:ascii="Times New Roman" w:eastAsia="Times New Roman" w:hAnsi="Times New Roman" w:cs="Times New Roman"/>
          <w:sz w:val="24"/>
          <w:szCs w:val="24"/>
          <w:lang w:eastAsia="it-IT"/>
        </w:rPr>
        <w:t>Ģenerālprokuratūra</w:t>
      </w:r>
      <w:proofErr w:type="spellEnd"/>
      <w:r w:rsidRPr="00B745A3">
        <w:rPr>
          <w:rFonts w:ascii="Times New Roman" w:eastAsia="Times New Roman" w:hAnsi="Times New Roman" w:cs="Times New Roman"/>
          <w:sz w:val="24"/>
          <w:szCs w:val="24"/>
          <w:lang w:eastAsia="it-IT"/>
        </w:rPr>
        <w:t xml:space="preserve"> (procuratore generale della Repubblica di Lettonia) ha autorizzato l’estradizione in Russia del sig. </w:t>
      </w:r>
      <w:bookmarkStart w:id="18" w:name="ctx5"/>
      <w:proofErr w:type="spellStart"/>
      <w:r w:rsidRPr="00B745A3">
        <w:rPr>
          <w:rFonts w:ascii="Times New Roman" w:eastAsia="Times New Roman" w:hAnsi="Times New Roman" w:cs="Times New Roman"/>
          <w:bCs/>
          <w:sz w:val="24"/>
          <w:szCs w:val="24"/>
          <w:lang w:eastAsia="it-IT"/>
        </w:rPr>
        <w:t>Petruhhin</w:t>
      </w:r>
      <w:bookmarkEnd w:id="18"/>
      <w:proofErr w:type="spellEnd"/>
      <w:r w:rsidRPr="00B745A3">
        <w:rPr>
          <w:rFonts w:ascii="Times New Roman" w:eastAsia="Times New Roman" w:hAnsi="Times New Roman" w:cs="Times New Roman"/>
          <w:sz w:val="24"/>
          <w:szCs w:val="24"/>
          <w:lang w:eastAsia="it-IT"/>
        </w:rPr>
        <w:t>.</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19" w:name="point14"/>
      <w:r w:rsidRPr="00B745A3">
        <w:rPr>
          <w:rFonts w:ascii="Times New Roman" w:eastAsia="Times New Roman" w:hAnsi="Times New Roman" w:cs="Times New Roman"/>
          <w:sz w:val="24"/>
          <w:szCs w:val="24"/>
          <w:lang w:eastAsia="it-IT"/>
        </w:rPr>
        <w:t>14</w:t>
      </w:r>
      <w:bookmarkEnd w:id="19"/>
      <w:r w:rsidRPr="00B745A3">
        <w:rPr>
          <w:rFonts w:ascii="Times New Roman" w:eastAsia="Times New Roman" w:hAnsi="Times New Roman" w:cs="Times New Roman"/>
          <w:sz w:val="24"/>
          <w:szCs w:val="24"/>
          <w:lang w:eastAsia="it-IT"/>
        </w:rPr>
        <w:t>      Tuttavia, il 4 dicembre 2014, il sig. </w:t>
      </w:r>
      <w:bookmarkStart w:id="20" w:name="ctx6"/>
      <w:proofErr w:type="spellStart"/>
      <w:r w:rsidRPr="00B745A3">
        <w:rPr>
          <w:rFonts w:ascii="Times New Roman" w:eastAsia="Times New Roman" w:hAnsi="Times New Roman" w:cs="Times New Roman"/>
          <w:bCs/>
          <w:sz w:val="24"/>
          <w:szCs w:val="24"/>
          <w:lang w:eastAsia="it-IT"/>
        </w:rPr>
        <w:t>Petruhhin</w:t>
      </w:r>
      <w:bookmarkEnd w:id="20"/>
      <w:proofErr w:type="spellEnd"/>
      <w:r w:rsidRPr="00B745A3">
        <w:rPr>
          <w:rFonts w:ascii="Times New Roman" w:eastAsia="Times New Roman" w:hAnsi="Times New Roman" w:cs="Times New Roman"/>
          <w:sz w:val="24"/>
          <w:szCs w:val="24"/>
          <w:lang w:eastAsia="it-IT"/>
        </w:rPr>
        <w:t> ha chiesto l’annullamento della decisione di estradizione adducendo che, in forza dell’articolo 1 del trattato sull’assistenza giudiziaria e sui rapporti giudiziari concluso tra la Repubblica di Estonia, la Repubblica di Lettonia e la Repubblica di Lituania, egli godeva, in Lettonia, degli stessi diritti di un cittadino lettone e che, pertanto, lo Stato lettone era tenuto a tutelarlo contro un’estradizione infondata.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1" w:name="point15"/>
      <w:r w:rsidRPr="00B745A3">
        <w:rPr>
          <w:rFonts w:ascii="Times New Roman" w:eastAsia="Times New Roman" w:hAnsi="Times New Roman" w:cs="Times New Roman"/>
          <w:sz w:val="24"/>
          <w:szCs w:val="24"/>
          <w:lang w:eastAsia="it-IT"/>
        </w:rPr>
        <w:t>15</w:t>
      </w:r>
      <w:bookmarkEnd w:id="21"/>
      <w:r w:rsidRPr="00B745A3">
        <w:rPr>
          <w:rFonts w:ascii="Times New Roman" w:eastAsia="Times New Roman" w:hAnsi="Times New Roman" w:cs="Times New Roman"/>
          <w:sz w:val="24"/>
          <w:szCs w:val="24"/>
          <w:lang w:eastAsia="it-IT"/>
        </w:rPr>
        <w:t>      Il giudice del rinvio sottolinea che né il diritto nazionale lettone né nessuno degli accordi internazionali conclusi tra la Repubblica di Lettonia e, in particolare, la Federazione russa o gli altri paesi baltici prevede limitazioni all’estradizione in Russia di un cittadino estone. Ai sensi di tali accordi internazionali, la protezione contro una siffatta estradizione è prevista soltanto per i cittadini lettoni.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2" w:name="point16"/>
      <w:r w:rsidRPr="00B745A3">
        <w:rPr>
          <w:rFonts w:ascii="Times New Roman" w:eastAsia="Times New Roman" w:hAnsi="Times New Roman" w:cs="Times New Roman"/>
          <w:sz w:val="24"/>
          <w:szCs w:val="24"/>
          <w:lang w:eastAsia="it-IT"/>
        </w:rPr>
        <w:t>16</w:t>
      </w:r>
      <w:bookmarkEnd w:id="22"/>
      <w:r w:rsidRPr="00B745A3">
        <w:rPr>
          <w:rFonts w:ascii="Times New Roman" w:eastAsia="Times New Roman" w:hAnsi="Times New Roman" w:cs="Times New Roman"/>
          <w:sz w:val="24"/>
          <w:szCs w:val="24"/>
          <w:lang w:eastAsia="it-IT"/>
        </w:rPr>
        <w:t>      Tuttavia, secondo il giudice del rinvio, l’assenza di protezione dei cittadini dell’Unione contro l’estradizione, nel caso in cui essi si siano recati in uno Stato membro diverso da quello di cui hanno la cittadinanza, è contraria all’essenza stessa della cittadinanza europea, ossia il diritto dei cittadini dell’Unione europea a una protezione equivalente a quella dei cittadini nazionali.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3" w:name="point17"/>
      <w:r w:rsidRPr="00B745A3">
        <w:rPr>
          <w:rFonts w:ascii="Times New Roman" w:eastAsia="Times New Roman" w:hAnsi="Times New Roman" w:cs="Times New Roman"/>
          <w:sz w:val="24"/>
          <w:szCs w:val="24"/>
          <w:lang w:eastAsia="it-IT"/>
        </w:rPr>
        <w:t>17</w:t>
      </w:r>
      <w:bookmarkEnd w:id="23"/>
      <w:r w:rsidRPr="00B745A3">
        <w:rPr>
          <w:rFonts w:ascii="Times New Roman" w:eastAsia="Times New Roman" w:hAnsi="Times New Roman" w:cs="Times New Roman"/>
          <w:sz w:val="24"/>
          <w:szCs w:val="24"/>
          <w:lang w:eastAsia="it-IT"/>
        </w:rPr>
        <w:t>      In tale contesto, il 26 marzo 2015 l’</w:t>
      </w:r>
      <w:proofErr w:type="spellStart"/>
      <w:r w:rsidRPr="00B745A3">
        <w:rPr>
          <w:rFonts w:ascii="Times New Roman" w:eastAsia="Times New Roman" w:hAnsi="Times New Roman" w:cs="Times New Roman"/>
          <w:sz w:val="24"/>
          <w:szCs w:val="24"/>
          <w:lang w:eastAsia="it-IT"/>
        </w:rPr>
        <w:t>Augstākā</w:t>
      </w:r>
      <w:proofErr w:type="spellEnd"/>
      <w:r w:rsidRPr="00B745A3">
        <w:rPr>
          <w:rFonts w:ascii="Times New Roman" w:eastAsia="Times New Roman" w:hAnsi="Times New Roman" w:cs="Times New Roman"/>
          <w:sz w:val="24"/>
          <w:szCs w:val="24"/>
          <w:lang w:eastAsia="it-IT"/>
        </w:rPr>
        <w:t xml:space="preserve"> </w:t>
      </w:r>
      <w:proofErr w:type="spellStart"/>
      <w:r w:rsidRPr="00B745A3">
        <w:rPr>
          <w:rFonts w:ascii="Times New Roman" w:eastAsia="Times New Roman" w:hAnsi="Times New Roman" w:cs="Times New Roman"/>
          <w:sz w:val="24"/>
          <w:szCs w:val="24"/>
          <w:lang w:eastAsia="it-IT"/>
        </w:rPr>
        <w:t>tiesa</w:t>
      </w:r>
      <w:proofErr w:type="spellEnd"/>
      <w:r w:rsidRPr="00B745A3">
        <w:rPr>
          <w:rFonts w:ascii="Times New Roman" w:eastAsia="Times New Roman" w:hAnsi="Times New Roman" w:cs="Times New Roman"/>
          <w:sz w:val="24"/>
          <w:szCs w:val="24"/>
          <w:lang w:eastAsia="it-IT"/>
        </w:rPr>
        <w:t xml:space="preserve"> (Corte suprema, Lettonia) ha annullato la decisione che disponeva la custodia del sig. </w:t>
      </w:r>
      <w:bookmarkStart w:id="24" w:name="ctx7"/>
      <w:proofErr w:type="spellStart"/>
      <w:r w:rsidRPr="00B745A3">
        <w:rPr>
          <w:rFonts w:ascii="Times New Roman" w:eastAsia="Times New Roman" w:hAnsi="Times New Roman" w:cs="Times New Roman"/>
          <w:bCs/>
          <w:sz w:val="24"/>
          <w:szCs w:val="24"/>
          <w:lang w:eastAsia="it-IT"/>
        </w:rPr>
        <w:t>Petruhhin</w:t>
      </w:r>
      <w:bookmarkEnd w:id="24"/>
      <w:proofErr w:type="spellEnd"/>
      <w:r w:rsidRPr="00B745A3">
        <w:rPr>
          <w:rFonts w:ascii="Times New Roman" w:eastAsia="Times New Roman" w:hAnsi="Times New Roman" w:cs="Times New Roman"/>
          <w:sz w:val="24"/>
          <w:szCs w:val="24"/>
          <w:lang w:eastAsia="it-IT"/>
        </w:rPr>
        <w:t> e ha deciso di sospendere il giudizio e di sottoporre alla Corte le seguenti questioni pregiudiziali:</w:t>
      </w:r>
    </w:p>
    <w:p w:rsidR="00B745A3" w:rsidRPr="00B745A3" w:rsidRDefault="00B745A3" w:rsidP="00B745A3">
      <w:pPr>
        <w:shd w:val="clear" w:color="auto" w:fill="FFFFFF"/>
        <w:spacing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«1)      Se gli articoli 18, primo comma, e 21, paragrafo 1, TFUE debbano essere interpretati nel senso che, ai fini dell’applicazione di un accordo di estradizione concluso tra uno Stato membro e uno Stato terzo, il cittadino di un qualunque Stato membro dell’Unione debba beneficiare dello stesso livello di tutela conferito ai propri cittadini dallo Stato membro cui è diretta la domanda di estradizione verso uno Stato non appartenente all’Unione.</w:t>
      </w:r>
    </w:p>
    <w:p w:rsidR="00B745A3" w:rsidRPr="00B745A3" w:rsidRDefault="00B745A3" w:rsidP="00B745A3">
      <w:pPr>
        <w:shd w:val="clear" w:color="auto" w:fill="FFFFFF"/>
        <w:spacing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2)      Se, in tali circostanze, il giudice dello Stato membro al quale è pervenuta la richiesta di estradizione debba applicare le condizioni per l’estradizione fissate dallo Stato membro di cui [l’estradando] è cittadino o in cui risiede abitualmente.</w:t>
      </w:r>
    </w:p>
    <w:p w:rsidR="00B745A3" w:rsidRPr="00B745A3" w:rsidRDefault="00B745A3" w:rsidP="00B745A3">
      <w:pPr>
        <w:shd w:val="clear" w:color="auto" w:fill="FFFFFF"/>
        <w:spacing w:after="240" w:line="240" w:lineRule="auto"/>
        <w:ind w:left="1134" w:hanging="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 xml:space="preserve">3)      Qualora l’estradizione debba aver luogo senza tener conto del livello particolare di tutela garantito ai cittadini dello Stato membro cui è pervenuta la richiesta di estradizione, se quest’ultimo Stato sia tenuto a verificare il rispetto delle garanzie di cui all’articolo 19 della Carta, ai sensi del quale nessuno può essere estradato verso uno Stato in cui rischi seriamente di essere sottoposto alla pena di morte, alla tortura o ad altre pene o trattamenti inumani o degradanti, e se, a tal fine, sia sufficiente accertare che lo Stato richiedente l’estradizione sia parte contraente della Convenzione contro la tortura o se, </w:t>
      </w:r>
      <w:r w:rsidRPr="00B745A3">
        <w:rPr>
          <w:rFonts w:ascii="Times New Roman" w:eastAsia="Times New Roman" w:hAnsi="Times New Roman" w:cs="Times New Roman"/>
          <w:sz w:val="24"/>
          <w:szCs w:val="24"/>
          <w:lang w:eastAsia="it-IT"/>
        </w:rPr>
        <w:lastRenderedPageBreak/>
        <w:t>invece, debba verificarsi la situazione di fatto, tenendo conto della valutazione di tale Stato realizzata dagli organi del Consiglio d’Europa».</w:t>
      </w:r>
    </w:p>
    <w:p w:rsidR="00B745A3" w:rsidRPr="00B745A3" w:rsidRDefault="00B745A3" w:rsidP="00B745A3">
      <w:pPr>
        <w:shd w:val="clear" w:color="auto" w:fill="FFFFFF"/>
        <w:spacing w:before="480" w:after="240" w:line="240" w:lineRule="auto"/>
        <w:ind w:left="567"/>
        <w:jc w:val="both"/>
        <w:rPr>
          <w:rFonts w:ascii="Times New Roman" w:eastAsia="Times New Roman" w:hAnsi="Times New Roman" w:cs="Times New Roman"/>
          <w:b/>
          <w:bCs/>
          <w:sz w:val="24"/>
          <w:szCs w:val="24"/>
          <w:lang w:eastAsia="it-IT"/>
        </w:rPr>
      </w:pPr>
      <w:r w:rsidRPr="00B745A3">
        <w:rPr>
          <w:rFonts w:ascii="Times New Roman" w:eastAsia="Times New Roman" w:hAnsi="Times New Roman" w:cs="Times New Roman"/>
          <w:b/>
          <w:bCs/>
          <w:sz w:val="24"/>
          <w:szCs w:val="24"/>
          <w:lang w:eastAsia="it-IT"/>
        </w:rPr>
        <w:t> Sulle questioni pregiudiziali</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i/>
          <w:iCs/>
          <w:sz w:val="24"/>
          <w:szCs w:val="24"/>
          <w:lang w:eastAsia="it-IT"/>
        </w:rPr>
      </w:pPr>
      <w:r w:rsidRPr="00B745A3">
        <w:rPr>
          <w:rFonts w:ascii="Times New Roman" w:eastAsia="Times New Roman" w:hAnsi="Times New Roman" w:cs="Times New Roman"/>
          <w:i/>
          <w:iCs/>
          <w:sz w:val="24"/>
          <w:szCs w:val="24"/>
          <w:lang w:eastAsia="it-IT"/>
        </w:rPr>
        <w:t> Sulla ricevibilità delle questioni pregiudiziali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5" w:name="point18"/>
      <w:r w:rsidRPr="00B745A3">
        <w:rPr>
          <w:rFonts w:ascii="Times New Roman" w:eastAsia="Times New Roman" w:hAnsi="Times New Roman" w:cs="Times New Roman"/>
          <w:sz w:val="24"/>
          <w:szCs w:val="24"/>
          <w:lang w:eastAsia="it-IT"/>
        </w:rPr>
        <w:t>18</w:t>
      </w:r>
      <w:bookmarkEnd w:id="25"/>
      <w:r w:rsidRPr="00B745A3">
        <w:rPr>
          <w:rFonts w:ascii="Times New Roman" w:eastAsia="Times New Roman" w:hAnsi="Times New Roman" w:cs="Times New Roman"/>
          <w:sz w:val="24"/>
          <w:szCs w:val="24"/>
          <w:lang w:eastAsia="it-IT"/>
        </w:rPr>
        <w:t xml:space="preserve">      Secondo costante giurisprudenza, il procedimento ex articolo 267 TFUE costituisce uno strumento di cooperazione tra la Corte e i giudici nazionali, per mezzo del quale la prima fornisce ai secondi gli elementi di interpretazione del diritto dell’Unione necessari per risolvere le controversie dinanzi ad essi pendenti (v., in particolare, sentenza del 6 ottobre 2015, </w:t>
      </w:r>
      <w:proofErr w:type="spellStart"/>
      <w:r w:rsidRPr="00B745A3">
        <w:rPr>
          <w:rFonts w:ascii="Times New Roman" w:eastAsia="Times New Roman" w:hAnsi="Times New Roman" w:cs="Times New Roman"/>
          <w:sz w:val="24"/>
          <w:szCs w:val="24"/>
          <w:lang w:eastAsia="it-IT"/>
        </w:rPr>
        <w:t>Capoda</w:t>
      </w:r>
      <w:proofErr w:type="spellEnd"/>
      <w:r w:rsidRPr="00B745A3">
        <w:rPr>
          <w:rFonts w:ascii="Times New Roman" w:eastAsia="Times New Roman" w:hAnsi="Times New Roman" w:cs="Times New Roman"/>
          <w:sz w:val="24"/>
          <w:szCs w:val="24"/>
          <w:lang w:eastAsia="it-IT"/>
        </w:rPr>
        <w:t xml:space="preserve"> Import-Export, C</w:t>
      </w:r>
      <w:r w:rsidRPr="00B745A3">
        <w:rPr>
          <w:rFonts w:ascii="Times New Roman" w:eastAsia="Times New Roman" w:hAnsi="Times New Roman" w:cs="Times New Roman"/>
          <w:sz w:val="24"/>
          <w:szCs w:val="24"/>
          <w:lang w:eastAsia="it-IT"/>
        </w:rPr>
        <w:noBreakHyphen/>
        <w:t xml:space="preserve">354/14,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:2015:658, punto 23 e giurisprudenza citata).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6" w:name="point19"/>
      <w:r w:rsidRPr="00B745A3">
        <w:rPr>
          <w:rFonts w:ascii="Times New Roman" w:eastAsia="Times New Roman" w:hAnsi="Times New Roman" w:cs="Times New Roman"/>
          <w:sz w:val="24"/>
          <w:szCs w:val="24"/>
          <w:lang w:eastAsia="it-IT"/>
        </w:rPr>
        <w:t>19</w:t>
      </w:r>
      <w:bookmarkEnd w:id="26"/>
      <w:r w:rsidRPr="00B745A3">
        <w:rPr>
          <w:rFonts w:ascii="Times New Roman" w:eastAsia="Times New Roman" w:hAnsi="Times New Roman" w:cs="Times New Roman"/>
          <w:sz w:val="24"/>
          <w:szCs w:val="24"/>
          <w:lang w:eastAsia="it-IT"/>
        </w:rPr>
        <w:t>      Nell’ambito di tale cooperazione, spetta esclusivamente al giudice nazionale, cui è stata sottoposta la controversia e che deve assumersi la responsabilità dell’</w:t>
      </w:r>
      <w:proofErr w:type="spellStart"/>
      <w:r w:rsidRPr="00B745A3">
        <w:rPr>
          <w:rFonts w:ascii="Times New Roman" w:eastAsia="Times New Roman" w:hAnsi="Times New Roman" w:cs="Times New Roman"/>
          <w:sz w:val="24"/>
          <w:szCs w:val="24"/>
          <w:lang w:eastAsia="it-IT"/>
        </w:rPr>
        <w:t>emananda</w:t>
      </w:r>
      <w:proofErr w:type="spellEnd"/>
      <w:r w:rsidRPr="00B745A3">
        <w:rPr>
          <w:rFonts w:ascii="Times New Roman" w:eastAsia="Times New Roman" w:hAnsi="Times New Roman" w:cs="Times New Roman"/>
          <w:sz w:val="24"/>
          <w:szCs w:val="24"/>
          <w:lang w:eastAsia="it-IT"/>
        </w:rPr>
        <w:t xml:space="preserve"> decisione giurisdizionale, valutare, alla luce delle particolari circostanze di ciascuna causa, sia la necessità di una pronuncia pregiudiziale per essere in grado di emettere la propria sentenza, sia la rilevanza delle questioni che sottopone alla Corte. Di conseguenza, se le questioni sollevate riguardano l’interpretazione del diritto dell’Unione, la Corte, in via di principio, è tenuta a statuire (v., in particolare, sentenza del 6 ottobre 2015, </w:t>
      </w:r>
      <w:proofErr w:type="spellStart"/>
      <w:r w:rsidRPr="00B745A3">
        <w:rPr>
          <w:rFonts w:ascii="Times New Roman" w:eastAsia="Times New Roman" w:hAnsi="Times New Roman" w:cs="Times New Roman"/>
          <w:sz w:val="24"/>
          <w:szCs w:val="24"/>
          <w:lang w:eastAsia="it-IT"/>
        </w:rPr>
        <w:t>Capoda</w:t>
      </w:r>
      <w:proofErr w:type="spellEnd"/>
      <w:r w:rsidRPr="00B745A3">
        <w:rPr>
          <w:rFonts w:ascii="Times New Roman" w:eastAsia="Times New Roman" w:hAnsi="Times New Roman" w:cs="Times New Roman"/>
          <w:sz w:val="24"/>
          <w:szCs w:val="24"/>
          <w:lang w:eastAsia="it-IT"/>
        </w:rPr>
        <w:t xml:space="preserve"> Import-Export, C</w:t>
      </w:r>
      <w:r w:rsidRPr="00B745A3">
        <w:rPr>
          <w:rFonts w:ascii="Times New Roman" w:eastAsia="Times New Roman" w:hAnsi="Times New Roman" w:cs="Times New Roman"/>
          <w:sz w:val="24"/>
          <w:szCs w:val="24"/>
          <w:lang w:eastAsia="it-IT"/>
        </w:rPr>
        <w:noBreakHyphen/>
        <w:t xml:space="preserve">354/14,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:2015:658, punto 24 e giurisprudenza citata).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7" w:name="point20"/>
      <w:r w:rsidRPr="00B745A3">
        <w:rPr>
          <w:rFonts w:ascii="Times New Roman" w:eastAsia="Times New Roman" w:hAnsi="Times New Roman" w:cs="Times New Roman"/>
          <w:sz w:val="24"/>
          <w:szCs w:val="24"/>
          <w:lang w:eastAsia="it-IT"/>
        </w:rPr>
        <w:t>20</w:t>
      </w:r>
      <w:bookmarkEnd w:id="27"/>
      <w:r w:rsidRPr="00B745A3">
        <w:rPr>
          <w:rFonts w:ascii="Times New Roman" w:eastAsia="Times New Roman" w:hAnsi="Times New Roman" w:cs="Times New Roman"/>
          <w:sz w:val="24"/>
          <w:szCs w:val="24"/>
          <w:lang w:eastAsia="it-IT"/>
        </w:rPr>
        <w:t xml:space="preserve">      Da ciò consegue che le questioni relative all’interpretazione del diritto dell’Unione proposte dal giudice nazionale nell’ambito del contesto di diritto e di fatto che egli individua sotto la propria responsabilità, del quale non spetta alla Corte verificare l’esattezza, godono di una presunzione di rilevanza. Il rigetto, da parte della Corte, di una domanda proposta da un giudice nazionale è possibile soltanto qualora appaia in modo manifesto che l’interpretazione del diritto dell’Unione richiesta non ha alcun rapporto con l’effettività o l’oggetto del procedimento principale, qualora la questione sia di tipo ipotetico o, ancora, qualora la Corte non disponga degli elementi di fatto e di diritto necessari per rispondere in modo utile alle questioni che le sono sottoposte (v., in particolare, sentenza del 6 ottobre 2015, </w:t>
      </w:r>
      <w:proofErr w:type="spellStart"/>
      <w:r w:rsidRPr="00B745A3">
        <w:rPr>
          <w:rFonts w:ascii="Times New Roman" w:eastAsia="Times New Roman" w:hAnsi="Times New Roman" w:cs="Times New Roman"/>
          <w:sz w:val="24"/>
          <w:szCs w:val="24"/>
          <w:lang w:eastAsia="it-IT"/>
        </w:rPr>
        <w:t>Capoda</w:t>
      </w:r>
      <w:proofErr w:type="spellEnd"/>
      <w:r w:rsidRPr="00B745A3">
        <w:rPr>
          <w:rFonts w:ascii="Times New Roman" w:eastAsia="Times New Roman" w:hAnsi="Times New Roman" w:cs="Times New Roman"/>
          <w:sz w:val="24"/>
          <w:szCs w:val="24"/>
          <w:lang w:eastAsia="it-IT"/>
        </w:rPr>
        <w:t xml:space="preserve"> Import-Export, C</w:t>
      </w:r>
      <w:r w:rsidRPr="00B745A3">
        <w:rPr>
          <w:rFonts w:ascii="Times New Roman" w:eastAsia="Times New Roman" w:hAnsi="Times New Roman" w:cs="Times New Roman"/>
          <w:sz w:val="24"/>
          <w:szCs w:val="24"/>
          <w:lang w:eastAsia="it-IT"/>
        </w:rPr>
        <w:noBreakHyphen/>
        <w:t>354/14, EU:C:2015:658, punto 25 e giurisprudenza citata).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28" w:name="point21"/>
      <w:r w:rsidRPr="00B745A3">
        <w:rPr>
          <w:rFonts w:ascii="Times New Roman" w:eastAsia="Times New Roman" w:hAnsi="Times New Roman" w:cs="Times New Roman"/>
          <w:sz w:val="24"/>
          <w:szCs w:val="24"/>
          <w:lang w:eastAsia="it-IT"/>
        </w:rPr>
        <w:t>21</w:t>
      </w:r>
      <w:bookmarkEnd w:id="28"/>
      <w:r w:rsidRPr="00B745A3">
        <w:rPr>
          <w:rFonts w:ascii="Times New Roman" w:eastAsia="Times New Roman" w:hAnsi="Times New Roman" w:cs="Times New Roman"/>
          <w:sz w:val="24"/>
          <w:szCs w:val="24"/>
          <w:lang w:eastAsia="it-IT"/>
        </w:rPr>
        <w:t>      Nel caso di specie, il governo lettone ha comunicato alla Corte, in udienza, che il sig. </w:t>
      </w:r>
      <w:bookmarkStart w:id="29" w:name="ctx8"/>
      <w:proofErr w:type="spellStart"/>
      <w:r w:rsidRPr="00B745A3">
        <w:rPr>
          <w:rFonts w:ascii="Times New Roman" w:eastAsia="Times New Roman" w:hAnsi="Times New Roman" w:cs="Times New Roman"/>
          <w:bCs/>
          <w:sz w:val="24"/>
          <w:szCs w:val="24"/>
          <w:lang w:eastAsia="it-IT"/>
        </w:rPr>
        <w:t>Petruhhin</w:t>
      </w:r>
      <w:bookmarkEnd w:id="29"/>
      <w:proofErr w:type="spellEnd"/>
      <w:r w:rsidRPr="00B745A3">
        <w:rPr>
          <w:rFonts w:ascii="Times New Roman" w:eastAsia="Times New Roman" w:hAnsi="Times New Roman" w:cs="Times New Roman"/>
          <w:sz w:val="24"/>
          <w:szCs w:val="24"/>
          <w:lang w:eastAsia="it-IT"/>
        </w:rPr>
        <w:t>, in seguito alla sua liberazione avvenuta il 26 marzo 2015, aveva lasciato la Lettonia per raggiungere verosimilmente l’Estonia.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0" w:name="point22"/>
      <w:r w:rsidRPr="00B745A3">
        <w:rPr>
          <w:rFonts w:ascii="Times New Roman" w:eastAsia="Times New Roman" w:hAnsi="Times New Roman" w:cs="Times New Roman"/>
          <w:sz w:val="24"/>
          <w:szCs w:val="24"/>
          <w:lang w:eastAsia="it-IT"/>
        </w:rPr>
        <w:t>22</w:t>
      </w:r>
      <w:bookmarkEnd w:id="30"/>
      <w:r w:rsidRPr="00B745A3">
        <w:rPr>
          <w:rFonts w:ascii="Times New Roman" w:eastAsia="Times New Roman" w:hAnsi="Times New Roman" w:cs="Times New Roman"/>
          <w:sz w:val="24"/>
          <w:szCs w:val="24"/>
          <w:lang w:eastAsia="it-IT"/>
        </w:rPr>
        <w:t>      Tale governo ha tuttavia aggiunto che il procedimento di estradizione restava pendente dinanzi ai giudici lettoni. Esso ha sostenuto che il procuratore generale della Repubblica di Lettonia non aveva ritirato la sua decisione che autorizzava l’estradizione del sig. </w:t>
      </w:r>
      <w:bookmarkStart w:id="31" w:name="ctx9"/>
      <w:proofErr w:type="spellStart"/>
      <w:r w:rsidRPr="00B745A3">
        <w:rPr>
          <w:rFonts w:ascii="Times New Roman" w:eastAsia="Times New Roman" w:hAnsi="Times New Roman" w:cs="Times New Roman"/>
          <w:bCs/>
          <w:sz w:val="24"/>
          <w:szCs w:val="24"/>
          <w:lang w:eastAsia="it-IT"/>
        </w:rPr>
        <w:t>Petruhhin</w:t>
      </w:r>
      <w:bookmarkEnd w:id="31"/>
      <w:proofErr w:type="spellEnd"/>
      <w:r w:rsidRPr="00B745A3">
        <w:rPr>
          <w:rFonts w:ascii="Times New Roman" w:eastAsia="Times New Roman" w:hAnsi="Times New Roman" w:cs="Times New Roman"/>
          <w:sz w:val="24"/>
          <w:szCs w:val="24"/>
          <w:lang w:eastAsia="it-IT"/>
        </w:rPr>
        <w:t> e che tale decisione rimaneva soggetta al sindacato giurisdizionale dell’</w:t>
      </w:r>
      <w:proofErr w:type="spellStart"/>
      <w:r w:rsidRPr="00B745A3">
        <w:rPr>
          <w:rFonts w:ascii="Times New Roman" w:eastAsia="Times New Roman" w:hAnsi="Times New Roman" w:cs="Times New Roman"/>
          <w:sz w:val="24"/>
          <w:szCs w:val="24"/>
          <w:lang w:eastAsia="it-IT"/>
        </w:rPr>
        <w:t>Augstākā</w:t>
      </w:r>
      <w:proofErr w:type="spellEnd"/>
      <w:r w:rsidRPr="00B745A3">
        <w:rPr>
          <w:rFonts w:ascii="Times New Roman" w:eastAsia="Times New Roman" w:hAnsi="Times New Roman" w:cs="Times New Roman"/>
          <w:sz w:val="24"/>
          <w:szCs w:val="24"/>
          <w:lang w:eastAsia="it-IT"/>
        </w:rPr>
        <w:t xml:space="preserve"> </w:t>
      </w:r>
      <w:proofErr w:type="spellStart"/>
      <w:r w:rsidRPr="00B745A3">
        <w:rPr>
          <w:rFonts w:ascii="Times New Roman" w:eastAsia="Times New Roman" w:hAnsi="Times New Roman" w:cs="Times New Roman"/>
          <w:sz w:val="24"/>
          <w:szCs w:val="24"/>
          <w:lang w:eastAsia="it-IT"/>
        </w:rPr>
        <w:t>tiesa</w:t>
      </w:r>
      <w:proofErr w:type="spellEnd"/>
      <w:r w:rsidRPr="00B745A3">
        <w:rPr>
          <w:rFonts w:ascii="Times New Roman" w:eastAsia="Times New Roman" w:hAnsi="Times New Roman" w:cs="Times New Roman"/>
          <w:sz w:val="24"/>
          <w:szCs w:val="24"/>
          <w:lang w:eastAsia="it-IT"/>
        </w:rPr>
        <w:t xml:space="preserve"> (Corte suprema). Spetterebbe a quest’ultimo giudice ammettere o negare l’estradizione o ancora richiedere che si proceda alla presentazione di informazioni aggiuntive prima di pronunciarsi.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2" w:name="point23"/>
      <w:r w:rsidRPr="00B745A3">
        <w:rPr>
          <w:rFonts w:ascii="Times New Roman" w:eastAsia="Times New Roman" w:hAnsi="Times New Roman" w:cs="Times New Roman"/>
          <w:sz w:val="24"/>
          <w:szCs w:val="24"/>
          <w:lang w:eastAsia="it-IT"/>
        </w:rPr>
        <w:lastRenderedPageBreak/>
        <w:t>23</w:t>
      </w:r>
      <w:bookmarkEnd w:id="32"/>
      <w:r w:rsidRPr="00B745A3">
        <w:rPr>
          <w:rFonts w:ascii="Times New Roman" w:eastAsia="Times New Roman" w:hAnsi="Times New Roman" w:cs="Times New Roman"/>
          <w:sz w:val="24"/>
          <w:szCs w:val="24"/>
          <w:lang w:eastAsia="it-IT"/>
        </w:rPr>
        <w:t>      Da tali indicazioni emerge che, anche se attualmente il sig. </w:t>
      </w:r>
      <w:bookmarkStart w:id="33" w:name="ctx10"/>
      <w:proofErr w:type="spellStart"/>
      <w:r w:rsidRPr="00B745A3">
        <w:rPr>
          <w:rFonts w:ascii="Times New Roman" w:eastAsia="Times New Roman" w:hAnsi="Times New Roman" w:cs="Times New Roman"/>
          <w:bCs/>
          <w:sz w:val="24"/>
          <w:szCs w:val="24"/>
          <w:lang w:eastAsia="it-IT"/>
        </w:rPr>
        <w:t>Petruhhin</w:t>
      </w:r>
      <w:bookmarkEnd w:id="33"/>
      <w:proofErr w:type="spellEnd"/>
      <w:r w:rsidRPr="00B745A3">
        <w:rPr>
          <w:rFonts w:ascii="Times New Roman" w:eastAsia="Times New Roman" w:hAnsi="Times New Roman" w:cs="Times New Roman"/>
          <w:sz w:val="24"/>
          <w:szCs w:val="24"/>
          <w:lang w:eastAsia="it-IT"/>
        </w:rPr>
        <w:t> non si trova più in Lettonia, resta necessario per il giudice del rinvio pronunciarsi sulla legittimità della decisione di estradizione, poiché tale decisione, se non sarà annullata da quest’ultimo giudice, potrà essere eseguita in qualsiasi momento, se del caso, a seguito dell’arresto dell’interessato in territorio lettone. Non risulta quindi che le questioni poste, dirette a stabilire la conformità con il diritto dell’Unione delle norme nazionali sul fondamento delle quali è stata adottata la decisione di estradizione, siano prive d’interesse per la decisione della controversia principale.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4" w:name="point24"/>
      <w:r w:rsidRPr="00B745A3">
        <w:rPr>
          <w:rFonts w:ascii="Times New Roman" w:eastAsia="Times New Roman" w:hAnsi="Times New Roman" w:cs="Times New Roman"/>
          <w:sz w:val="24"/>
          <w:szCs w:val="24"/>
          <w:lang w:eastAsia="it-IT"/>
        </w:rPr>
        <w:t>24</w:t>
      </w:r>
      <w:bookmarkEnd w:id="34"/>
      <w:r w:rsidRPr="00B745A3">
        <w:rPr>
          <w:rFonts w:ascii="Times New Roman" w:eastAsia="Times New Roman" w:hAnsi="Times New Roman" w:cs="Times New Roman"/>
          <w:sz w:val="24"/>
          <w:szCs w:val="24"/>
          <w:lang w:eastAsia="it-IT"/>
        </w:rPr>
        <w:t>      In tale contesto occorre dichiarare che le questioni poste sono ricevibili.</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i/>
          <w:iCs/>
          <w:sz w:val="24"/>
          <w:szCs w:val="24"/>
          <w:lang w:eastAsia="it-IT"/>
        </w:rPr>
      </w:pPr>
      <w:r w:rsidRPr="00B745A3">
        <w:rPr>
          <w:rFonts w:ascii="Times New Roman" w:eastAsia="Times New Roman" w:hAnsi="Times New Roman" w:cs="Times New Roman"/>
          <w:i/>
          <w:iCs/>
          <w:sz w:val="24"/>
          <w:szCs w:val="24"/>
          <w:lang w:eastAsia="it-IT"/>
        </w:rPr>
        <w:t> Sulla prima e sulla seconda questione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5" w:name="point25"/>
      <w:r w:rsidRPr="00B745A3">
        <w:rPr>
          <w:rFonts w:ascii="Times New Roman" w:eastAsia="Times New Roman" w:hAnsi="Times New Roman" w:cs="Times New Roman"/>
          <w:sz w:val="24"/>
          <w:szCs w:val="24"/>
          <w:lang w:eastAsia="it-IT"/>
        </w:rPr>
        <w:t>25</w:t>
      </w:r>
      <w:bookmarkEnd w:id="35"/>
      <w:r w:rsidRPr="00B745A3">
        <w:rPr>
          <w:rFonts w:ascii="Times New Roman" w:eastAsia="Times New Roman" w:hAnsi="Times New Roman" w:cs="Times New Roman"/>
          <w:sz w:val="24"/>
          <w:szCs w:val="24"/>
          <w:lang w:eastAsia="it-IT"/>
        </w:rPr>
        <w:t>      Con le prime due questioni, che occorre esaminare congiuntamente, il giudice del rinvio chiede, in sostanza, se gli articoli 18 e 21 TFUE debbano essere interpretati nel senso che, ai fini dell’applicazione di un accordo di estradizione concluso tra uno Stato membro e uno Stato terzo, i cittadini di un altro Stato membro debbano potersi giovare della regola che vieta l’estradizione da parte del primo Stato membro dei propri cittadini.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6" w:name="point26"/>
      <w:r w:rsidRPr="00B745A3">
        <w:rPr>
          <w:rFonts w:ascii="Times New Roman" w:eastAsia="Times New Roman" w:hAnsi="Times New Roman" w:cs="Times New Roman"/>
          <w:sz w:val="24"/>
          <w:szCs w:val="24"/>
          <w:lang w:eastAsia="it-IT"/>
        </w:rPr>
        <w:t>26</w:t>
      </w:r>
      <w:bookmarkEnd w:id="36"/>
      <w:r w:rsidRPr="00B745A3">
        <w:rPr>
          <w:rFonts w:ascii="Times New Roman" w:eastAsia="Times New Roman" w:hAnsi="Times New Roman" w:cs="Times New Roman"/>
          <w:sz w:val="24"/>
          <w:szCs w:val="24"/>
          <w:lang w:eastAsia="it-IT"/>
        </w:rPr>
        <w:t>      A tale proposito è vero che, come sostenuto dalla maggior parte degli Stati membri che hanno presentato osservazioni alla Corte, in assenza di convenzioni internazionali tra l’Unione e il paese terzo interessato, le norme in materia di estradizione rientrano nella competenza degli Stati membri.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7" w:name="point27"/>
      <w:r w:rsidRPr="00B745A3">
        <w:rPr>
          <w:rFonts w:ascii="Times New Roman" w:eastAsia="Times New Roman" w:hAnsi="Times New Roman" w:cs="Times New Roman"/>
          <w:sz w:val="24"/>
          <w:szCs w:val="24"/>
          <w:lang w:eastAsia="it-IT"/>
        </w:rPr>
        <w:t>27</w:t>
      </w:r>
      <w:bookmarkEnd w:id="37"/>
      <w:r w:rsidRPr="00B745A3">
        <w:rPr>
          <w:rFonts w:ascii="Times New Roman" w:eastAsia="Times New Roman" w:hAnsi="Times New Roman" w:cs="Times New Roman"/>
          <w:sz w:val="24"/>
          <w:szCs w:val="24"/>
          <w:lang w:eastAsia="it-IT"/>
        </w:rPr>
        <w:t xml:space="preserve">      Ciò non toglie che, in situazioni ricadenti nell’ambito del diritto dell’Unione, le norme nazionali di cui trattasi devono rispettare quest’ultimo (v. sentenza del 2 marzo 2010, </w:t>
      </w:r>
      <w:proofErr w:type="spellStart"/>
      <w:r w:rsidRPr="00B745A3">
        <w:rPr>
          <w:rFonts w:ascii="Times New Roman" w:eastAsia="Times New Roman" w:hAnsi="Times New Roman" w:cs="Times New Roman"/>
          <w:sz w:val="24"/>
          <w:szCs w:val="24"/>
          <w:lang w:eastAsia="it-IT"/>
        </w:rPr>
        <w:t>Rottmann</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 xml:space="preserve">135/08,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:2010:104, punto 41 e giurisprudenza citata).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8" w:name="point28"/>
      <w:r w:rsidRPr="00B745A3">
        <w:rPr>
          <w:rFonts w:ascii="Times New Roman" w:eastAsia="Times New Roman" w:hAnsi="Times New Roman" w:cs="Times New Roman"/>
          <w:sz w:val="24"/>
          <w:szCs w:val="24"/>
          <w:lang w:eastAsia="it-IT"/>
        </w:rPr>
        <w:t>28</w:t>
      </w:r>
      <w:bookmarkEnd w:id="38"/>
      <w:r w:rsidRPr="00B745A3">
        <w:rPr>
          <w:rFonts w:ascii="Times New Roman" w:eastAsia="Times New Roman" w:hAnsi="Times New Roman" w:cs="Times New Roman"/>
          <w:sz w:val="24"/>
          <w:szCs w:val="24"/>
          <w:lang w:eastAsia="it-IT"/>
        </w:rPr>
        <w:t>      Orbene, con le prime due questioni, il giudice del rinvio intende appunto sapere se norme nazionali sull’estradizione come quelle di cui trattasi nel procedimento principale siano compatibili con gli articoli 18 e 21 TFUE.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39" w:name="point29"/>
      <w:r w:rsidRPr="00B745A3">
        <w:rPr>
          <w:rFonts w:ascii="Times New Roman" w:eastAsia="Times New Roman" w:hAnsi="Times New Roman" w:cs="Times New Roman"/>
          <w:sz w:val="24"/>
          <w:szCs w:val="24"/>
          <w:lang w:eastAsia="it-IT"/>
        </w:rPr>
        <w:t>29</w:t>
      </w:r>
      <w:bookmarkEnd w:id="39"/>
      <w:r w:rsidRPr="00B745A3">
        <w:rPr>
          <w:rFonts w:ascii="Times New Roman" w:eastAsia="Times New Roman" w:hAnsi="Times New Roman" w:cs="Times New Roman"/>
          <w:sz w:val="24"/>
          <w:szCs w:val="24"/>
          <w:lang w:eastAsia="it-IT"/>
        </w:rPr>
        <w:t xml:space="preserve">      Vietando «ogni discriminazione effettuata in base alla nazionalità», l’articolo 18 TFUE impone la parità di trattamento delle persone che si trovano in una situazione rientrante nel campo di applicazione dei trattati (v., in tal senso, sentenza del 2 febbraio 1989, </w:t>
      </w:r>
      <w:proofErr w:type="spellStart"/>
      <w:r w:rsidRPr="00B745A3">
        <w:rPr>
          <w:rFonts w:ascii="Times New Roman" w:eastAsia="Times New Roman" w:hAnsi="Times New Roman" w:cs="Times New Roman"/>
          <w:sz w:val="24"/>
          <w:szCs w:val="24"/>
          <w:lang w:eastAsia="it-IT"/>
        </w:rPr>
        <w:t>Cowan</w:t>
      </w:r>
      <w:proofErr w:type="spellEnd"/>
      <w:r w:rsidRPr="00B745A3">
        <w:rPr>
          <w:rFonts w:ascii="Times New Roman" w:eastAsia="Times New Roman" w:hAnsi="Times New Roman" w:cs="Times New Roman"/>
          <w:sz w:val="24"/>
          <w:szCs w:val="24"/>
          <w:lang w:eastAsia="it-IT"/>
        </w:rPr>
        <w:t xml:space="preserve">, 186/87,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:1989:47, punto 10).</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0" w:name="point30"/>
      <w:r w:rsidRPr="00B745A3">
        <w:rPr>
          <w:rFonts w:ascii="Times New Roman" w:eastAsia="Times New Roman" w:hAnsi="Times New Roman" w:cs="Times New Roman"/>
          <w:sz w:val="24"/>
          <w:szCs w:val="24"/>
          <w:lang w:eastAsia="it-IT"/>
        </w:rPr>
        <w:t>30</w:t>
      </w:r>
      <w:bookmarkEnd w:id="40"/>
      <w:r w:rsidRPr="00B745A3">
        <w:rPr>
          <w:rFonts w:ascii="Times New Roman" w:eastAsia="Times New Roman" w:hAnsi="Times New Roman" w:cs="Times New Roman"/>
          <w:sz w:val="24"/>
          <w:szCs w:val="24"/>
          <w:lang w:eastAsia="it-IT"/>
        </w:rPr>
        <w:t xml:space="preserve">      Nel caso di specie, sebbene, indubbiamente, come è stato sottolineato al punto 26 della presente sentenza, in assenza di convenzioni internazionali tra l’Unione e il paese terzo interessato le norme in materia di estradizione rientrino nella competenza degli Stati membri, si deve tuttavia ricordare che, per valutare il campo di applicazione dei trattati, ai sensi dell’articolo 18 TFUE, occorre leggere tale articolo in combinato disposto con le disposizioni del Trattato FUE sulla cittadinanza dell’Unione. Le situazioni rientranti in tale campo di applicazione comprendono quindi, in particolare, quelle rientranti nell’esercizio della libertà di circolare e di soggiornare nel territorio degli Stati membri quale conferita dall’articolo 21 TFUE (v., in tal senso, sentenza del 15 marzo 2005, </w:t>
      </w:r>
      <w:proofErr w:type="spellStart"/>
      <w:r w:rsidRPr="00B745A3">
        <w:rPr>
          <w:rFonts w:ascii="Times New Roman" w:eastAsia="Times New Roman" w:hAnsi="Times New Roman" w:cs="Times New Roman"/>
          <w:sz w:val="24"/>
          <w:szCs w:val="24"/>
          <w:lang w:eastAsia="it-IT"/>
        </w:rPr>
        <w:t>Bidar</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 xml:space="preserve">209/03,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:2005:169, punti da 31 a 33 e giurisprudenza citata).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1" w:name="point31"/>
      <w:r w:rsidRPr="00B745A3">
        <w:rPr>
          <w:rFonts w:ascii="Times New Roman" w:eastAsia="Times New Roman" w:hAnsi="Times New Roman" w:cs="Times New Roman"/>
          <w:sz w:val="24"/>
          <w:szCs w:val="24"/>
          <w:lang w:eastAsia="it-IT"/>
        </w:rPr>
        <w:lastRenderedPageBreak/>
        <w:t>31</w:t>
      </w:r>
      <w:bookmarkEnd w:id="41"/>
      <w:r w:rsidRPr="00B745A3">
        <w:rPr>
          <w:rFonts w:ascii="Times New Roman" w:eastAsia="Times New Roman" w:hAnsi="Times New Roman" w:cs="Times New Roman"/>
          <w:sz w:val="24"/>
          <w:szCs w:val="24"/>
          <w:lang w:eastAsia="it-IT"/>
        </w:rPr>
        <w:t>      Nel procedimento principale il sig. </w:t>
      </w:r>
      <w:bookmarkStart w:id="42" w:name="ctx11"/>
      <w:proofErr w:type="spellStart"/>
      <w:r w:rsidRPr="00B745A3">
        <w:rPr>
          <w:rFonts w:ascii="Times New Roman" w:eastAsia="Times New Roman" w:hAnsi="Times New Roman" w:cs="Times New Roman"/>
          <w:bCs/>
          <w:sz w:val="24"/>
          <w:szCs w:val="24"/>
          <w:lang w:eastAsia="it-IT"/>
        </w:rPr>
        <w:t>Petruhhin</w:t>
      </w:r>
      <w:bookmarkEnd w:id="42"/>
      <w:proofErr w:type="spellEnd"/>
      <w:r w:rsidRPr="00B745A3">
        <w:rPr>
          <w:rFonts w:ascii="Times New Roman" w:eastAsia="Times New Roman" w:hAnsi="Times New Roman" w:cs="Times New Roman"/>
          <w:sz w:val="24"/>
          <w:szCs w:val="24"/>
          <w:lang w:eastAsia="it-IT"/>
        </w:rPr>
        <w:t xml:space="preserve">, cittadino estone, si è avvalso, in qualità di cittadino dell’Unione, del suo diritto di circolare liberamente nell’Unione recandosi in Lettonia, cosicché la situazione di cui trattasi nel procedimento principale rientra nel campo di applicazione dei trattati ai sensi dell’articolo 18 TFUE, che contiene il principio di non discriminazione in base alla cittadinanza (v., in tal senso, sentenza del 2 febbraio 1989, </w:t>
      </w:r>
      <w:proofErr w:type="spellStart"/>
      <w:r w:rsidRPr="00B745A3">
        <w:rPr>
          <w:rFonts w:ascii="Times New Roman" w:eastAsia="Times New Roman" w:hAnsi="Times New Roman" w:cs="Times New Roman"/>
          <w:sz w:val="24"/>
          <w:szCs w:val="24"/>
          <w:lang w:eastAsia="it-IT"/>
        </w:rPr>
        <w:t>Cowan</w:t>
      </w:r>
      <w:proofErr w:type="spellEnd"/>
      <w:r w:rsidRPr="00B745A3">
        <w:rPr>
          <w:rFonts w:ascii="Times New Roman" w:eastAsia="Times New Roman" w:hAnsi="Times New Roman" w:cs="Times New Roman"/>
          <w:sz w:val="24"/>
          <w:szCs w:val="24"/>
          <w:lang w:eastAsia="it-IT"/>
        </w:rPr>
        <w:t>, 186/87, EU:C:1989:47, punti da 17 a 19).</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3" w:name="point32"/>
      <w:r w:rsidRPr="00B745A3">
        <w:rPr>
          <w:rFonts w:ascii="Times New Roman" w:eastAsia="Times New Roman" w:hAnsi="Times New Roman" w:cs="Times New Roman"/>
          <w:sz w:val="24"/>
          <w:szCs w:val="24"/>
          <w:lang w:eastAsia="it-IT"/>
        </w:rPr>
        <w:t>32</w:t>
      </w:r>
      <w:bookmarkEnd w:id="43"/>
      <w:r w:rsidRPr="00B745A3">
        <w:rPr>
          <w:rFonts w:ascii="Times New Roman" w:eastAsia="Times New Roman" w:hAnsi="Times New Roman" w:cs="Times New Roman"/>
          <w:sz w:val="24"/>
          <w:szCs w:val="24"/>
          <w:lang w:eastAsia="it-IT"/>
        </w:rPr>
        <w:t>      Orbene, norme nazionali sull’estradizione come quelle di cui trattasi nel procedimento principale introducono una differenza di trattamento a seconda che l’interessato sia un cittadino nazionale o un cittadino di un altro Stato membro, in quanto la loro applicazione comporta che ai cittadini di altri Stati membri, come il sig. </w:t>
      </w:r>
      <w:bookmarkStart w:id="44" w:name="ctx12"/>
      <w:proofErr w:type="spellStart"/>
      <w:r w:rsidRPr="00B745A3">
        <w:rPr>
          <w:rFonts w:ascii="Times New Roman" w:eastAsia="Times New Roman" w:hAnsi="Times New Roman" w:cs="Times New Roman"/>
          <w:bCs/>
          <w:sz w:val="24"/>
          <w:szCs w:val="24"/>
          <w:lang w:eastAsia="it-IT"/>
        </w:rPr>
        <w:t>Petruhhin</w:t>
      </w:r>
      <w:bookmarkEnd w:id="44"/>
      <w:proofErr w:type="spellEnd"/>
      <w:r w:rsidRPr="00B745A3">
        <w:rPr>
          <w:rFonts w:ascii="Times New Roman" w:eastAsia="Times New Roman" w:hAnsi="Times New Roman" w:cs="Times New Roman"/>
          <w:sz w:val="24"/>
          <w:szCs w:val="24"/>
          <w:lang w:eastAsia="it-IT"/>
        </w:rPr>
        <w:t>, non sia concessa la protezione contro l’estradizione di cui godono i cittadini nazionali. In questo modo tali norme possono pregiudicare la libertà dei primi di circolare nell’Unione.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5" w:name="point33"/>
      <w:r w:rsidRPr="00B745A3">
        <w:rPr>
          <w:rFonts w:ascii="Times New Roman" w:eastAsia="Times New Roman" w:hAnsi="Times New Roman" w:cs="Times New Roman"/>
          <w:sz w:val="24"/>
          <w:szCs w:val="24"/>
          <w:lang w:eastAsia="it-IT"/>
        </w:rPr>
        <w:t>33</w:t>
      </w:r>
      <w:bookmarkEnd w:id="45"/>
      <w:r w:rsidRPr="00B745A3">
        <w:rPr>
          <w:rFonts w:ascii="Times New Roman" w:eastAsia="Times New Roman" w:hAnsi="Times New Roman" w:cs="Times New Roman"/>
          <w:sz w:val="24"/>
          <w:szCs w:val="24"/>
          <w:lang w:eastAsia="it-IT"/>
        </w:rPr>
        <w:t>      Ne consegue che, in una situazione come quella di cui trattasi nel procedimento principale, la disparità di trattamento consistente nel permettere l’estradizione di un cittadino dell’Unione, cittadino di un altro Stato membro, come il sig. </w:t>
      </w:r>
      <w:bookmarkStart w:id="46" w:name="ctx13"/>
      <w:proofErr w:type="spellStart"/>
      <w:r w:rsidRPr="00B745A3">
        <w:rPr>
          <w:rFonts w:ascii="Times New Roman" w:eastAsia="Times New Roman" w:hAnsi="Times New Roman" w:cs="Times New Roman"/>
          <w:bCs/>
          <w:sz w:val="24"/>
          <w:szCs w:val="24"/>
          <w:lang w:eastAsia="it-IT"/>
        </w:rPr>
        <w:t>Petruhhin</w:t>
      </w:r>
      <w:bookmarkEnd w:id="46"/>
      <w:proofErr w:type="spellEnd"/>
      <w:r w:rsidRPr="00B745A3">
        <w:rPr>
          <w:rFonts w:ascii="Times New Roman" w:eastAsia="Times New Roman" w:hAnsi="Times New Roman" w:cs="Times New Roman"/>
          <w:sz w:val="24"/>
          <w:szCs w:val="24"/>
          <w:lang w:eastAsia="it-IT"/>
        </w:rPr>
        <w:t>, si traduce in una restrizione alla libertà di circolazione, ai sensi dell’articolo 21 TFUE.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7" w:name="point34"/>
      <w:r w:rsidRPr="00B745A3">
        <w:rPr>
          <w:rFonts w:ascii="Times New Roman" w:eastAsia="Times New Roman" w:hAnsi="Times New Roman" w:cs="Times New Roman"/>
          <w:sz w:val="24"/>
          <w:szCs w:val="24"/>
          <w:lang w:eastAsia="it-IT"/>
        </w:rPr>
        <w:t>34</w:t>
      </w:r>
      <w:bookmarkEnd w:id="47"/>
      <w:r w:rsidRPr="00B745A3">
        <w:rPr>
          <w:rFonts w:ascii="Times New Roman" w:eastAsia="Times New Roman" w:hAnsi="Times New Roman" w:cs="Times New Roman"/>
          <w:sz w:val="24"/>
          <w:szCs w:val="24"/>
          <w:lang w:eastAsia="it-IT"/>
        </w:rPr>
        <w:t xml:space="preserve">      Tale restrizione può essere giustificata solo se è basata su considerazioni oggettive e se è proporzionata all’obiettivo legittimamente perseguito dalla normativa nazionale (v., in particolare, sentenza del 12 maggio 2011, </w:t>
      </w:r>
      <w:proofErr w:type="spellStart"/>
      <w:r w:rsidRPr="00B745A3">
        <w:rPr>
          <w:rFonts w:ascii="Times New Roman" w:eastAsia="Times New Roman" w:hAnsi="Times New Roman" w:cs="Times New Roman"/>
          <w:sz w:val="24"/>
          <w:szCs w:val="24"/>
          <w:lang w:eastAsia="it-IT"/>
        </w:rPr>
        <w:t>Runevič-Vardyn</w:t>
      </w:r>
      <w:proofErr w:type="spellEnd"/>
      <w:r w:rsidRPr="00B745A3">
        <w:rPr>
          <w:rFonts w:ascii="Times New Roman" w:eastAsia="Times New Roman" w:hAnsi="Times New Roman" w:cs="Times New Roman"/>
          <w:sz w:val="24"/>
          <w:szCs w:val="24"/>
          <w:lang w:eastAsia="it-IT"/>
        </w:rPr>
        <w:t xml:space="preserve"> e </w:t>
      </w:r>
      <w:proofErr w:type="spellStart"/>
      <w:r w:rsidRPr="00B745A3">
        <w:rPr>
          <w:rFonts w:ascii="Times New Roman" w:eastAsia="Times New Roman" w:hAnsi="Times New Roman" w:cs="Times New Roman"/>
          <w:sz w:val="24"/>
          <w:szCs w:val="24"/>
          <w:lang w:eastAsia="it-IT"/>
        </w:rPr>
        <w:t>Wardyn</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 xml:space="preserve">391/09,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:2011:291, punto 83 e giurisprudenza citata).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8" w:name="point35"/>
      <w:r w:rsidRPr="00B745A3">
        <w:rPr>
          <w:rFonts w:ascii="Times New Roman" w:eastAsia="Times New Roman" w:hAnsi="Times New Roman" w:cs="Times New Roman"/>
          <w:sz w:val="24"/>
          <w:szCs w:val="24"/>
          <w:lang w:eastAsia="it-IT"/>
        </w:rPr>
        <w:t>35</w:t>
      </w:r>
      <w:bookmarkEnd w:id="48"/>
      <w:r w:rsidRPr="00B745A3">
        <w:rPr>
          <w:rFonts w:ascii="Times New Roman" w:eastAsia="Times New Roman" w:hAnsi="Times New Roman" w:cs="Times New Roman"/>
          <w:sz w:val="24"/>
          <w:szCs w:val="24"/>
          <w:lang w:eastAsia="it-IT"/>
        </w:rPr>
        <w:t>      Vari governi che hanno presentato osservazioni alla Corte espongono a titolo di giustificazione che la misura che prevede l’estradizione è stata adottata nell’ambito della cooperazione penale internazionale, conformemente a una convenzione sull’estradizione, e mira a evitare il rischio di impunità.</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49" w:name="point36"/>
      <w:r w:rsidRPr="00B745A3">
        <w:rPr>
          <w:rFonts w:ascii="Times New Roman" w:eastAsia="Times New Roman" w:hAnsi="Times New Roman" w:cs="Times New Roman"/>
          <w:sz w:val="24"/>
          <w:szCs w:val="24"/>
          <w:lang w:eastAsia="it-IT"/>
        </w:rPr>
        <w:t>36</w:t>
      </w:r>
      <w:bookmarkEnd w:id="49"/>
      <w:r w:rsidRPr="00B745A3">
        <w:rPr>
          <w:rFonts w:ascii="Times New Roman" w:eastAsia="Times New Roman" w:hAnsi="Times New Roman" w:cs="Times New Roman"/>
          <w:sz w:val="24"/>
          <w:szCs w:val="24"/>
          <w:lang w:eastAsia="it-IT"/>
        </w:rPr>
        <w:t>      A tal riguardo occorre rammentare che, in forza dell’articolo 3, paragrafo 2, TUE, l’Unione offre ai suoi cittadini uno spazio di libertà, sicurezza e giustizia senza frontiere interne, in cui sia assicurata la libera circolazione delle persone insieme a misure appropriate per quanto concerne i controlli alle frontiere esterne, nonché la prevenzione della criminalità e la lotta contro quest’ultima.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0" w:name="point37"/>
      <w:r w:rsidRPr="00B745A3">
        <w:rPr>
          <w:rFonts w:ascii="Times New Roman" w:eastAsia="Times New Roman" w:hAnsi="Times New Roman" w:cs="Times New Roman"/>
          <w:sz w:val="24"/>
          <w:szCs w:val="24"/>
          <w:lang w:eastAsia="it-IT"/>
        </w:rPr>
        <w:t>37</w:t>
      </w:r>
      <w:bookmarkEnd w:id="50"/>
      <w:r w:rsidRPr="00B745A3">
        <w:rPr>
          <w:rFonts w:ascii="Times New Roman" w:eastAsia="Times New Roman" w:hAnsi="Times New Roman" w:cs="Times New Roman"/>
          <w:sz w:val="24"/>
          <w:szCs w:val="24"/>
          <w:lang w:eastAsia="it-IT"/>
        </w:rPr>
        <w:t xml:space="preserve">      L’obiettivo di evitare il rischio di impunità delle persone che hanno commesso un reato si colloca in tale contesto (v., in tal senso, sentenza del 27 maggio 2014, </w:t>
      </w:r>
      <w:proofErr w:type="spellStart"/>
      <w:r w:rsidRPr="00B745A3">
        <w:rPr>
          <w:rFonts w:ascii="Times New Roman" w:eastAsia="Times New Roman" w:hAnsi="Times New Roman" w:cs="Times New Roman"/>
          <w:sz w:val="24"/>
          <w:szCs w:val="24"/>
          <w:lang w:eastAsia="it-IT"/>
        </w:rPr>
        <w:t>Spasic</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 xml:space="preserve">129/14 PPU,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:2014:586, punti 63 e 65) e, come rilevato dall’avvocato generale al paragrafo 55 delle sue conclusioni, deve essere considerato legittimo nel diritto dell’Unione.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1" w:name="point38"/>
      <w:r w:rsidRPr="00B745A3">
        <w:rPr>
          <w:rFonts w:ascii="Times New Roman" w:eastAsia="Times New Roman" w:hAnsi="Times New Roman" w:cs="Times New Roman"/>
          <w:sz w:val="24"/>
          <w:szCs w:val="24"/>
          <w:lang w:eastAsia="it-IT"/>
        </w:rPr>
        <w:t>38</w:t>
      </w:r>
      <w:bookmarkEnd w:id="51"/>
      <w:r w:rsidRPr="00B745A3">
        <w:rPr>
          <w:rFonts w:ascii="Times New Roman" w:eastAsia="Times New Roman" w:hAnsi="Times New Roman" w:cs="Times New Roman"/>
          <w:sz w:val="24"/>
          <w:szCs w:val="24"/>
          <w:lang w:eastAsia="it-IT"/>
        </w:rPr>
        <w:t xml:space="preserve">      Tuttavia, misure restrittive di una libertà fondamentale, come quella di cui all’articolo 21 TFUE, possono essere giustificate da considerazioni oggettive solo ove risultino necessarie ai fini della tutela degli interessi che esse mirano a garantire e solo nella misura in cui tali obiettivi non possano essere raggiunti mediante misure meno restrittive (v. sentenza del 12 maggio 2011, </w:t>
      </w:r>
      <w:proofErr w:type="spellStart"/>
      <w:r w:rsidRPr="00B745A3">
        <w:rPr>
          <w:rFonts w:ascii="Times New Roman" w:eastAsia="Times New Roman" w:hAnsi="Times New Roman" w:cs="Times New Roman"/>
          <w:sz w:val="24"/>
          <w:szCs w:val="24"/>
          <w:lang w:eastAsia="it-IT"/>
        </w:rPr>
        <w:t>Runevič-Vardyn</w:t>
      </w:r>
      <w:proofErr w:type="spellEnd"/>
      <w:r w:rsidRPr="00B745A3">
        <w:rPr>
          <w:rFonts w:ascii="Times New Roman" w:eastAsia="Times New Roman" w:hAnsi="Times New Roman" w:cs="Times New Roman"/>
          <w:sz w:val="24"/>
          <w:szCs w:val="24"/>
          <w:lang w:eastAsia="it-IT"/>
        </w:rPr>
        <w:t xml:space="preserve"> e </w:t>
      </w:r>
      <w:proofErr w:type="spellStart"/>
      <w:r w:rsidRPr="00B745A3">
        <w:rPr>
          <w:rFonts w:ascii="Times New Roman" w:eastAsia="Times New Roman" w:hAnsi="Times New Roman" w:cs="Times New Roman"/>
          <w:sz w:val="24"/>
          <w:szCs w:val="24"/>
          <w:lang w:eastAsia="it-IT"/>
        </w:rPr>
        <w:t>Wardyn</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 xml:space="preserve">391/09,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:2011:291, punto 88 e giurisprudenza citata).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2" w:name="point39"/>
      <w:r w:rsidRPr="00B745A3">
        <w:rPr>
          <w:rFonts w:ascii="Times New Roman" w:eastAsia="Times New Roman" w:hAnsi="Times New Roman" w:cs="Times New Roman"/>
          <w:sz w:val="24"/>
          <w:szCs w:val="24"/>
          <w:lang w:eastAsia="it-IT"/>
        </w:rPr>
        <w:lastRenderedPageBreak/>
        <w:t>39</w:t>
      </w:r>
      <w:bookmarkEnd w:id="52"/>
      <w:r w:rsidRPr="00B745A3">
        <w:rPr>
          <w:rFonts w:ascii="Times New Roman" w:eastAsia="Times New Roman" w:hAnsi="Times New Roman" w:cs="Times New Roman"/>
          <w:sz w:val="24"/>
          <w:szCs w:val="24"/>
          <w:lang w:eastAsia="it-IT"/>
        </w:rPr>
        <w:t xml:space="preserve">      Come osservato dall’avvocato generale al paragrafo 56 delle sue conclusioni, l’estradizione è una procedura che mira a lottare contro l’impunità di una persona che si trovi in un territorio diverso da quello nel quale ha </w:t>
      </w:r>
      <w:proofErr w:type="spellStart"/>
      <w:r w:rsidRPr="00B745A3">
        <w:rPr>
          <w:rFonts w:ascii="Times New Roman" w:eastAsia="Times New Roman" w:hAnsi="Times New Roman" w:cs="Times New Roman"/>
          <w:sz w:val="24"/>
          <w:szCs w:val="24"/>
          <w:lang w:eastAsia="it-IT"/>
        </w:rPr>
        <w:t>asseritamente</w:t>
      </w:r>
      <w:proofErr w:type="spellEnd"/>
      <w:r w:rsidRPr="00B745A3">
        <w:rPr>
          <w:rFonts w:ascii="Times New Roman" w:eastAsia="Times New Roman" w:hAnsi="Times New Roman" w:cs="Times New Roman"/>
          <w:sz w:val="24"/>
          <w:szCs w:val="24"/>
          <w:lang w:eastAsia="it-IT"/>
        </w:rPr>
        <w:t xml:space="preserve"> commesso il reato. Infatti, come rilevato da vari governi nazionali nelle loro osservazioni dinanzi alla Corte, mentre, tenuto conto del brocardo «aut </w:t>
      </w:r>
      <w:proofErr w:type="spellStart"/>
      <w:r w:rsidRPr="00B745A3">
        <w:rPr>
          <w:rFonts w:ascii="Times New Roman" w:eastAsia="Times New Roman" w:hAnsi="Times New Roman" w:cs="Times New Roman"/>
          <w:sz w:val="24"/>
          <w:szCs w:val="24"/>
          <w:lang w:eastAsia="it-IT"/>
        </w:rPr>
        <w:t>dedere</w:t>
      </w:r>
      <w:proofErr w:type="spellEnd"/>
      <w:r w:rsidRPr="00B745A3">
        <w:rPr>
          <w:rFonts w:ascii="Times New Roman" w:eastAsia="Times New Roman" w:hAnsi="Times New Roman" w:cs="Times New Roman"/>
          <w:sz w:val="24"/>
          <w:szCs w:val="24"/>
          <w:lang w:eastAsia="it-IT"/>
        </w:rPr>
        <w:t xml:space="preserve">, aut </w:t>
      </w:r>
      <w:proofErr w:type="spellStart"/>
      <w:r w:rsidRPr="00B745A3">
        <w:rPr>
          <w:rFonts w:ascii="Times New Roman" w:eastAsia="Times New Roman" w:hAnsi="Times New Roman" w:cs="Times New Roman"/>
          <w:sz w:val="24"/>
          <w:szCs w:val="24"/>
          <w:lang w:eastAsia="it-IT"/>
        </w:rPr>
        <w:t>judicare</w:t>
      </w:r>
      <w:proofErr w:type="spellEnd"/>
      <w:r w:rsidRPr="00B745A3">
        <w:rPr>
          <w:rFonts w:ascii="Times New Roman" w:eastAsia="Times New Roman" w:hAnsi="Times New Roman" w:cs="Times New Roman"/>
          <w:sz w:val="24"/>
          <w:szCs w:val="24"/>
          <w:lang w:eastAsia="it-IT"/>
        </w:rPr>
        <w:t>» (o estradare o giudicare), la mancata estradizione dei cittadini nazionali è generalmente compensata dalla possibilità per lo Stato membro richiesto di perseguire i propri cittadini per reati gravi commessi fuori dal suo territorio, tale Stato membro è di norma incompetente a giudicare tali fatti quando né l’autore né la vittima del presunto reato sono cittadini di detto Stato membro. L’estradizione consente quindi di evitare che reati commessi nel territorio di uno Stato membro da persone che sono fuggite da detto territorio rimangano impuniti.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3" w:name="point40"/>
      <w:r w:rsidRPr="00B745A3">
        <w:rPr>
          <w:rFonts w:ascii="Times New Roman" w:eastAsia="Times New Roman" w:hAnsi="Times New Roman" w:cs="Times New Roman"/>
          <w:sz w:val="24"/>
          <w:szCs w:val="24"/>
          <w:lang w:eastAsia="it-IT"/>
        </w:rPr>
        <w:t>40</w:t>
      </w:r>
      <w:bookmarkEnd w:id="53"/>
      <w:r w:rsidRPr="00B745A3">
        <w:rPr>
          <w:rFonts w:ascii="Times New Roman" w:eastAsia="Times New Roman" w:hAnsi="Times New Roman" w:cs="Times New Roman"/>
          <w:sz w:val="24"/>
          <w:szCs w:val="24"/>
          <w:lang w:eastAsia="it-IT"/>
        </w:rPr>
        <w:t>      In tale contesto, norme nazionali come quelle di cui trattasi nel procedimento principale, che consentono di dare un seguito favorevole a una domanda di estradizione ai fini dell’esercizio dell’azione penale e della sentenza nello Stato terzo in cui si suppone sia stato commesso il reato, risultano adeguate per conseguire l’obiettivo perseguito.</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4" w:name="point41"/>
      <w:r w:rsidRPr="00B745A3">
        <w:rPr>
          <w:rFonts w:ascii="Times New Roman" w:eastAsia="Times New Roman" w:hAnsi="Times New Roman" w:cs="Times New Roman"/>
          <w:sz w:val="24"/>
          <w:szCs w:val="24"/>
          <w:lang w:eastAsia="it-IT"/>
        </w:rPr>
        <w:t>41</w:t>
      </w:r>
      <w:bookmarkEnd w:id="54"/>
      <w:r w:rsidRPr="00B745A3">
        <w:rPr>
          <w:rFonts w:ascii="Times New Roman" w:eastAsia="Times New Roman" w:hAnsi="Times New Roman" w:cs="Times New Roman"/>
          <w:sz w:val="24"/>
          <w:szCs w:val="24"/>
          <w:lang w:eastAsia="it-IT"/>
        </w:rPr>
        <w:t>      Occorre tuttavia verificare se non esista una misura alternativa meno lesiva per l’esercizio dei diritti conferiti dall’articolo 21 TFUE che consenta di raggiungere in modo parimenti efficace l’obiettivo consistente nell’evitare il rischio di impunità di una persona che avrebbe commesso un reato.</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5" w:name="point42"/>
      <w:r w:rsidRPr="00B745A3">
        <w:rPr>
          <w:rFonts w:ascii="Times New Roman" w:eastAsia="Times New Roman" w:hAnsi="Times New Roman" w:cs="Times New Roman"/>
          <w:sz w:val="24"/>
          <w:szCs w:val="24"/>
          <w:lang w:eastAsia="it-IT"/>
        </w:rPr>
        <w:t>42</w:t>
      </w:r>
      <w:bookmarkEnd w:id="55"/>
      <w:r w:rsidRPr="00B745A3">
        <w:rPr>
          <w:rFonts w:ascii="Times New Roman" w:eastAsia="Times New Roman" w:hAnsi="Times New Roman" w:cs="Times New Roman"/>
          <w:sz w:val="24"/>
          <w:szCs w:val="24"/>
          <w:lang w:eastAsia="it-IT"/>
        </w:rPr>
        <w:t>      A tale proposito si deve ricordare che, in virtù del principio di leale cooperazione sancito dall’articolo 4, paragrafo 3, primo comma, TUE, l’Unione e gli Stati membri si rispettano e si assistono reciprocamente nell’adempimento dei compiti derivanti dai trattati.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6" w:name="point43"/>
      <w:r w:rsidRPr="00B745A3">
        <w:rPr>
          <w:rFonts w:ascii="Times New Roman" w:eastAsia="Times New Roman" w:hAnsi="Times New Roman" w:cs="Times New Roman"/>
          <w:sz w:val="24"/>
          <w:szCs w:val="24"/>
          <w:lang w:eastAsia="it-IT"/>
        </w:rPr>
        <w:t>43</w:t>
      </w:r>
      <w:bookmarkEnd w:id="56"/>
      <w:r w:rsidRPr="00B745A3">
        <w:rPr>
          <w:rFonts w:ascii="Times New Roman" w:eastAsia="Times New Roman" w:hAnsi="Times New Roman" w:cs="Times New Roman"/>
          <w:sz w:val="24"/>
          <w:szCs w:val="24"/>
          <w:lang w:eastAsia="it-IT"/>
        </w:rPr>
        <w:t xml:space="preserve">      Nell’ambito del diritto penale, il legislatore dell’Unione ha adottato inter alia la decisione quadro 2002/584, diretta ad agevolare la cooperazione giudiziaria con la creazione del mandato di arresto europeo. Quest’ultimo costituisce la prima concretizzazione, nel settore del diritto penale, del principio del riconoscimento reciproco che il Consiglio europeo ha definito quale «pietra angolare» della cooperazione giudiziaria (sentenza del 1° dicembre 2008, </w:t>
      </w:r>
      <w:proofErr w:type="spellStart"/>
      <w:r w:rsidRPr="00B745A3">
        <w:rPr>
          <w:rFonts w:ascii="Times New Roman" w:eastAsia="Times New Roman" w:hAnsi="Times New Roman" w:cs="Times New Roman"/>
          <w:sz w:val="24"/>
          <w:szCs w:val="24"/>
          <w:lang w:eastAsia="it-IT"/>
        </w:rPr>
        <w:t>Leymann</w:t>
      </w:r>
      <w:proofErr w:type="spellEnd"/>
      <w:r w:rsidRPr="00B745A3">
        <w:rPr>
          <w:rFonts w:ascii="Times New Roman" w:eastAsia="Times New Roman" w:hAnsi="Times New Roman" w:cs="Times New Roman"/>
          <w:sz w:val="24"/>
          <w:szCs w:val="24"/>
          <w:lang w:eastAsia="it-IT"/>
        </w:rPr>
        <w:t xml:space="preserve"> e </w:t>
      </w:r>
      <w:proofErr w:type="spellStart"/>
      <w:r w:rsidRPr="00B745A3">
        <w:rPr>
          <w:rFonts w:ascii="Times New Roman" w:eastAsia="Times New Roman" w:hAnsi="Times New Roman" w:cs="Times New Roman"/>
          <w:sz w:val="24"/>
          <w:szCs w:val="24"/>
          <w:lang w:eastAsia="it-IT"/>
        </w:rPr>
        <w:t>Pustovarov</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 xml:space="preserve">388/08 PPU,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 xml:space="preserve">:2008:669, punto 49). A tale meccanismo di cooperazione giudiziaria costituito dal mandato d’arresto europeo si aggiungono numerosi strumenti di assistenza intesi a facilitare tale cooperazione (v., in tal senso, sentenza del 27 maggio 2014, </w:t>
      </w:r>
      <w:proofErr w:type="spellStart"/>
      <w:r w:rsidRPr="00B745A3">
        <w:rPr>
          <w:rFonts w:ascii="Times New Roman" w:eastAsia="Times New Roman" w:hAnsi="Times New Roman" w:cs="Times New Roman"/>
          <w:sz w:val="24"/>
          <w:szCs w:val="24"/>
          <w:lang w:eastAsia="it-IT"/>
        </w:rPr>
        <w:t>Spasic</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 xml:space="preserve">129/14 PPU,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:2014:586, punti da 65 a 68).</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7" w:name="point44"/>
      <w:r w:rsidRPr="00B745A3">
        <w:rPr>
          <w:rFonts w:ascii="Times New Roman" w:eastAsia="Times New Roman" w:hAnsi="Times New Roman" w:cs="Times New Roman"/>
          <w:sz w:val="24"/>
          <w:szCs w:val="24"/>
          <w:lang w:eastAsia="it-IT"/>
        </w:rPr>
        <w:t>44</w:t>
      </w:r>
      <w:bookmarkEnd w:id="57"/>
      <w:r w:rsidRPr="00B745A3">
        <w:rPr>
          <w:rFonts w:ascii="Times New Roman" w:eastAsia="Times New Roman" w:hAnsi="Times New Roman" w:cs="Times New Roman"/>
          <w:sz w:val="24"/>
          <w:szCs w:val="24"/>
          <w:lang w:eastAsia="it-IT"/>
        </w:rPr>
        <w:t>      Peraltro, nelle relazioni con il resto del mondo l’Unione afferma e promuove i suoi valori e interessi, contribuendo alla protezione dei suoi cittadini, conformemente all’articolo 3, paragrafo 5, TUE.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8" w:name="point45"/>
      <w:r w:rsidRPr="00B745A3">
        <w:rPr>
          <w:rFonts w:ascii="Times New Roman" w:eastAsia="Times New Roman" w:hAnsi="Times New Roman" w:cs="Times New Roman"/>
          <w:sz w:val="24"/>
          <w:szCs w:val="24"/>
          <w:lang w:eastAsia="it-IT"/>
        </w:rPr>
        <w:t>45</w:t>
      </w:r>
      <w:bookmarkEnd w:id="58"/>
      <w:r w:rsidRPr="00B745A3">
        <w:rPr>
          <w:rFonts w:ascii="Times New Roman" w:eastAsia="Times New Roman" w:hAnsi="Times New Roman" w:cs="Times New Roman"/>
          <w:sz w:val="24"/>
          <w:szCs w:val="24"/>
          <w:lang w:eastAsia="it-IT"/>
        </w:rPr>
        <w:t>      Tale protezione si costruisce gradualmente mediante strumenti di cooperazione quali gli accordi di estradizione conclusi tra l’Unione e paesi terzi.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59" w:name="point46"/>
      <w:r w:rsidRPr="00B745A3">
        <w:rPr>
          <w:rFonts w:ascii="Times New Roman" w:eastAsia="Times New Roman" w:hAnsi="Times New Roman" w:cs="Times New Roman"/>
          <w:sz w:val="24"/>
          <w:szCs w:val="24"/>
          <w:lang w:eastAsia="it-IT"/>
        </w:rPr>
        <w:t>46</w:t>
      </w:r>
      <w:bookmarkEnd w:id="59"/>
      <w:r w:rsidRPr="00B745A3">
        <w:rPr>
          <w:rFonts w:ascii="Times New Roman" w:eastAsia="Times New Roman" w:hAnsi="Times New Roman" w:cs="Times New Roman"/>
          <w:sz w:val="24"/>
          <w:szCs w:val="24"/>
          <w:lang w:eastAsia="it-IT"/>
        </w:rPr>
        <w:t>      Tuttavia, a tutt’oggi non esiste una convenzione di questo tipo tra l’Unione e lo Stato terzo di cui trattasi nel procedimento principale.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0" w:name="point47"/>
      <w:r w:rsidRPr="00B745A3">
        <w:rPr>
          <w:rFonts w:ascii="Times New Roman" w:eastAsia="Times New Roman" w:hAnsi="Times New Roman" w:cs="Times New Roman"/>
          <w:sz w:val="24"/>
          <w:szCs w:val="24"/>
          <w:lang w:eastAsia="it-IT"/>
        </w:rPr>
        <w:lastRenderedPageBreak/>
        <w:t>47</w:t>
      </w:r>
      <w:bookmarkEnd w:id="60"/>
      <w:r w:rsidRPr="00B745A3">
        <w:rPr>
          <w:rFonts w:ascii="Times New Roman" w:eastAsia="Times New Roman" w:hAnsi="Times New Roman" w:cs="Times New Roman"/>
          <w:sz w:val="24"/>
          <w:szCs w:val="24"/>
          <w:lang w:eastAsia="it-IT"/>
        </w:rPr>
        <w:t>      In assenza di norme del diritto dell’Unione disciplinanti l’estradizione tra gli Stati membri e uno Stato terzo, al fine di tutelare i cittadini dell’Unione contro misure che possano privarli dei diritti di libera circolazione e di soggiorno previsti dall’articolo 21 TFUE, lottando nel contempo contro l’impunità per i reati, è necessario attuare tutti i meccanismi di cooperazione e di assistenza reciproca esistenti in materia penale in forza del diritto dell’Unione.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1" w:name="point48"/>
      <w:r w:rsidRPr="00B745A3">
        <w:rPr>
          <w:rFonts w:ascii="Times New Roman" w:eastAsia="Times New Roman" w:hAnsi="Times New Roman" w:cs="Times New Roman"/>
          <w:sz w:val="24"/>
          <w:szCs w:val="24"/>
          <w:lang w:eastAsia="it-IT"/>
        </w:rPr>
        <w:t>48</w:t>
      </w:r>
      <w:bookmarkEnd w:id="61"/>
      <w:r w:rsidRPr="00B745A3">
        <w:rPr>
          <w:rFonts w:ascii="Times New Roman" w:eastAsia="Times New Roman" w:hAnsi="Times New Roman" w:cs="Times New Roman"/>
          <w:sz w:val="24"/>
          <w:szCs w:val="24"/>
          <w:lang w:eastAsia="it-IT"/>
        </w:rPr>
        <w:t>      In tal senso, in un caso come quello oggetto del procedimento principale, occorre privilegiare lo scambio di informazioni con lo Stato membro di cui l’interessato ha la cittadinanza al fine di fornire alle autorità di tale Stato membro, purché siano competenti in base al loro diritto nazionale a perseguire tale persona per fatti commessi fuori dal territorio nazionale, l’opportunità di emettere un mandato d’arresto europeo ai fini dell’esercizio dell’azione penale. L’articolo 1, paragrafi 1 e 2, della decisione quadro 2002/584 non esclude infatti, in tal caso, la possibilità per lo Stato membro di cui il presunto autore del reato ha la cittadinanza di emettere un mandato d’arresto europeo in vista della consegna di tale persona ai fini dell’esercizio dell’azione penale.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2" w:name="point49"/>
      <w:r w:rsidRPr="00B745A3">
        <w:rPr>
          <w:rFonts w:ascii="Times New Roman" w:eastAsia="Times New Roman" w:hAnsi="Times New Roman" w:cs="Times New Roman"/>
          <w:sz w:val="24"/>
          <w:szCs w:val="24"/>
          <w:lang w:eastAsia="it-IT"/>
        </w:rPr>
        <w:t>49</w:t>
      </w:r>
      <w:bookmarkEnd w:id="62"/>
      <w:r w:rsidRPr="00B745A3">
        <w:rPr>
          <w:rFonts w:ascii="Times New Roman" w:eastAsia="Times New Roman" w:hAnsi="Times New Roman" w:cs="Times New Roman"/>
          <w:sz w:val="24"/>
          <w:szCs w:val="24"/>
          <w:lang w:eastAsia="it-IT"/>
        </w:rPr>
        <w:t>      Cooperando in tal modo con lo Stato membro di cui l’interessato ha la cittadinanza e dando priorità a detto eventuale mandato d’arresto rispetto alla domanda di estradizione, lo Stato membro ospitante agisce in maniera meno lesiva dell’esercizio del diritto di libera circolazione, evitando al tempo stesso, per quanto possibile, il rischio che il reato perseguito rimanga impunito.</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3" w:name="point50"/>
      <w:r w:rsidRPr="00B745A3">
        <w:rPr>
          <w:rFonts w:ascii="Times New Roman" w:eastAsia="Times New Roman" w:hAnsi="Times New Roman" w:cs="Times New Roman"/>
          <w:sz w:val="24"/>
          <w:szCs w:val="24"/>
          <w:lang w:eastAsia="it-IT"/>
        </w:rPr>
        <w:t>50</w:t>
      </w:r>
      <w:bookmarkEnd w:id="63"/>
      <w:r w:rsidRPr="00B745A3">
        <w:rPr>
          <w:rFonts w:ascii="Times New Roman" w:eastAsia="Times New Roman" w:hAnsi="Times New Roman" w:cs="Times New Roman"/>
          <w:sz w:val="24"/>
          <w:szCs w:val="24"/>
          <w:lang w:eastAsia="it-IT"/>
        </w:rPr>
        <w:t>      Si deve di conseguenza rispondere alle prime due questioni dichiarando che gli articoli 18 e 21 TFUE devono essere interpretati nel senso che, quando a uno Stato membro nel quale si sia recato un cittadino dell’Unione avente la cittadinanza di un altro Stato membro viene presentata una domanda di estradizione da parte di uno Stato terzo con il quale il primo Stato membro ha concluso un accordo di estradizione, esso è tenuto a informare lo Stato membro del quale il predetto cittadino ha la cittadinanza e, se del caso, su domanda di quest’ultimo Stato membro, a consegnargli tale cittadino, conformemente alle disposizioni della decisione quadro 2002/584, purché detto Stato membro sia competente, in forza del suo diritto nazionale, a perseguire tale persona per fatti commessi fuori dal suo territorio nazionale.</w:t>
      </w:r>
    </w:p>
    <w:p w:rsidR="00B745A3" w:rsidRPr="00B745A3" w:rsidRDefault="00B745A3" w:rsidP="00B745A3">
      <w:pPr>
        <w:shd w:val="clear" w:color="auto" w:fill="FFFFFF"/>
        <w:spacing w:after="240" w:line="240" w:lineRule="auto"/>
        <w:ind w:left="567"/>
        <w:jc w:val="both"/>
        <w:rPr>
          <w:rFonts w:ascii="Times New Roman" w:eastAsia="Times New Roman" w:hAnsi="Times New Roman" w:cs="Times New Roman"/>
          <w:i/>
          <w:iCs/>
          <w:sz w:val="24"/>
          <w:szCs w:val="24"/>
          <w:lang w:eastAsia="it-IT"/>
        </w:rPr>
      </w:pPr>
      <w:r w:rsidRPr="00B745A3">
        <w:rPr>
          <w:rFonts w:ascii="Times New Roman" w:eastAsia="Times New Roman" w:hAnsi="Times New Roman" w:cs="Times New Roman"/>
          <w:i/>
          <w:iCs/>
          <w:sz w:val="24"/>
          <w:szCs w:val="24"/>
          <w:lang w:eastAsia="it-IT"/>
        </w:rPr>
        <w:t>  Sulla terza questione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4" w:name="point51"/>
      <w:r w:rsidRPr="00B745A3">
        <w:rPr>
          <w:rFonts w:ascii="Times New Roman" w:eastAsia="Times New Roman" w:hAnsi="Times New Roman" w:cs="Times New Roman"/>
          <w:sz w:val="24"/>
          <w:szCs w:val="24"/>
          <w:lang w:eastAsia="it-IT"/>
        </w:rPr>
        <w:t>51</w:t>
      </w:r>
      <w:bookmarkEnd w:id="64"/>
      <w:r w:rsidRPr="00B745A3">
        <w:rPr>
          <w:rFonts w:ascii="Times New Roman" w:eastAsia="Times New Roman" w:hAnsi="Times New Roman" w:cs="Times New Roman"/>
          <w:sz w:val="24"/>
          <w:szCs w:val="24"/>
          <w:lang w:eastAsia="it-IT"/>
        </w:rPr>
        <w:t>      Con la terza questione il giudice del rinvio chiede in sostanza se, nell’ipotesi in cui lo Stato membro richiesto intenda estradare un cittadino di un altro Stato membro su domanda di uno Stato terzo, il primo Stato membro debba verificare che l’estradizione non pregiudicherà i diritti di cui all’articolo 19 della Carta e, se del caso, quali criteri debbano essere presi in considerazione ai fini di tale verifica.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5" w:name="point52"/>
      <w:r w:rsidRPr="00B745A3">
        <w:rPr>
          <w:rFonts w:ascii="Times New Roman" w:eastAsia="Times New Roman" w:hAnsi="Times New Roman" w:cs="Times New Roman"/>
          <w:sz w:val="24"/>
          <w:szCs w:val="24"/>
          <w:lang w:eastAsia="it-IT"/>
        </w:rPr>
        <w:t>52</w:t>
      </w:r>
      <w:bookmarkEnd w:id="65"/>
      <w:r w:rsidRPr="00B745A3">
        <w:rPr>
          <w:rFonts w:ascii="Times New Roman" w:eastAsia="Times New Roman" w:hAnsi="Times New Roman" w:cs="Times New Roman"/>
          <w:sz w:val="24"/>
          <w:szCs w:val="24"/>
          <w:lang w:eastAsia="it-IT"/>
        </w:rPr>
        <w:t xml:space="preserve">      Come emerge dalla risposta alle prime due questioni, la decisione di uno Stato membro di estradare un cittadino dell’Unione, in una situazione come quella del procedimento principale, rientra nell’ambito di applicazione degli articoli 18 e 21 TFUE e quindi del diritto dell’Unione ai sensi dell’articolo 51, paragrafo 1, della Carta (v. in tal senso, per analogia, sentenza del 26 febbraio 2013, </w:t>
      </w:r>
      <w:proofErr w:type="spellStart"/>
      <w:r w:rsidRPr="00B745A3">
        <w:rPr>
          <w:rFonts w:ascii="Times New Roman" w:eastAsia="Times New Roman" w:hAnsi="Times New Roman" w:cs="Times New Roman"/>
          <w:sz w:val="24"/>
          <w:szCs w:val="24"/>
          <w:lang w:eastAsia="it-IT"/>
        </w:rPr>
        <w:t>Åkerberg</w:t>
      </w:r>
      <w:proofErr w:type="spellEnd"/>
      <w:r w:rsidRPr="00B745A3">
        <w:rPr>
          <w:rFonts w:ascii="Times New Roman" w:eastAsia="Times New Roman" w:hAnsi="Times New Roman" w:cs="Times New Roman"/>
          <w:sz w:val="24"/>
          <w:szCs w:val="24"/>
          <w:lang w:eastAsia="it-IT"/>
        </w:rPr>
        <w:t xml:space="preserve"> </w:t>
      </w:r>
      <w:proofErr w:type="spellStart"/>
      <w:r w:rsidRPr="00B745A3">
        <w:rPr>
          <w:rFonts w:ascii="Times New Roman" w:eastAsia="Times New Roman" w:hAnsi="Times New Roman" w:cs="Times New Roman"/>
          <w:sz w:val="24"/>
          <w:szCs w:val="24"/>
          <w:lang w:eastAsia="it-IT"/>
        </w:rPr>
        <w:t>Fransson</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 xml:space="preserve">617/10,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:2013:105, punti da 25 a 27).</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6" w:name="point53"/>
      <w:r w:rsidRPr="00B745A3">
        <w:rPr>
          <w:rFonts w:ascii="Times New Roman" w:eastAsia="Times New Roman" w:hAnsi="Times New Roman" w:cs="Times New Roman"/>
          <w:sz w:val="24"/>
          <w:szCs w:val="24"/>
          <w:lang w:eastAsia="it-IT"/>
        </w:rPr>
        <w:lastRenderedPageBreak/>
        <w:t>53</w:t>
      </w:r>
      <w:bookmarkEnd w:id="66"/>
      <w:r w:rsidRPr="00B745A3">
        <w:rPr>
          <w:rFonts w:ascii="Times New Roman" w:eastAsia="Times New Roman" w:hAnsi="Times New Roman" w:cs="Times New Roman"/>
          <w:sz w:val="24"/>
          <w:szCs w:val="24"/>
          <w:lang w:eastAsia="it-IT"/>
        </w:rPr>
        <w:t>      Ne consegue che le disposizioni della Carta e in particolare del suo articolo 19 sono idonee a essere applicate a tale decisione.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7" w:name="point54"/>
      <w:r w:rsidRPr="00B745A3">
        <w:rPr>
          <w:rFonts w:ascii="Times New Roman" w:eastAsia="Times New Roman" w:hAnsi="Times New Roman" w:cs="Times New Roman"/>
          <w:sz w:val="24"/>
          <w:szCs w:val="24"/>
          <w:lang w:eastAsia="it-IT"/>
        </w:rPr>
        <w:t>54</w:t>
      </w:r>
      <w:bookmarkEnd w:id="67"/>
      <w:r w:rsidRPr="00B745A3">
        <w:rPr>
          <w:rFonts w:ascii="Times New Roman" w:eastAsia="Times New Roman" w:hAnsi="Times New Roman" w:cs="Times New Roman"/>
          <w:sz w:val="24"/>
          <w:szCs w:val="24"/>
          <w:lang w:eastAsia="it-IT"/>
        </w:rPr>
        <w:t>      Ai sensi dell’articolo 19, nessuno può essere allontanato, espulso o estradato verso uno Stato in cui esiste un rischio serio di essere sottoposto alla pena di morte, alla tortura o ad altre pene o trattamenti inumani o degradanti.</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8" w:name="point55"/>
      <w:r w:rsidRPr="00B745A3">
        <w:rPr>
          <w:rFonts w:ascii="Times New Roman" w:eastAsia="Times New Roman" w:hAnsi="Times New Roman" w:cs="Times New Roman"/>
          <w:sz w:val="24"/>
          <w:szCs w:val="24"/>
          <w:lang w:eastAsia="it-IT"/>
        </w:rPr>
        <w:t>55</w:t>
      </w:r>
      <w:bookmarkEnd w:id="68"/>
      <w:r w:rsidRPr="00B745A3">
        <w:rPr>
          <w:rFonts w:ascii="Times New Roman" w:eastAsia="Times New Roman" w:hAnsi="Times New Roman" w:cs="Times New Roman"/>
          <w:sz w:val="24"/>
          <w:szCs w:val="24"/>
          <w:lang w:eastAsia="it-IT"/>
        </w:rPr>
        <w:t>      Il giudice del rinvio chiede in particolare se, per valutare se vi sia stata violazione di tale disposizione, uno Stato membro possa limitarsi ad accertare che lo Stato richiedente è parte della Convenzione europea per la salvaguardia dei diritti dell’uomo e delle libertà fondamentali firmata a Roma il 4 novembre 1950, che proibisce la tortura, o se occorra esaminare in concreto la situazione esistente in quest’ultimo Stato tenendo conto della valutazione della stessa da parte del Consiglio d’Europa.</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69" w:name="point56"/>
      <w:r w:rsidRPr="00B745A3">
        <w:rPr>
          <w:rFonts w:ascii="Times New Roman" w:eastAsia="Times New Roman" w:hAnsi="Times New Roman" w:cs="Times New Roman"/>
          <w:sz w:val="24"/>
          <w:szCs w:val="24"/>
          <w:lang w:eastAsia="it-IT"/>
        </w:rPr>
        <w:t>56</w:t>
      </w:r>
      <w:bookmarkEnd w:id="69"/>
      <w:r w:rsidRPr="00B745A3">
        <w:rPr>
          <w:rFonts w:ascii="Times New Roman" w:eastAsia="Times New Roman" w:hAnsi="Times New Roman" w:cs="Times New Roman"/>
          <w:sz w:val="24"/>
          <w:szCs w:val="24"/>
          <w:lang w:eastAsia="it-IT"/>
        </w:rPr>
        <w:t xml:space="preserve">      A tale proposito occorre fare riferimento all’articolo 4 della Carta che proibisce le pene o i trattamenti inumani o degradanti e rammentare che tale proibizione ha carattere assoluto in quanto è strettamente connessa al rispetto della dignità umana, di cui all’articolo 1 della Carta (v. sentenza del 5 aprile 2016, </w:t>
      </w:r>
      <w:proofErr w:type="spellStart"/>
      <w:r w:rsidRPr="00B745A3">
        <w:rPr>
          <w:rFonts w:ascii="Times New Roman" w:eastAsia="Times New Roman" w:hAnsi="Times New Roman" w:cs="Times New Roman"/>
          <w:sz w:val="24"/>
          <w:szCs w:val="24"/>
          <w:lang w:eastAsia="it-IT"/>
        </w:rPr>
        <w:t>Aranyosi</w:t>
      </w:r>
      <w:proofErr w:type="spellEnd"/>
      <w:r w:rsidRPr="00B745A3">
        <w:rPr>
          <w:rFonts w:ascii="Times New Roman" w:eastAsia="Times New Roman" w:hAnsi="Times New Roman" w:cs="Times New Roman"/>
          <w:sz w:val="24"/>
          <w:szCs w:val="24"/>
          <w:lang w:eastAsia="it-IT"/>
        </w:rPr>
        <w:t xml:space="preserve"> e </w:t>
      </w:r>
      <w:proofErr w:type="spellStart"/>
      <w:r w:rsidRPr="00B745A3">
        <w:rPr>
          <w:rFonts w:ascii="Times New Roman" w:eastAsia="Times New Roman" w:hAnsi="Times New Roman" w:cs="Times New Roman"/>
          <w:sz w:val="24"/>
          <w:szCs w:val="24"/>
          <w:lang w:eastAsia="it-IT"/>
        </w:rPr>
        <w:t>Căldăraru</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404/15 e C</w:t>
      </w:r>
      <w:r w:rsidRPr="00B745A3">
        <w:rPr>
          <w:rFonts w:ascii="Times New Roman" w:eastAsia="Times New Roman" w:hAnsi="Times New Roman" w:cs="Times New Roman"/>
          <w:sz w:val="24"/>
          <w:szCs w:val="24"/>
          <w:lang w:eastAsia="it-IT"/>
        </w:rPr>
        <w:noBreakHyphen/>
        <w:t xml:space="preserve">659/15 PPU,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:2016:198, punto 85).</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0" w:name="point57"/>
      <w:r w:rsidRPr="00B745A3">
        <w:rPr>
          <w:rFonts w:ascii="Times New Roman" w:eastAsia="Times New Roman" w:hAnsi="Times New Roman" w:cs="Times New Roman"/>
          <w:sz w:val="24"/>
          <w:szCs w:val="24"/>
          <w:lang w:eastAsia="it-IT"/>
        </w:rPr>
        <w:t>57</w:t>
      </w:r>
      <w:bookmarkEnd w:id="70"/>
      <w:r w:rsidRPr="00B745A3">
        <w:rPr>
          <w:rFonts w:ascii="Times New Roman" w:eastAsia="Times New Roman" w:hAnsi="Times New Roman" w:cs="Times New Roman"/>
          <w:sz w:val="24"/>
          <w:szCs w:val="24"/>
          <w:lang w:eastAsia="it-IT"/>
        </w:rPr>
        <w:t xml:space="preserve">      L’esistenza di dichiarazioni e l’accettazione di trattati internazionali che garantiscono, in via di principio, il rispetto dei diritti fondamentali non sono sufficienti, da sole, ad assicurare una protezione adeguata contro il rischio di maltrattamenti quando fonti affidabili riportano pratiche delle autorità – o da esse tollerate – manifestamente contrarie ai principi della Convenzione europea per la salvaguardia dei diritti dell’uomo e delle libertà fondamentali (sentenza della Corte EDU del 28 febbraio 2008, </w:t>
      </w:r>
      <w:proofErr w:type="spellStart"/>
      <w:r w:rsidRPr="00B745A3">
        <w:rPr>
          <w:rFonts w:ascii="Times New Roman" w:eastAsia="Times New Roman" w:hAnsi="Times New Roman" w:cs="Times New Roman"/>
          <w:sz w:val="24"/>
          <w:szCs w:val="24"/>
          <w:lang w:eastAsia="it-IT"/>
        </w:rPr>
        <w:t>Saadi</w:t>
      </w:r>
      <w:proofErr w:type="spellEnd"/>
      <w:r w:rsidRPr="00B745A3">
        <w:rPr>
          <w:rFonts w:ascii="Times New Roman" w:eastAsia="Times New Roman" w:hAnsi="Times New Roman" w:cs="Times New Roman"/>
          <w:sz w:val="24"/>
          <w:szCs w:val="24"/>
          <w:lang w:eastAsia="it-IT"/>
        </w:rPr>
        <w:t xml:space="preserve"> c. Italia, CE:ECHR:2008:0228JUD003720106, § 147).</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1" w:name="point58"/>
      <w:r w:rsidRPr="00B745A3">
        <w:rPr>
          <w:rFonts w:ascii="Times New Roman" w:eastAsia="Times New Roman" w:hAnsi="Times New Roman" w:cs="Times New Roman"/>
          <w:sz w:val="24"/>
          <w:szCs w:val="24"/>
          <w:lang w:eastAsia="it-IT"/>
        </w:rPr>
        <w:t>58</w:t>
      </w:r>
      <w:bookmarkEnd w:id="71"/>
      <w:r w:rsidRPr="00B745A3">
        <w:rPr>
          <w:rFonts w:ascii="Times New Roman" w:eastAsia="Times New Roman" w:hAnsi="Times New Roman" w:cs="Times New Roman"/>
          <w:sz w:val="24"/>
          <w:szCs w:val="24"/>
          <w:lang w:eastAsia="it-IT"/>
        </w:rPr>
        <w:t xml:space="preserve">      Ne consegue che, quando l’autorità competente dello Stato membro richiesto dispone di elementi che attestano un rischio concreto di trattamento inumano o degradante delle persone nello Stato terzo richiedente, essa è tenuta a valutare la sussistenza di tale rischio al momento di decidere in ordine all’estradizione di una persona in tale Stato (v., in tale senso, per quanto riguarda l’articolo 4 della Carta, sentenza del 5 aprile 2016, </w:t>
      </w:r>
      <w:proofErr w:type="spellStart"/>
      <w:r w:rsidRPr="00B745A3">
        <w:rPr>
          <w:rFonts w:ascii="Times New Roman" w:eastAsia="Times New Roman" w:hAnsi="Times New Roman" w:cs="Times New Roman"/>
          <w:sz w:val="24"/>
          <w:szCs w:val="24"/>
          <w:lang w:eastAsia="it-IT"/>
        </w:rPr>
        <w:t>Aranyosi</w:t>
      </w:r>
      <w:proofErr w:type="spellEnd"/>
      <w:r w:rsidRPr="00B745A3">
        <w:rPr>
          <w:rFonts w:ascii="Times New Roman" w:eastAsia="Times New Roman" w:hAnsi="Times New Roman" w:cs="Times New Roman"/>
          <w:sz w:val="24"/>
          <w:szCs w:val="24"/>
          <w:lang w:eastAsia="it-IT"/>
        </w:rPr>
        <w:t xml:space="preserve"> e </w:t>
      </w:r>
      <w:proofErr w:type="spellStart"/>
      <w:r w:rsidRPr="00B745A3">
        <w:rPr>
          <w:rFonts w:ascii="Times New Roman" w:eastAsia="Times New Roman" w:hAnsi="Times New Roman" w:cs="Times New Roman"/>
          <w:sz w:val="24"/>
          <w:szCs w:val="24"/>
          <w:lang w:eastAsia="it-IT"/>
        </w:rPr>
        <w:t>Căldăraru</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404/15 e C</w:t>
      </w:r>
      <w:r w:rsidRPr="00B745A3">
        <w:rPr>
          <w:rFonts w:ascii="Times New Roman" w:eastAsia="Times New Roman" w:hAnsi="Times New Roman" w:cs="Times New Roman"/>
          <w:sz w:val="24"/>
          <w:szCs w:val="24"/>
          <w:lang w:eastAsia="it-IT"/>
        </w:rPr>
        <w:noBreakHyphen/>
        <w:t>659/15 PPU, EU:C:2016:198, punto 88).</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2" w:name="point59"/>
      <w:r w:rsidRPr="00B745A3">
        <w:rPr>
          <w:rFonts w:ascii="Times New Roman" w:eastAsia="Times New Roman" w:hAnsi="Times New Roman" w:cs="Times New Roman"/>
          <w:sz w:val="24"/>
          <w:szCs w:val="24"/>
          <w:lang w:eastAsia="it-IT"/>
        </w:rPr>
        <w:t>59</w:t>
      </w:r>
      <w:bookmarkEnd w:id="72"/>
      <w:r w:rsidRPr="00B745A3">
        <w:rPr>
          <w:rFonts w:ascii="Times New Roman" w:eastAsia="Times New Roman" w:hAnsi="Times New Roman" w:cs="Times New Roman"/>
          <w:sz w:val="24"/>
          <w:szCs w:val="24"/>
          <w:lang w:eastAsia="it-IT"/>
        </w:rPr>
        <w:t xml:space="preserve">      A tal fine, l’autorità competente dello Stato membro richiesto deve fondarsi su elementi oggettivi, attendibili, precisi e opportunamente aggiornati. Tali elementi possono risultare in particolare da decisioni giudiziarie internazionali, quali le sentenze della Corte EDU, da decisioni giudiziarie dello Stato terzo richiedente, nonché da decisioni, relazioni e altri documenti predisposti dagli organi del Consiglio d’Europa o appartenenti al sistema delle Nazioni Unite (v., in tal senso, sentenza del 5 aprile 2016, </w:t>
      </w:r>
      <w:proofErr w:type="spellStart"/>
      <w:r w:rsidRPr="00B745A3">
        <w:rPr>
          <w:rFonts w:ascii="Times New Roman" w:eastAsia="Times New Roman" w:hAnsi="Times New Roman" w:cs="Times New Roman"/>
          <w:sz w:val="24"/>
          <w:szCs w:val="24"/>
          <w:lang w:eastAsia="it-IT"/>
        </w:rPr>
        <w:t>Aranyosi</w:t>
      </w:r>
      <w:proofErr w:type="spellEnd"/>
      <w:r w:rsidRPr="00B745A3">
        <w:rPr>
          <w:rFonts w:ascii="Times New Roman" w:eastAsia="Times New Roman" w:hAnsi="Times New Roman" w:cs="Times New Roman"/>
          <w:sz w:val="24"/>
          <w:szCs w:val="24"/>
          <w:lang w:eastAsia="it-IT"/>
        </w:rPr>
        <w:t xml:space="preserve"> e </w:t>
      </w:r>
      <w:proofErr w:type="spellStart"/>
      <w:r w:rsidRPr="00B745A3">
        <w:rPr>
          <w:rFonts w:ascii="Times New Roman" w:eastAsia="Times New Roman" w:hAnsi="Times New Roman" w:cs="Times New Roman"/>
          <w:sz w:val="24"/>
          <w:szCs w:val="24"/>
          <w:lang w:eastAsia="it-IT"/>
        </w:rPr>
        <w:t>Căldăraru</w:t>
      </w:r>
      <w:proofErr w:type="spellEnd"/>
      <w:r w:rsidRPr="00B745A3">
        <w:rPr>
          <w:rFonts w:ascii="Times New Roman" w:eastAsia="Times New Roman" w:hAnsi="Times New Roman" w:cs="Times New Roman"/>
          <w:sz w:val="24"/>
          <w:szCs w:val="24"/>
          <w:lang w:eastAsia="it-IT"/>
        </w:rPr>
        <w:t>, C</w:t>
      </w:r>
      <w:r w:rsidRPr="00B745A3">
        <w:rPr>
          <w:rFonts w:ascii="Times New Roman" w:eastAsia="Times New Roman" w:hAnsi="Times New Roman" w:cs="Times New Roman"/>
          <w:sz w:val="24"/>
          <w:szCs w:val="24"/>
          <w:lang w:eastAsia="it-IT"/>
        </w:rPr>
        <w:noBreakHyphen/>
        <w:t>404/15 e C</w:t>
      </w:r>
      <w:r w:rsidRPr="00B745A3">
        <w:rPr>
          <w:rFonts w:ascii="Times New Roman" w:eastAsia="Times New Roman" w:hAnsi="Times New Roman" w:cs="Times New Roman"/>
          <w:sz w:val="24"/>
          <w:szCs w:val="24"/>
          <w:lang w:eastAsia="it-IT"/>
        </w:rPr>
        <w:noBreakHyphen/>
        <w:t xml:space="preserve">659/15 PPU, </w:t>
      </w:r>
      <w:proofErr w:type="gramStart"/>
      <w:r w:rsidRPr="00B745A3">
        <w:rPr>
          <w:rFonts w:ascii="Times New Roman" w:eastAsia="Times New Roman" w:hAnsi="Times New Roman" w:cs="Times New Roman"/>
          <w:sz w:val="24"/>
          <w:szCs w:val="24"/>
          <w:lang w:eastAsia="it-IT"/>
        </w:rPr>
        <w:t>EU:C</w:t>
      </w:r>
      <w:proofErr w:type="gramEnd"/>
      <w:r w:rsidRPr="00B745A3">
        <w:rPr>
          <w:rFonts w:ascii="Times New Roman" w:eastAsia="Times New Roman" w:hAnsi="Times New Roman" w:cs="Times New Roman"/>
          <w:sz w:val="24"/>
          <w:szCs w:val="24"/>
          <w:lang w:eastAsia="it-IT"/>
        </w:rPr>
        <w:t>:2016:198, punto 89).</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3" w:name="point60"/>
      <w:r w:rsidRPr="00B745A3">
        <w:rPr>
          <w:rFonts w:ascii="Times New Roman" w:eastAsia="Times New Roman" w:hAnsi="Times New Roman" w:cs="Times New Roman"/>
          <w:sz w:val="24"/>
          <w:szCs w:val="24"/>
          <w:lang w:eastAsia="it-IT"/>
        </w:rPr>
        <w:t>60</w:t>
      </w:r>
      <w:bookmarkEnd w:id="73"/>
      <w:r w:rsidRPr="00B745A3">
        <w:rPr>
          <w:rFonts w:ascii="Times New Roman" w:eastAsia="Times New Roman" w:hAnsi="Times New Roman" w:cs="Times New Roman"/>
          <w:sz w:val="24"/>
          <w:szCs w:val="24"/>
          <w:lang w:eastAsia="it-IT"/>
        </w:rPr>
        <w:t xml:space="preserve">      Occorre pertanto rispondere alla terza questione dichiarando che, nell’ipotesi in cui a uno Stato membro venga presentata una domanda di uno Stato terzo diretta a ottenere l’estradizione di un cittadino di un altro Stato membro, il primo Stato </w:t>
      </w:r>
      <w:r w:rsidRPr="00B745A3">
        <w:rPr>
          <w:rFonts w:ascii="Times New Roman" w:eastAsia="Times New Roman" w:hAnsi="Times New Roman" w:cs="Times New Roman"/>
          <w:sz w:val="24"/>
          <w:szCs w:val="24"/>
          <w:lang w:eastAsia="it-IT"/>
        </w:rPr>
        <w:lastRenderedPageBreak/>
        <w:t>membro deve verificare che l’estradizione non recherà pregiudizio ai diritti di cui all’articolo 19 della Carta.</w:t>
      </w:r>
    </w:p>
    <w:p w:rsidR="00B745A3" w:rsidRPr="00B745A3" w:rsidRDefault="00B745A3" w:rsidP="00B745A3">
      <w:pPr>
        <w:shd w:val="clear" w:color="auto" w:fill="FFFFFF"/>
        <w:spacing w:before="480" w:after="240" w:line="240" w:lineRule="auto"/>
        <w:ind w:left="567"/>
        <w:jc w:val="both"/>
        <w:rPr>
          <w:rFonts w:ascii="Times New Roman" w:eastAsia="Times New Roman" w:hAnsi="Times New Roman" w:cs="Times New Roman"/>
          <w:b/>
          <w:bCs/>
          <w:sz w:val="24"/>
          <w:szCs w:val="24"/>
          <w:lang w:eastAsia="it-IT"/>
        </w:rPr>
      </w:pPr>
      <w:r w:rsidRPr="00B745A3">
        <w:rPr>
          <w:rFonts w:ascii="Times New Roman" w:eastAsia="Times New Roman" w:hAnsi="Times New Roman" w:cs="Times New Roman"/>
          <w:b/>
          <w:bCs/>
          <w:sz w:val="24"/>
          <w:szCs w:val="24"/>
          <w:lang w:eastAsia="it-IT"/>
        </w:rPr>
        <w:t> Sulle spese</w:t>
      </w:r>
    </w:p>
    <w:p w:rsidR="00B745A3" w:rsidRPr="00B745A3" w:rsidRDefault="00B745A3" w:rsidP="00B745A3">
      <w:pPr>
        <w:shd w:val="clear" w:color="auto" w:fill="FFFFFF"/>
        <w:spacing w:before="100" w:beforeAutospacing="1" w:after="240" w:line="240" w:lineRule="auto"/>
        <w:ind w:left="567" w:hanging="539"/>
        <w:jc w:val="both"/>
        <w:rPr>
          <w:rFonts w:ascii="Times New Roman" w:eastAsia="Times New Roman" w:hAnsi="Times New Roman" w:cs="Times New Roman"/>
          <w:sz w:val="24"/>
          <w:szCs w:val="24"/>
          <w:lang w:eastAsia="it-IT"/>
        </w:rPr>
      </w:pPr>
      <w:bookmarkStart w:id="74" w:name="point61"/>
      <w:r w:rsidRPr="00B745A3">
        <w:rPr>
          <w:rFonts w:ascii="Times New Roman" w:eastAsia="Times New Roman" w:hAnsi="Times New Roman" w:cs="Times New Roman"/>
          <w:sz w:val="24"/>
          <w:szCs w:val="24"/>
          <w:lang w:eastAsia="it-IT"/>
        </w:rPr>
        <w:t>61</w:t>
      </w:r>
      <w:bookmarkEnd w:id="74"/>
      <w:r w:rsidRPr="00B745A3">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B745A3" w:rsidRPr="00B745A3" w:rsidRDefault="00B745A3" w:rsidP="00B745A3">
      <w:pPr>
        <w:shd w:val="clear" w:color="auto" w:fill="FFFFFF"/>
        <w:spacing w:before="480" w:after="24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Per questi motivi, la Corte (Grande Sezione) dichiara:</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b/>
          <w:bCs/>
          <w:sz w:val="24"/>
          <w:szCs w:val="24"/>
          <w:lang w:eastAsia="it-IT"/>
        </w:rPr>
      </w:pPr>
      <w:r w:rsidRPr="00B745A3">
        <w:rPr>
          <w:rFonts w:ascii="Times New Roman" w:eastAsia="Times New Roman" w:hAnsi="Times New Roman" w:cs="Times New Roman"/>
          <w:b/>
          <w:bCs/>
          <w:sz w:val="24"/>
          <w:szCs w:val="24"/>
          <w:lang w:eastAsia="it-IT"/>
        </w:rPr>
        <w:t>1)      Gli articoli 18 e 21 TFUE devono essere interpretati nel senso che, quando a uno Stato membro nel quale si sia recato un cittadino dell’Unione avente la cittadinanza di un altro Stato membro viene presentata una domanda di estradizione da parte di uno Stato terzo con il quale il primo Stato membro ha concluso un accordo di estradizione, esso è tenuto a informare lo Stato membro del quale il predetto cittadino ha la cittadinanza e, se del caso, su domanda di quest’ultimo Stato membro, a consegnargli tale cittadino, conformemente alle disposizioni della decisione quadro 2002/584/GAI del Consiglio, del 13 giugno 2002, relativa al mandato d’arresto europeo e alle procedure di consegna tra Stati membri, come modificata dalla decisione quadro 2009/299/GAI del Consiglio, del 26 febbraio 2009, purché detto Stato membro sia competente, in forza del suo diritto nazionale, a perseguire tale persona per fatti commessi fuori dal suo territorio nazionale.</w:t>
      </w:r>
    </w:p>
    <w:p w:rsidR="00B745A3" w:rsidRPr="00B745A3" w:rsidRDefault="00B745A3" w:rsidP="00B745A3">
      <w:pPr>
        <w:shd w:val="clear" w:color="auto" w:fill="FFFFFF"/>
        <w:spacing w:before="100" w:beforeAutospacing="1" w:after="240" w:line="240" w:lineRule="auto"/>
        <w:ind w:left="1134" w:hanging="567"/>
        <w:jc w:val="both"/>
        <w:rPr>
          <w:rFonts w:ascii="Times New Roman" w:eastAsia="Times New Roman" w:hAnsi="Times New Roman" w:cs="Times New Roman"/>
          <w:b/>
          <w:bCs/>
          <w:sz w:val="24"/>
          <w:szCs w:val="24"/>
          <w:lang w:eastAsia="it-IT"/>
        </w:rPr>
      </w:pPr>
      <w:r w:rsidRPr="00B745A3">
        <w:rPr>
          <w:rFonts w:ascii="Times New Roman" w:eastAsia="Times New Roman" w:hAnsi="Times New Roman" w:cs="Times New Roman"/>
          <w:b/>
          <w:bCs/>
          <w:sz w:val="24"/>
          <w:szCs w:val="24"/>
          <w:lang w:eastAsia="it-IT"/>
        </w:rPr>
        <w:t>2)      Nell’ipotesi in cui a uno Stato membro venga presentata una domanda di uno Stato terzo diretta a ottenere l’estradizione di un cittadino di un altro Stato membro, il primo Stato membro deve verificare che l’estradizione non recherà pregiudizio ai diritti di cui all’articolo 19 della Carta dei diritti fondamentali dell’Unione europea.</w:t>
      </w:r>
    </w:p>
    <w:p w:rsidR="00B745A3" w:rsidRPr="00B745A3" w:rsidRDefault="00B745A3" w:rsidP="00B745A3">
      <w:pPr>
        <w:shd w:val="clear" w:color="auto" w:fill="FFFFFF"/>
        <w:spacing w:after="1200" w:line="240" w:lineRule="auto"/>
        <w:ind w:left="567"/>
        <w:jc w:val="both"/>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t>Firme</w:t>
      </w:r>
    </w:p>
    <w:p w:rsidR="00B745A3" w:rsidRPr="00B745A3" w:rsidRDefault="00B745A3" w:rsidP="00B745A3">
      <w:pPr>
        <w:spacing w:after="0" w:line="240" w:lineRule="auto"/>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pict>
          <v:rect id="_x0000_i1025" style="width:0;height:1.5pt" o:hralign="center" o:hrstd="t" o:hrnoshade="t" o:hr="t" fillcolor="#333" stroked="f"/>
        </w:pict>
      </w:r>
    </w:p>
    <w:bookmarkStart w:id="75" w:name="Footnote*"/>
    <w:p w:rsidR="00B745A3" w:rsidRDefault="00B745A3" w:rsidP="00B745A3">
      <w:pPr>
        <w:shd w:val="clear" w:color="auto" w:fill="FFFFFF"/>
        <w:spacing w:after="0" w:line="240" w:lineRule="auto"/>
        <w:ind w:left="567"/>
        <w:rPr>
          <w:rFonts w:ascii="Times New Roman" w:eastAsia="Times New Roman" w:hAnsi="Times New Roman" w:cs="Times New Roman"/>
          <w:sz w:val="24"/>
          <w:szCs w:val="24"/>
          <w:lang w:eastAsia="it-IT"/>
        </w:rPr>
      </w:pPr>
      <w:r w:rsidRPr="00B745A3">
        <w:rPr>
          <w:rFonts w:ascii="Times New Roman" w:eastAsia="Times New Roman" w:hAnsi="Times New Roman" w:cs="Times New Roman"/>
          <w:sz w:val="24"/>
          <w:szCs w:val="24"/>
          <w:lang w:eastAsia="it-IT"/>
        </w:rPr>
        <w:fldChar w:fldCharType="begin"/>
      </w:r>
      <w:r w:rsidRPr="00B745A3">
        <w:rPr>
          <w:rFonts w:ascii="Times New Roman" w:eastAsia="Times New Roman" w:hAnsi="Times New Roman" w:cs="Times New Roman"/>
          <w:sz w:val="24"/>
          <w:szCs w:val="24"/>
          <w:lang w:eastAsia="it-IT"/>
        </w:rPr>
        <w:instrText xml:space="preserve"> HYPERLINK "http://curia.europa.eu/juris/document/document.jsf?text=Petruhhin&amp;docid=183097&amp;pageIndex=0&amp;doclang=it&amp;mode=req&amp;dir=&amp;occ=first&amp;part=1&amp;cid=672252" \l "Footref*" </w:instrText>
      </w:r>
      <w:r w:rsidRPr="00B745A3">
        <w:rPr>
          <w:rFonts w:ascii="Times New Roman" w:eastAsia="Times New Roman" w:hAnsi="Times New Roman" w:cs="Times New Roman"/>
          <w:sz w:val="24"/>
          <w:szCs w:val="24"/>
          <w:lang w:eastAsia="it-IT"/>
        </w:rPr>
        <w:fldChar w:fldCharType="separate"/>
      </w:r>
      <w:r w:rsidRPr="00B745A3">
        <w:rPr>
          <w:rFonts w:ascii="Times New Roman" w:eastAsia="Times New Roman" w:hAnsi="Times New Roman" w:cs="Times New Roman"/>
          <w:sz w:val="24"/>
          <w:szCs w:val="24"/>
          <w:lang w:eastAsia="it-IT"/>
        </w:rPr>
        <w:t>*</w:t>
      </w:r>
      <w:r w:rsidRPr="00B745A3">
        <w:rPr>
          <w:rFonts w:ascii="Times New Roman" w:eastAsia="Times New Roman" w:hAnsi="Times New Roman" w:cs="Times New Roman"/>
          <w:sz w:val="24"/>
          <w:szCs w:val="24"/>
          <w:lang w:eastAsia="it-IT"/>
        </w:rPr>
        <w:fldChar w:fldCharType="end"/>
      </w:r>
      <w:bookmarkEnd w:id="75"/>
      <w:r w:rsidRPr="00B745A3">
        <w:rPr>
          <w:rFonts w:ascii="Times New Roman" w:eastAsia="Times New Roman" w:hAnsi="Times New Roman" w:cs="Times New Roman"/>
          <w:sz w:val="24"/>
          <w:szCs w:val="24"/>
          <w:lang w:eastAsia="it-IT"/>
        </w:rPr>
        <w:t> Lingua processuale: il lettone.</w:t>
      </w:r>
    </w:p>
    <w:p w:rsidR="00B808AA" w:rsidRDefault="00B808AA" w:rsidP="00B745A3">
      <w:pPr>
        <w:shd w:val="clear" w:color="auto" w:fill="FFFFFF"/>
        <w:spacing w:after="0" w:line="240" w:lineRule="auto"/>
        <w:ind w:left="567"/>
        <w:rPr>
          <w:rFonts w:ascii="Times New Roman" w:eastAsia="Times New Roman" w:hAnsi="Times New Roman" w:cs="Times New Roman"/>
          <w:sz w:val="24"/>
          <w:szCs w:val="24"/>
          <w:lang w:eastAsia="it-IT"/>
        </w:rPr>
      </w:pPr>
    </w:p>
    <w:p w:rsidR="00B808AA" w:rsidRDefault="00B808AA">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B808AA" w:rsidRPr="00B534B7" w:rsidRDefault="00B808AA" w:rsidP="00B808AA">
      <w:pPr>
        <w:shd w:val="clear" w:color="auto" w:fill="FFFFFF"/>
        <w:spacing w:after="0" w:line="240" w:lineRule="auto"/>
        <w:ind w:left="567"/>
        <w:jc w:val="both"/>
        <w:rPr>
          <w:rFonts w:ascii="Times New Roman" w:eastAsia="Times New Roman" w:hAnsi="Times New Roman" w:cs="Times New Roman"/>
          <w:b/>
          <w:sz w:val="24"/>
          <w:szCs w:val="24"/>
          <w:lang w:eastAsia="it-IT"/>
        </w:rPr>
      </w:pPr>
      <w:r w:rsidRPr="00B534B7">
        <w:rPr>
          <w:rFonts w:ascii="Times New Roman" w:eastAsia="Times New Roman" w:hAnsi="Times New Roman" w:cs="Times New Roman"/>
          <w:b/>
          <w:sz w:val="24"/>
          <w:szCs w:val="24"/>
          <w:lang w:eastAsia="it-IT"/>
        </w:rPr>
        <w:lastRenderedPageBreak/>
        <w:t>Guida alla lettura</w:t>
      </w:r>
      <w:r w:rsidR="00B534B7" w:rsidRPr="00B534B7">
        <w:rPr>
          <w:rFonts w:ascii="Times New Roman" w:eastAsia="Times New Roman" w:hAnsi="Times New Roman" w:cs="Times New Roman"/>
          <w:b/>
          <w:sz w:val="24"/>
          <w:szCs w:val="24"/>
          <w:lang w:eastAsia="it-IT"/>
        </w:rPr>
        <w:t xml:space="preserve"> </w:t>
      </w:r>
    </w:p>
    <w:p w:rsidR="000E4C38" w:rsidRDefault="000E4C38" w:rsidP="00B808AA">
      <w:pPr>
        <w:shd w:val="clear" w:color="auto" w:fill="FFFFFF"/>
        <w:spacing w:after="0" w:line="240" w:lineRule="auto"/>
        <w:ind w:left="567"/>
        <w:jc w:val="both"/>
        <w:rPr>
          <w:rFonts w:ascii="Times New Roman" w:eastAsia="Times New Roman" w:hAnsi="Times New Roman" w:cs="Times New Roman"/>
          <w:b/>
          <w:sz w:val="24"/>
          <w:szCs w:val="24"/>
          <w:lang w:eastAsia="it-IT"/>
        </w:rPr>
      </w:pPr>
    </w:p>
    <w:p w:rsidR="00B534B7" w:rsidRPr="00B534B7" w:rsidRDefault="00B534B7" w:rsidP="00B808AA">
      <w:pPr>
        <w:shd w:val="clear" w:color="auto" w:fill="FFFFFF"/>
        <w:spacing w:after="0" w:line="240" w:lineRule="auto"/>
        <w:ind w:left="567"/>
        <w:jc w:val="both"/>
        <w:rPr>
          <w:rFonts w:ascii="Times New Roman" w:eastAsia="Times New Roman" w:hAnsi="Times New Roman" w:cs="Times New Roman"/>
          <w:b/>
          <w:sz w:val="24"/>
          <w:szCs w:val="24"/>
          <w:lang w:eastAsia="it-IT"/>
        </w:rPr>
      </w:pPr>
      <w:r w:rsidRPr="00B534B7">
        <w:rPr>
          <w:rFonts w:ascii="Times New Roman" w:eastAsia="Times New Roman" w:hAnsi="Times New Roman" w:cs="Times New Roman"/>
          <w:b/>
          <w:sz w:val="24"/>
          <w:szCs w:val="24"/>
          <w:lang w:eastAsia="it-IT"/>
        </w:rPr>
        <w:t>[</w:t>
      </w:r>
      <w:r w:rsidR="000E4C38">
        <w:rPr>
          <w:rFonts w:ascii="Times New Roman" w:eastAsia="Times New Roman" w:hAnsi="Times New Roman" w:cs="Times New Roman"/>
          <w:b/>
          <w:sz w:val="24"/>
          <w:szCs w:val="24"/>
          <w:lang w:eastAsia="it-IT"/>
        </w:rPr>
        <w:t xml:space="preserve">Rispondere alle questioni che seguono dopo aver studiato </w:t>
      </w:r>
      <w:r w:rsidR="009139B1">
        <w:rPr>
          <w:rFonts w:ascii="Times New Roman" w:eastAsia="Times New Roman" w:hAnsi="Times New Roman" w:cs="Times New Roman"/>
          <w:b/>
          <w:sz w:val="24"/>
          <w:szCs w:val="24"/>
          <w:lang w:eastAsia="it-IT"/>
        </w:rPr>
        <w:t xml:space="preserve">i paragrafi da 4 a 7 della Parte III del manuale di diritto istituzionale. </w:t>
      </w:r>
      <w:bookmarkStart w:id="76" w:name="_GoBack"/>
      <w:bookmarkEnd w:id="76"/>
      <w:r w:rsidRPr="00B534B7">
        <w:rPr>
          <w:rFonts w:ascii="Times New Roman" w:eastAsia="Times New Roman" w:hAnsi="Times New Roman" w:cs="Times New Roman"/>
          <w:b/>
          <w:sz w:val="24"/>
          <w:szCs w:val="24"/>
          <w:lang w:eastAsia="it-IT"/>
        </w:rPr>
        <w:t>Indicare per ciascuna questione il punto della motivazione in cui è contenuta la risposta]</w:t>
      </w:r>
    </w:p>
    <w:p w:rsidR="00B534B7" w:rsidRDefault="00B534B7" w:rsidP="00B808AA">
      <w:pPr>
        <w:shd w:val="clear" w:color="auto" w:fill="FFFFFF"/>
        <w:spacing w:after="0" w:line="240" w:lineRule="auto"/>
        <w:ind w:left="567"/>
        <w:jc w:val="both"/>
        <w:rPr>
          <w:rFonts w:ascii="Times New Roman" w:eastAsia="Times New Roman" w:hAnsi="Times New Roman" w:cs="Times New Roman"/>
          <w:sz w:val="24"/>
          <w:szCs w:val="24"/>
          <w:lang w:eastAsia="it-IT"/>
        </w:rPr>
      </w:pPr>
    </w:p>
    <w:p w:rsidR="00B808AA" w:rsidRDefault="00B808AA" w:rsidP="00B808AA">
      <w:pPr>
        <w:shd w:val="clear" w:color="auto" w:fill="FFFFFF"/>
        <w:spacing w:after="0" w:line="240" w:lineRule="auto"/>
        <w:ind w:left="567"/>
        <w:jc w:val="both"/>
        <w:rPr>
          <w:rFonts w:ascii="Times New Roman" w:eastAsia="Times New Roman" w:hAnsi="Times New Roman" w:cs="Times New Roman"/>
          <w:sz w:val="24"/>
          <w:szCs w:val="24"/>
          <w:lang w:eastAsia="it-IT"/>
        </w:rPr>
      </w:pPr>
    </w:p>
    <w:p w:rsidR="00B808AA" w:rsidRDefault="00B808AA" w:rsidP="00B808AA">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quale contesto fattuale sorge questione dell’estradizione alla Federazione russa del sig. </w:t>
      </w:r>
      <w:proofErr w:type="spellStart"/>
      <w:r>
        <w:rPr>
          <w:rFonts w:ascii="Times New Roman" w:eastAsia="Times New Roman" w:hAnsi="Times New Roman" w:cs="Times New Roman"/>
          <w:sz w:val="24"/>
          <w:szCs w:val="24"/>
          <w:lang w:eastAsia="it-IT"/>
        </w:rPr>
        <w:t>Petruhhin</w:t>
      </w:r>
      <w:proofErr w:type="spellEnd"/>
      <w:r>
        <w:rPr>
          <w:rFonts w:ascii="Times New Roman" w:eastAsia="Times New Roman" w:hAnsi="Times New Roman" w:cs="Times New Roman"/>
          <w:sz w:val="24"/>
          <w:szCs w:val="24"/>
          <w:lang w:eastAsia="it-IT"/>
        </w:rPr>
        <w:t>? Quali reati gli sono addebitati e dove sarebbero stati commessi?</w:t>
      </w:r>
    </w:p>
    <w:p w:rsidR="00B808AA" w:rsidRDefault="00B808AA" w:rsidP="00B808AA">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Quali strumenti internazionali consentono il rifiuto dell’estradizione dei cittadini estoni? Quali strumenti internazionali consentono il rifiuto dell’estradizione dei cittadini lituani in Estonia?</w:t>
      </w:r>
    </w:p>
    <w:p w:rsidR="00B534B7" w:rsidRDefault="00B534B7" w:rsidP="00B808AA">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quale domanda è investito il giudice del rinvio pregiudiziale?</w:t>
      </w:r>
    </w:p>
    <w:p w:rsidR="00B808AA" w:rsidRDefault="00B808AA" w:rsidP="00B808AA">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 quale scopo il sig. </w:t>
      </w:r>
      <w:proofErr w:type="spellStart"/>
      <w:r>
        <w:rPr>
          <w:rFonts w:ascii="Times New Roman" w:eastAsia="Times New Roman" w:hAnsi="Times New Roman" w:cs="Times New Roman"/>
          <w:sz w:val="24"/>
          <w:szCs w:val="24"/>
          <w:lang w:eastAsia="it-IT"/>
        </w:rPr>
        <w:t>Petruhhin</w:t>
      </w:r>
      <w:proofErr w:type="spellEnd"/>
      <w:r>
        <w:rPr>
          <w:rFonts w:ascii="Times New Roman" w:eastAsia="Times New Roman" w:hAnsi="Times New Roman" w:cs="Times New Roman"/>
          <w:sz w:val="24"/>
          <w:szCs w:val="24"/>
          <w:lang w:eastAsia="it-IT"/>
        </w:rPr>
        <w:t xml:space="preserve"> </w:t>
      </w:r>
      <w:r w:rsidR="00B534B7">
        <w:rPr>
          <w:rFonts w:ascii="Times New Roman" w:eastAsia="Times New Roman" w:hAnsi="Times New Roman" w:cs="Times New Roman"/>
          <w:sz w:val="24"/>
          <w:szCs w:val="24"/>
          <w:lang w:eastAsia="it-IT"/>
        </w:rPr>
        <w:t>e il giudice nazional</w:t>
      </w:r>
      <w:r w:rsidR="00CB26B0">
        <w:rPr>
          <w:rFonts w:ascii="Times New Roman" w:eastAsia="Times New Roman" w:hAnsi="Times New Roman" w:cs="Times New Roman"/>
          <w:sz w:val="24"/>
          <w:szCs w:val="24"/>
          <w:lang w:eastAsia="it-IT"/>
        </w:rPr>
        <w:t>e</w:t>
      </w:r>
      <w:r w:rsidR="00B534B7">
        <w:rPr>
          <w:rFonts w:ascii="Times New Roman" w:eastAsia="Times New Roman" w:hAnsi="Times New Roman" w:cs="Times New Roman"/>
          <w:sz w:val="24"/>
          <w:szCs w:val="24"/>
          <w:lang w:eastAsia="it-IT"/>
        </w:rPr>
        <w:t xml:space="preserve"> richiamano </w:t>
      </w:r>
      <w:r>
        <w:rPr>
          <w:rFonts w:ascii="Times New Roman" w:eastAsia="Times New Roman" w:hAnsi="Times New Roman" w:cs="Times New Roman"/>
          <w:sz w:val="24"/>
          <w:szCs w:val="24"/>
          <w:lang w:eastAsia="it-IT"/>
        </w:rPr>
        <w:t>l’art. 18 TFUE</w:t>
      </w:r>
      <w:r w:rsidR="00CB26B0">
        <w:rPr>
          <w:rFonts w:ascii="Times New Roman" w:eastAsia="Times New Roman" w:hAnsi="Times New Roman" w:cs="Times New Roman"/>
          <w:sz w:val="24"/>
          <w:szCs w:val="24"/>
          <w:lang w:eastAsia="it-IT"/>
        </w:rPr>
        <w:t xml:space="preserve"> (e cosa tale norma impone)</w:t>
      </w:r>
      <w:r>
        <w:rPr>
          <w:rFonts w:ascii="Times New Roman" w:eastAsia="Times New Roman" w:hAnsi="Times New Roman" w:cs="Times New Roman"/>
          <w:sz w:val="24"/>
          <w:szCs w:val="24"/>
          <w:lang w:eastAsia="it-IT"/>
        </w:rPr>
        <w:t>?</w:t>
      </w:r>
    </w:p>
    <w:p w:rsidR="00B808AA" w:rsidRDefault="00B808AA" w:rsidP="00B808AA">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base a quale argomento la Corte individua un </w:t>
      </w:r>
      <w:r w:rsidR="00B534B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collegamento</w:t>
      </w:r>
      <w:r w:rsidR="00B534B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fra </w:t>
      </w:r>
      <w:r w:rsidR="00CB26B0">
        <w:rPr>
          <w:rFonts w:ascii="Times New Roman" w:eastAsia="Times New Roman" w:hAnsi="Times New Roman" w:cs="Times New Roman"/>
          <w:sz w:val="24"/>
          <w:szCs w:val="24"/>
          <w:lang w:eastAsia="it-IT"/>
        </w:rPr>
        <w:t xml:space="preserve">l’art. 18 TFUE </w:t>
      </w:r>
      <w:r>
        <w:rPr>
          <w:rFonts w:ascii="Times New Roman" w:eastAsia="Times New Roman" w:hAnsi="Times New Roman" w:cs="Times New Roman"/>
          <w:sz w:val="24"/>
          <w:szCs w:val="24"/>
          <w:lang w:eastAsia="it-IT"/>
        </w:rPr>
        <w:t xml:space="preserve">e la </w:t>
      </w:r>
      <w:r w:rsidRPr="00CB26B0">
        <w:rPr>
          <w:rFonts w:ascii="Times New Roman" w:eastAsia="Times New Roman" w:hAnsi="Times New Roman" w:cs="Times New Roman"/>
          <w:i/>
          <w:color w:val="FF0000"/>
          <w:sz w:val="24"/>
          <w:szCs w:val="24"/>
          <w:lang w:eastAsia="it-IT"/>
        </w:rPr>
        <w:t>situazione fattuale</w:t>
      </w:r>
      <w:r w:rsidRPr="00CB26B0">
        <w:rPr>
          <w:rFonts w:ascii="Times New Roman" w:eastAsia="Times New Roman" w:hAnsi="Times New Roman" w:cs="Times New Roman"/>
          <w:color w:val="FF0000"/>
          <w:sz w:val="24"/>
          <w:szCs w:val="24"/>
          <w:lang w:eastAsia="it-IT"/>
        </w:rPr>
        <w:t xml:space="preserve"> </w:t>
      </w:r>
      <w:r>
        <w:rPr>
          <w:rFonts w:ascii="Times New Roman" w:eastAsia="Times New Roman" w:hAnsi="Times New Roman" w:cs="Times New Roman"/>
          <w:sz w:val="24"/>
          <w:szCs w:val="24"/>
          <w:lang w:eastAsia="it-IT"/>
        </w:rPr>
        <w:t xml:space="preserve">in cui versa il sig. </w:t>
      </w:r>
      <w:proofErr w:type="spellStart"/>
      <w:r>
        <w:rPr>
          <w:rFonts w:ascii="Times New Roman" w:eastAsia="Times New Roman" w:hAnsi="Times New Roman" w:cs="Times New Roman"/>
          <w:sz w:val="24"/>
          <w:szCs w:val="24"/>
          <w:lang w:eastAsia="it-IT"/>
        </w:rPr>
        <w:t>Petruhhin</w:t>
      </w:r>
      <w:proofErr w:type="spellEnd"/>
      <w:r>
        <w:rPr>
          <w:rFonts w:ascii="Times New Roman" w:eastAsia="Times New Roman" w:hAnsi="Times New Roman" w:cs="Times New Roman"/>
          <w:sz w:val="24"/>
          <w:szCs w:val="24"/>
          <w:lang w:eastAsia="it-IT"/>
        </w:rPr>
        <w:t>?</w:t>
      </w:r>
    </w:p>
    <w:p w:rsidR="00B808AA" w:rsidRPr="00CB26B0" w:rsidRDefault="00B808AA" w:rsidP="003B4395">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sidRPr="00CB26B0">
        <w:rPr>
          <w:rFonts w:ascii="Times New Roman" w:eastAsia="Times New Roman" w:hAnsi="Times New Roman" w:cs="Times New Roman"/>
          <w:sz w:val="24"/>
          <w:szCs w:val="24"/>
          <w:lang w:eastAsia="it-IT"/>
        </w:rPr>
        <w:t xml:space="preserve">È, secondo la Corte, il regime normativo convenzionale </w:t>
      </w:r>
      <w:r w:rsidR="006757F1" w:rsidRPr="00CB26B0">
        <w:rPr>
          <w:rFonts w:ascii="Times New Roman" w:eastAsia="Times New Roman" w:hAnsi="Times New Roman" w:cs="Times New Roman"/>
          <w:i/>
          <w:sz w:val="24"/>
          <w:szCs w:val="24"/>
          <w:lang w:eastAsia="it-IT"/>
        </w:rPr>
        <w:t xml:space="preserve">prima </w:t>
      </w:r>
      <w:proofErr w:type="spellStart"/>
      <w:r w:rsidR="006757F1" w:rsidRPr="00CB26B0">
        <w:rPr>
          <w:rFonts w:ascii="Times New Roman" w:eastAsia="Times New Roman" w:hAnsi="Times New Roman" w:cs="Times New Roman"/>
          <w:i/>
          <w:sz w:val="24"/>
          <w:szCs w:val="24"/>
          <w:lang w:eastAsia="it-IT"/>
        </w:rPr>
        <w:t>facie</w:t>
      </w:r>
      <w:proofErr w:type="spellEnd"/>
      <w:r w:rsidR="006757F1" w:rsidRPr="00CB26B0">
        <w:rPr>
          <w:rFonts w:ascii="Times New Roman" w:eastAsia="Times New Roman" w:hAnsi="Times New Roman" w:cs="Times New Roman"/>
          <w:sz w:val="24"/>
          <w:szCs w:val="24"/>
          <w:lang w:eastAsia="it-IT"/>
        </w:rPr>
        <w:t xml:space="preserve"> </w:t>
      </w:r>
      <w:r w:rsidRPr="00CB26B0">
        <w:rPr>
          <w:rFonts w:ascii="Times New Roman" w:eastAsia="Times New Roman" w:hAnsi="Times New Roman" w:cs="Times New Roman"/>
          <w:sz w:val="24"/>
          <w:szCs w:val="24"/>
          <w:lang w:eastAsia="it-IT"/>
        </w:rPr>
        <w:t xml:space="preserve">discriminatorio </w:t>
      </w:r>
      <w:r w:rsidR="001261AC" w:rsidRPr="00CB26B0">
        <w:rPr>
          <w:rFonts w:ascii="Times New Roman" w:eastAsia="Times New Roman" w:hAnsi="Times New Roman" w:cs="Times New Roman"/>
          <w:sz w:val="24"/>
          <w:szCs w:val="24"/>
          <w:lang w:eastAsia="it-IT"/>
        </w:rPr>
        <w:t xml:space="preserve">nei riguardi del sig. </w:t>
      </w:r>
      <w:proofErr w:type="spellStart"/>
      <w:r w:rsidR="001261AC" w:rsidRPr="00CB26B0">
        <w:rPr>
          <w:rFonts w:ascii="Times New Roman" w:eastAsia="Times New Roman" w:hAnsi="Times New Roman" w:cs="Times New Roman"/>
          <w:sz w:val="24"/>
          <w:szCs w:val="24"/>
          <w:lang w:eastAsia="it-IT"/>
        </w:rPr>
        <w:t>Petruhhin</w:t>
      </w:r>
      <w:proofErr w:type="spellEnd"/>
      <w:r w:rsidR="001261AC" w:rsidRPr="00CB26B0">
        <w:rPr>
          <w:rFonts w:ascii="Times New Roman" w:eastAsia="Times New Roman" w:hAnsi="Times New Roman" w:cs="Times New Roman"/>
          <w:sz w:val="24"/>
          <w:szCs w:val="24"/>
          <w:lang w:eastAsia="it-IT"/>
        </w:rPr>
        <w:t>? Si tratta di una discriminazione formale</w:t>
      </w:r>
      <w:r w:rsidR="00CB26B0" w:rsidRPr="00CB26B0">
        <w:rPr>
          <w:rFonts w:ascii="Times New Roman" w:eastAsia="Times New Roman" w:hAnsi="Times New Roman" w:cs="Times New Roman"/>
          <w:sz w:val="24"/>
          <w:szCs w:val="24"/>
          <w:lang w:eastAsia="it-IT"/>
        </w:rPr>
        <w:t xml:space="preserve"> o</w:t>
      </w:r>
      <w:r w:rsidR="001261AC" w:rsidRPr="00CB26B0">
        <w:rPr>
          <w:rFonts w:ascii="Times New Roman" w:eastAsia="Times New Roman" w:hAnsi="Times New Roman" w:cs="Times New Roman"/>
          <w:sz w:val="24"/>
          <w:szCs w:val="24"/>
          <w:lang w:eastAsia="it-IT"/>
        </w:rPr>
        <w:t xml:space="preserve"> indiretta</w:t>
      </w:r>
      <w:r w:rsidR="00CB26B0" w:rsidRPr="00CB26B0">
        <w:rPr>
          <w:rFonts w:ascii="Times New Roman" w:eastAsia="Times New Roman" w:hAnsi="Times New Roman" w:cs="Times New Roman"/>
          <w:sz w:val="24"/>
          <w:szCs w:val="24"/>
          <w:lang w:eastAsia="it-IT"/>
        </w:rPr>
        <w:t>?</w:t>
      </w:r>
    </w:p>
    <w:p w:rsidR="001261AC" w:rsidRDefault="001261AC"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base a quale argomento la Corte afferma che la discriminazione in cui incorre il sig. </w:t>
      </w:r>
      <w:proofErr w:type="spellStart"/>
      <w:r>
        <w:rPr>
          <w:rFonts w:ascii="Times New Roman" w:eastAsia="Times New Roman" w:hAnsi="Times New Roman" w:cs="Times New Roman"/>
          <w:sz w:val="24"/>
          <w:szCs w:val="24"/>
          <w:lang w:eastAsia="it-IT"/>
        </w:rPr>
        <w:t>Petruhhin</w:t>
      </w:r>
      <w:proofErr w:type="spellEnd"/>
      <w:r>
        <w:rPr>
          <w:rFonts w:ascii="Times New Roman" w:eastAsia="Times New Roman" w:hAnsi="Times New Roman" w:cs="Times New Roman"/>
          <w:sz w:val="24"/>
          <w:szCs w:val="24"/>
          <w:lang w:eastAsia="it-IT"/>
        </w:rPr>
        <w:t xml:space="preserve"> </w:t>
      </w:r>
      <w:r w:rsidRPr="00CB26B0">
        <w:rPr>
          <w:rFonts w:ascii="Times New Roman" w:eastAsia="Times New Roman" w:hAnsi="Times New Roman" w:cs="Times New Roman"/>
          <w:i/>
          <w:color w:val="FF0000"/>
          <w:sz w:val="24"/>
          <w:szCs w:val="24"/>
          <w:lang w:eastAsia="it-IT"/>
        </w:rPr>
        <w:t>può essere giustificata</w:t>
      </w:r>
      <w:r>
        <w:rPr>
          <w:rFonts w:ascii="Times New Roman" w:eastAsia="Times New Roman" w:hAnsi="Times New Roman" w:cs="Times New Roman"/>
          <w:sz w:val="24"/>
          <w:szCs w:val="24"/>
          <w:lang w:eastAsia="it-IT"/>
        </w:rPr>
        <w:t>?</w:t>
      </w:r>
      <w:r w:rsidR="00CB26B0">
        <w:rPr>
          <w:rFonts w:ascii="Times New Roman" w:eastAsia="Times New Roman" w:hAnsi="Times New Roman" w:cs="Times New Roman"/>
          <w:sz w:val="24"/>
          <w:szCs w:val="24"/>
          <w:lang w:eastAsia="it-IT"/>
        </w:rPr>
        <w:t xml:space="preserve"> </w:t>
      </w:r>
    </w:p>
    <w:p w:rsidR="001261AC" w:rsidRDefault="001261AC"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sidRPr="001261AC">
        <w:rPr>
          <w:rFonts w:ascii="Times New Roman" w:eastAsia="Times New Roman" w:hAnsi="Times New Roman" w:cs="Times New Roman"/>
          <w:sz w:val="24"/>
          <w:szCs w:val="24"/>
          <w:lang w:eastAsia="it-IT"/>
        </w:rPr>
        <w:t xml:space="preserve">Quale interesse pubblico preminente funge da “giustificazione” della discriminazione e/o restrizione? </w:t>
      </w:r>
    </w:p>
    <w:p w:rsidR="001261AC" w:rsidRDefault="001261AC"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sidRPr="001261AC">
        <w:rPr>
          <w:rFonts w:ascii="Times New Roman" w:eastAsia="Times New Roman" w:hAnsi="Times New Roman" w:cs="Times New Roman"/>
          <w:sz w:val="24"/>
          <w:szCs w:val="24"/>
          <w:lang w:eastAsia="it-IT"/>
        </w:rPr>
        <w:t xml:space="preserve">In quale </w:t>
      </w:r>
      <w:r w:rsidRPr="00CB26B0">
        <w:rPr>
          <w:rFonts w:ascii="Times New Roman" w:eastAsia="Times New Roman" w:hAnsi="Times New Roman" w:cs="Times New Roman"/>
          <w:i/>
          <w:color w:val="FF0000"/>
          <w:sz w:val="24"/>
          <w:szCs w:val="24"/>
          <w:lang w:eastAsia="it-IT"/>
        </w:rPr>
        <w:t>norma dei Trattati</w:t>
      </w:r>
      <w:r w:rsidRPr="00CB26B0">
        <w:rPr>
          <w:rFonts w:ascii="Times New Roman" w:eastAsia="Times New Roman" w:hAnsi="Times New Roman" w:cs="Times New Roman"/>
          <w:color w:val="FF0000"/>
          <w:sz w:val="24"/>
          <w:szCs w:val="24"/>
          <w:lang w:eastAsia="it-IT"/>
        </w:rPr>
        <w:t xml:space="preserve"> </w:t>
      </w:r>
      <w:r>
        <w:rPr>
          <w:rFonts w:ascii="Times New Roman" w:eastAsia="Times New Roman" w:hAnsi="Times New Roman" w:cs="Times New Roman"/>
          <w:sz w:val="24"/>
          <w:szCs w:val="24"/>
          <w:lang w:eastAsia="it-IT"/>
        </w:rPr>
        <w:t xml:space="preserve">detto interesse </w:t>
      </w:r>
      <w:r w:rsidRPr="001261AC">
        <w:rPr>
          <w:rFonts w:ascii="Times New Roman" w:eastAsia="Times New Roman" w:hAnsi="Times New Roman" w:cs="Times New Roman"/>
          <w:sz w:val="24"/>
          <w:szCs w:val="24"/>
          <w:lang w:eastAsia="it-IT"/>
        </w:rPr>
        <w:t>è evocato?</w:t>
      </w:r>
    </w:p>
    <w:p w:rsidR="00CB26B0" w:rsidRDefault="00CB26B0"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 qualifichi la soluzione della Corte alla luce del principio di </w:t>
      </w:r>
      <w:r>
        <w:rPr>
          <w:rFonts w:ascii="Times New Roman" w:eastAsia="Times New Roman" w:hAnsi="Times New Roman" w:cs="Times New Roman"/>
          <w:sz w:val="24"/>
          <w:szCs w:val="24"/>
          <w:lang w:eastAsia="it-IT"/>
        </w:rPr>
        <w:t xml:space="preserve">“uguaglianza sostanziale” fra cittadini nazionali e cittadini di altri Stati membri </w:t>
      </w:r>
      <w:r>
        <w:rPr>
          <w:rFonts w:ascii="Times New Roman" w:eastAsia="Times New Roman" w:hAnsi="Times New Roman" w:cs="Times New Roman"/>
          <w:sz w:val="24"/>
          <w:szCs w:val="24"/>
          <w:lang w:eastAsia="it-IT"/>
        </w:rPr>
        <w:t>(art. 20 Carta e Corso: il divieto di discriminazioni materiali come criterio di “riabilitazione” di discriminazioni formali apparenti)</w:t>
      </w:r>
    </w:p>
    <w:p w:rsidR="001261AC" w:rsidRDefault="001261AC"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Perché la Corte ritiene che la disciplina applicabile non è conforme al </w:t>
      </w:r>
      <w:r w:rsidRPr="00CB26B0">
        <w:rPr>
          <w:rFonts w:ascii="Times New Roman" w:eastAsia="Times New Roman" w:hAnsi="Times New Roman" w:cs="Times New Roman"/>
          <w:i/>
          <w:color w:val="FF0000"/>
          <w:sz w:val="24"/>
          <w:szCs w:val="24"/>
          <w:lang w:eastAsia="it-IT"/>
        </w:rPr>
        <w:t>principio di proporzionalità</w:t>
      </w:r>
      <w:r>
        <w:rPr>
          <w:rFonts w:ascii="Times New Roman" w:eastAsia="Times New Roman" w:hAnsi="Times New Roman" w:cs="Times New Roman"/>
          <w:sz w:val="24"/>
          <w:szCs w:val="24"/>
          <w:lang w:eastAsia="it-IT"/>
        </w:rPr>
        <w:t>?</w:t>
      </w:r>
    </w:p>
    <w:p w:rsidR="001261AC" w:rsidRDefault="001261AC"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Cosa prevede </w:t>
      </w:r>
      <w:r w:rsidRPr="00CB26B0">
        <w:rPr>
          <w:rFonts w:ascii="Times New Roman" w:eastAsia="Times New Roman" w:hAnsi="Times New Roman" w:cs="Times New Roman"/>
          <w:i/>
          <w:color w:val="FF0000"/>
          <w:sz w:val="24"/>
          <w:szCs w:val="24"/>
          <w:lang w:eastAsia="it-IT"/>
        </w:rPr>
        <w:t xml:space="preserve">l’art. </w:t>
      </w:r>
      <w:r w:rsidR="00CB26B0">
        <w:rPr>
          <w:rFonts w:ascii="Times New Roman" w:eastAsia="Times New Roman" w:hAnsi="Times New Roman" w:cs="Times New Roman"/>
          <w:i/>
          <w:color w:val="FF0000"/>
          <w:sz w:val="24"/>
          <w:szCs w:val="24"/>
          <w:lang w:eastAsia="it-IT"/>
        </w:rPr>
        <w:t xml:space="preserve">1 l’art. </w:t>
      </w:r>
      <w:r w:rsidRPr="00CB26B0">
        <w:rPr>
          <w:rFonts w:ascii="Times New Roman" w:eastAsia="Times New Roman" w:hAnsi="Times New Roman" w:cs="Times New Roman"/>
          <w:i/>
          <w:color w:val="FF0000"/>
          <w:sz w:val="24"/>
          <w:szCs w:val="24"/>
          <w:lang w:eastAsia="it-IT"/>
        </w:rPr>
        <w:t>19 della Carta</w:t>
      </w:r>
      <w:r>
        <w:rPr>
          <w:rFonts w:ascii="Times New Roman" w:eastAsia="Times New Roman" w:hAnsi="Times New Roman" w:cs="Times New Roman"/>
          <w:sz w:val="24"/>
          <w:szCs w:val="24"/>
          <w:lang w:eastAsia="it-IT"/>
        </w:rPr>
        <w:t xml:space="preserve">? Su quale norma internazionale </w:t>
      </w:r>
      <w:r w:rsidR="00CB26B0">
        <w:rPr>
          <w:rFonts w:ascii="Times New Roman" w:eastAsia="Times New Roman" w:hAnsi="Times New Roman" w:cs="Times New Roman"/>
          <w:sz w:val="24"/>
          <w:szCs w:val="24"/>
          <w:lang w:eastAsia="it-IT"/>
        </w:rPr>
        <w:t xml:space="preserve">l’ultima norma </w:t>
      </w:r>
      <w:r>
        <w:rPr>
          <w:rFonts w:ascii="Times New Roman" w:eastAsia="Times New Roman" w:hAnsi="Times New Roman" w:cs="Times New Roman"/>
          <w:sz w:val="24"/>
          <w:szCs w:val="24"/>
          <w:lang w:eastAsia="it-IT"/>
        </w:rPr>
        <w:t>è modellat</w:t>
      </w:r>
      <w:r w:rsidR="00CB26B0">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w:t>
      </w:r>
    </w:p>
    <w:p w:rsidR="001261AC" w:rsidRDefault="001261AC"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base a quale ragionamento la Corte ritiene la Carta</w:t>
      </w:r>
      <w:r w:rsidR="00CB26B0">
        <w:rPr>
          <w:rFonts w:ascii="Times New Roman" w:eastAsia="Times New Roman" w:hAnsi="Times New Roman" w:cs="Times New Roman"/>
          <w:sz w:val="24"/>
          <w:szCs w:val="24"/>
          <w:lang w:eastAsia="it-IT"/>
        </w:rPr>
        <w:t xml:space="preserve"> applicabile (v. art. 51 della stessa)</w:t>
      </w:r>
      <w:r>
        <w:rPr>
          <w:rFonts w:ascii="Times New Roman" w:eastAsia="Times New Roman" w:hAnsi="Times New Roman" w:cs="Times New Roman"/>
          <w:sz w:val="24"/>
          <w:szCs w:val="24"/>
          <w:lang w:eastAsia="it-IT"/>
        </w:rPr>
        <w:t>?</w:t>
      </w:r>
    </w:p>
    <w:p w:rsidR="001261AC" w:rsidRDefault="001261AC"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Quale ruolo svolge detto “diritto fondamentale” ove il giudice nazionale </w:t>
      </w:r>
      <w:r w:rsidR="00CB26B0">
        <w:rPr>
          <w:rFonts w:ascii="Times New Roman" w:eastAsia="Times New Roman" w:hAnsi="Times New Roman" w:cs="Times New Roman"/>
          <w:sz w:val="24"/>
          <w:szCs w:val="24"/>
          <w:lang w:eastAsia="it-IT"/>
        </w:rPr>
        <w:t xml:space="preserve">dovesse </w:t>
      </w:r>
      <w:r>
        <w:rPr>
          <w:rFonts w:ascii="Times New Roman" w:eastAsia="Times New Roman" w:hAnsi="Times New Roman" w:cs="Times New Roman"/>
          <w:sz w:val="24"/>
          <w:szCs w:val="24"/>
          <w:lang w:eastAsia="it-IT"/>
        </w:rPr>
        <w:t>valutare la procedibilità dell’estradizione alla Federazione russa?</w:t>
      </w:r>
    </w:p>
    <w:p w:rsidR="00B534B7" w:rsidRDefault="00B534B7"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Secondo la Corte quale rilevanza ha la prassi del Consiglio d’Europa nel</w:t>
      </w:r>
      <w:r w:rsidR="00CB26B0">
        <w:rPr>
          <w:rFonts w:ascii="Times New Roman" w:eastAsia="Times New Roman" w:hAnsi="Times New Roman" w:cs="Times New Roman"/>
          <w:sz w:val="24"/>
          <w:szCs w:val="24"/>
          <w:lang w:eastAsia="it-IT"/>
        </w:rPr>
        <w:t>la ricostruzione dei v</w:t>
      </w:r>
      <w:r>
        <w:rPr>
          <w:rFonts w:ascii="Times New Roman" w:eastAsia="Times New Roman" w:hAnsi="Times New Roman" w:cs="Times New Roman"/>
          <w:sz w:val="24"/>
          <w:szCs w:val="24"/>
          <w:lang w:eastAsia="it-IT"/>
        </w:rPr>
        <w:t xml:space="preserve">incoli derivanti dall’art. </w:t>
      </w:r>
      <w:r w:rsidR="00CB26B0">
        <w:rPr>
          <w:rFonts w:ascii="Times New Roman" w:eastAsia="Times New Roman" w:hAnsi="Times New Roman" w:cs="Times New Roman"/>
          <w:sz w:val="24"/>
          <w:szCs w:val="24"/>
          <w:lang w:eastAsia="it-IT"/>
        </w:rPr>
        <w:t xml:space="preserve">19 </w:t>
      </w:r>
      <w:r>
        <w:rPr>
          <w:rFonts w:ascii="Times New Roman" w:eastAsia="Times New Roman" w:hAnsi="Times New Roman" w:cs="Times New Roman"/>
          <w:sz w:val="24"/>
          <w:szCs w:val="24"/>
          <w:lang w:eastAsia="it-IT"/>
        </w:rPr>
        <w:t xml:space="preserve">della Carta? </w:t>
      </w:r>
    </w:p>
    <w:p w:rsidR="00B534B7" w:rsidRDefault="00B534B7" w:rsidP="001261AC">
      <w:pPr>
        <w:pStyle w:val="Paragrafoelenco"/>
        <w:numPr>
          <w:ilvl w:val="0"/>
          <w:numId w:val="2"/>
        </w:numPr>
        <w:shd w:val="clear" w:color="auto" w:fill="FFFFFF"/>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Su quale norma della Carta detta soluzione interpretativa è fondata?</w:t>
      </w:r>
    </w:p>
    <w:p w:rsidR="001261AC" w:rsidRPr="001261AC" w:rsidRDefault="001261AC" w:rsidP="001261AC">
      <w:pPr>
        <w:shd w:val="clear" w:color="auto" w:fill="FFFFFF"/>
        <w:spacing w:after="0" w:line="240" w:lineRule="auto"/>
        <w:ind w:left="360"/>
        <w:jc w:val="both"/>
        <w:rPr>
          <w:rFonts w:ascii="Times New Roman" w:eastAsia="Times New Roman" w:hAnsi="Times New Roman" w:cs="Times New Roman"/>
          <w:sz w:val="24"/>
          <w:szCs w:val="24"/>
          <w:lang w:eastAsia="it-IT"/>
        </w:rPr>
      </w:pPr>
    </w:p>
    <w:p w:rsidR="001261AC" w:rsidRPr="001261AC" w:rsidRDefault="001261AC" w:rsidP="001261AC">
      <w:pPr>
        <w:shd w:val="clear" w:color="auto" w:fill="FFFFFF"/>
        <w:spacing w:after="0" w:line="240" w:lineRule="auto"/>
        <w:jc w:val="both"/>
        <w:rPr>
          <w:rFonts w:ascii="Times New Roman" w:eastAsia="Times New Roman" w:hAnsi="Times New Roman" w:cs="Times New Roman"/>
          <w:sz w:val="24"/>
          <w:szCs w:val="24"/>
          <w:lang w:eastAsia="it-IT"/>
        </w:rPr>
      </w:pPr>
    </w:p>
    <w:p w:rsidR="000F3892" w:rsidRPr="00B745A3" w:rsidRDefault="009139B1" w:rsidP="00B808AA">
      <w:pPr>
        <w:jc w:val="both"/>
        <w:rPr>
          <w:rFonts w:ascii="Times New Roman" w:hAnsi="Times New Roman" w:cs="Times New Roman"/>
          <w:sz w:val="24"/>
          <w:szCs w:val="24"/>
        </w:rPr>
      </w:pPr>
    </w:p>
    <w:sectPr w:rsidR="000F3892" w:rsidRPr="00B745A3" w:rsidSect="006757F1">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003F"/>
    <w:multiLevelType w:val="hybridMultilevel"/>
    <w:tmpl w:val="421820EE"/>
    <w:lvl w:ilvl="0" w:tplc="1D662A6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1AEA3B60"/>
    <w:multiLevelType w:val="hybridMultilevel"/>
    <w:tmpl w:val="F0F80B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A3"/>
    <w:rsid w:val="000E4C38"/>
    <w:rsid w:val="00101341"/>
    <w:rsid w:val="001261AC"/>
    <w:rsid w:val="00230BE8"/>
    <w:rsid w:val="00645210"/>
    <w:rsid w:val="006757F1"/>
    <w:rsid w:val="006E1042"/>
    <w:rsid w:val="009139B1"/>
    <w:rsid w:val="00B534B7"/>
    <w:rsid w:val="00B745A3"/>
    <w:rsid w:val="00B808AA"/>
    <w:rsid w:val="00C80819"/>
    <w:rsid w:val="00CB2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D01EE-6748-4CB4-8BCC-698F5594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45A3"/>
    <w:pPr>
      <w:ind w:left="720"/>
      <w:contextualSpacing/>
    </w:pPr>
  </w:style>
  <w:style w:type="character" w:styleId="Collegamentoipertestuale">
    <w:name w:val="Hyperlink"/>
    <w:basedOn w:val="Carpredefinitoparagrafo"/>
    <w:uiPriority w:val="99"/>
    <w:unhideWhenUsed/>
    <w:rsid w:val="00230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ria.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5430</Words>
  <Characters>30953</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Amadeo</dc:creator>
  <cp:keywords/>
  <dc:description/>
  <cp:lastModifiedBy>Amadeo</cp:lastModifiedBy>
  <cp:revision>4</cp:revision>
  <dcterms:created xsi:type="dcterms:W3CDTF">2017-04-06T07:35:00Z</dcterms:created>
  <dcterms:modified xsi:type="dcterms:W3CDTF">2017-04-06T09:22:00Z</dcterms:modified>
</cp:coreProperties>
</file>