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38E" w:rsidRDefault="0000670F">
      <w:pPr>
        <w:jc w:val="center"/>
      </w:pPr>
      <w:bookmarkStart w:id="0" w:name="_GoBack"/>
      <w:bookmarkEnd w:id="0"/>
      <w:r>
        <w:rPr>
          <w:rFonts w:asciiTheme="majorHAnsi" w:eastAsiaTheme="majorEastAsia" w:hAnsiTheme="majorHAnsi" w:cstheme="majorBidi"/>
          <w:b/>
          <w:bCs/>
          <w:color w:val="365F91" w:themeColor="accent1" w:themeShade="BF"/>
          <w:sz w:val="40"/>
          <w:szCs w:val="40"/>
        </w:rPr>
        <w:t>Syllabus Attività Formativa</w:t>
      </w:r>
    </w:p>
    <w:p w:rsidR="00D4538E" w:rsidRDefault="00D453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10663"/>
      </w:tblGrid>
      <w:tr w:rsidR="00D4538E">
        <w:trPr>
          <w:trHeight w:hRule="exact" w:val="300"/>
        </w:trPr>
        <w:tc>
          <w:tcPr>
            <w:tcW w:w="3341"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Anno Offerta</w:t>
            </w:r>
          </w:p>
        </w:tc>
        <w:tc>
          <w:tcPr>
            <w:tcW w:w="1066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2017</w:t>
            </w:r>
          </w:p>
        </w:tc>
      </w:tr>
      <w:tr w:rsidR="00D4538E">
        <w:trPr>
          <w:trHeight w:hRule="exact" w:val="300"/>
        </w:trPr>
        <w:tc>
          <w:tcPr>
            <w:tcW w:w="3341"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Corso di Studio</w:t>
            </w:r>
          </w:p>
        </w:tc>
        <w:tc>
          <w:tcPr>
            <w:tcW w:w="1066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LE04 - LINGUE E LETTERATURE STRANIERE</w:t>
            </w:r>
          </w:p>
        </w:tc>
      </w:tr>
      <w:tr w:rsidR="00D4538E">
        <w:trPr>
          <w:trHeight w:hRule="exact" w:val="300"/>
        </w:trPr>
        <w:tc>
          <w:tcPr>
            <w:tcW w:w="3341"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Regolamento Didattico</w:t>
            </w:r>
          </w:p>
        </w:tc>
        <w:tc>
          <w:tcPr>
            <w:tcW w:w="1066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LE04-16-16</w:t>
            </w:r>
          </w:p>
        </w:tc>
      </w:tr>
      <w:tr w:rsidR="00D4538E">
        <w:trPr>
          <w:trHeight w:hRule="exact" w:val="300"/>
        </w:trPr>
        <w:tc>
          <w:tcPr>
            <w:tcW w:w="3341"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Percorso di Studio</w:t>
            </w:r>
          </w:p>
        </w:tc>
        <w:tc>
          <w:tcPr>
            <w:tcW w:w="1066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PDS0-2016 - comune</w:t>
            </w:r>
          </w:p>
        </w:tc>
      </w:tr>
      <w:tr w:rsidR="00D4538E">
        <w:trPr>
          <w:trHeight w:hRule="exact" w:val="600"/>
        </w:trPr>
        <w:tc>
          <w:tcPr>
            <w:tcW w:w="3341"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Insegnamento/Modulo</w:t>
            </w:r>
          </w:p>
        </w:tc>
        <w:tc>
          <w:tcPr>
            <w:tcW w:w="1066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074LE - LETTERATURA INGLESE II - ENGLISH LITERATURE YEAR 2</w:t>
            </w:r>
          </w:p>
        </w:tc>
      </w:tr>
      <w:tr w:rsidR="00D4538E">
        <w:trPr>
          <w:trHeight w:hRule="exact" w:val="600"/>
        </w:trPr>
        <w:tc>
          <w:tcPr>
            <w:tcW w:w="3341"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Attività Formativa Integrata</w:t>
            </w:r>
          </w:p>
        </w:tc>
        <w:tc>
          <w:tcPr>
            <w:tcW w:w="1066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 xml:space="preserve"> - </w:t>
            </w:r>
          </w:p>
        </w:tc>
      </w:tr>
      <w:tr w:rsidR="00D4538E">
        <w:trPr>
          <w:trHeight w:hRule="exact" w:val="300"/>
        </w:trPr>
        <w:tc>
          <w:tcPr>
            <w:tcW w:w="3341"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Partizione Studenti</w:t>
            </w:r>
          </w:p>
        </w:tc>
        <w:tc>
          <w:tcPr>
            <w:tcW w:w="1066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 xml:space="preserve"> - </w:t>
            </w:r>
          </w:p>
        </w:tc>
      </w:tr>
      <w:tr w:rsidR="00D4538E">
        <w:trPr>
          <w:trHeight w:hRule="exact" w:val="300"/>
        </w:trPr>
        <w:tc>
          <w:tcPr>
            <w:tcW w:w="3341"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Periodo Didattico</w:t>
            </w:r>
          </w:p>
        </w:tc>
        <w:tc>
          <w:tcPr>
            <w:tcW w:w="1066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A1 - Annualità Singola</w:t>
            </w:r>
          </w:p>
        </w:tc>
      </w:tr>
      <w:tr w:rsidR="00D4538E">
        <w:trPr>
          <w:trHeight w:hRule="exact" w:val="300"/>
        </w:trPr>
        <w:tc>
          <w:tcPr>
            <w:tcW w:w="3341"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Sede</w:t>
            </w:r>
          </w:p>
        </w:tc>
        <w:tc>
          <w:tcPr>
            <w:tcW w:w="1066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TRIESTE</w:t>
            </w:r>
          </w:p>
        </w:tc>
      </w:tr>
      <w:tr w:rsidR="00D4538E">
        <w:trPr>
          <w:trHeight w:hRule="exact" w:val="300"/>
        </w:trPr>
        <w:tc>
          <w:tcPr>
            <w:tcW w:w="3341"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Anno Corso</w:t>
            </w:r>
          </w:p>
        </w:tc>
        <w:tc>
          <w:tcPr>
            <w:tcW w:w="1066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2</w:t>
            </w:r>
          </w:p>
        </w:tc>
      </w:tr>
      <w:tr w:rsidR="00D4538E">
        <w:trPr>
          <w:trHeight w:hRule="exact" w:val="300"/>
        </w:trPr>
        <w:tc>
          <w:tcPr>
            <w:tcW w:w="3341"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Settore</w:t>
            </w:r>
          </w:p>
        </w:tc>
        <w:tc>
          <w:tcPr>
            <w:tcW w:w="1066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L-LIN/10 - LETTERATURA INGLESE</w:t>
            </w:r>
          </w:p>
        </w:tc>
      </w:tr>
      <w:tr w:rsidR="00D4538E">
        <w:trPr>
          <w:trHeight w:hRule="exact" w:val="300"/>
        </w:trPr>
        <w:tc>
          <w:tcPr>
            <w:tcW w:w="3341"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Tipo attività Formativa</w:t>
            </w:r>
          </w:p>
        </w:tc>
        <w:tc>
          <w:tcPr>
            <w:tcW w:w="1066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B - Caratterizzante</w:t>
            </w:r>
          </w:p>
        </w:tc>
      </w:tr>
      <w:tr w:rsidR="00D4538E">
        <w:trPr>
          <w:trHeight w:hRule="exact" w:val="300"/>
        </w:trPr>
        <w:tc>
          <w:tcPr>
            <w:tcW w:w="3341"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Ambito</w:t>
            </w:r>
          </w:p>
        </w:tc>
        <w:tc>
          <w:tcPr>
            <w:tcW w:w="1066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50019 - Letterature straniere</w:t>
            </w:r>
          </w:p>
        </w:tc>
      </w:tr>
      <w:tr w:rsidR="00D4538E">
        <w:trPr>
          <w:trHeight w:hRule="exact" w:val="300"/>
        </w:trPr>
        <w:tc>
          <w:tcPr>
            <w:tcW w:w="3341"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CFU</w:t>
            </w:r>
          </w:p>
        </w:tc>
        <w:tc>
          <w:tcPr>
            <w:tcW w:w="1066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9.0</w:t>
            </w:r>
          </w:p>
        </w:tc>
      </w:tr>
      <w:tr w:rsidR="00D4538E">
        <w:trPr>
          <w:trHeight w:hRule="exact" w:val="300"/>
        </w:trPr>
        <w:tc>
          <w:tcPr>
            <w:tcW w:w="3341"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Ore Attività Frontali</w:t>
            </w:r>
          </w:p>
        </w:tc>
        <w:tc>
          <w:tcPr>
            <w:tcW w:w="1066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45.0</w:t>
            </w:r>
          </w:p>
        </w:tc>
      </w:tr>
      <w:tr w:rsidR="00D4538E">
        <w:trPr>
          <w:trHeight w:hRule="exact" w:val="300"/>
        </w:trPr>
        <w:tc>
          <w:tcPr>
            <w:tcW w:w="3341"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AF_ID</w:t>
            </w:r>
          </w:p>
        </w:tc>
        <w:tc>
          <w:tcPr>
            <w:tcW w:w="1066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218108</w:t>
            </w:r>
          </w:p>
        </w:tc>
      </w:tr>
    </w:tbl>
    <w:p w:rsidR="00D4538E" w:rsidRDefault="00D453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840"/>
        <w:gridCol w:w="1248"/>
        <w:gridCol w:w="533"/>
        <w:gridCol w:w="4348"/>
        <w:gridCol w:w="4336"/>
      </w:tblGrid>
      <w:tr w:rsidR="00D4538E">
        <w:tc>
          <w:tcPr>
            <w:tcW w:w="1699"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Tipo Testo</w:t>
            </w:r>
          </w:p>
        </w:tc>
        <w:tc>
          <w:tcPr>
            <w:tcW w:w="1840"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Codice Tipo Testo</w:t>
            </w:r>
          </w:p>
        </w:tc>
        <w:tc>
          <w:tcPr>
            <w:tcW w:w="1248"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Num. Max. Caratteri</w:t>
            </w:r>
          </w:p>
        </w:tc>
        <w:tc>
          <w:tcPr>
            <w:tcW w:w="533"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Obbl.</w:t>
            </w:r>
          </w:p>
        </w:tc>
        <w:tc>
          <w:tcPr>
            <w:tcW w:w="4348"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Testo in Italiano</w:t>
            </w:r>
          </w:p>
        </w:tc>
        <w:tc>
          <w:tcPr>
            <w:tcW w:w="4336"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Testo in Inglese</w:t>
            </w:r>
          </w:p>
        </w:tc>
      </w:tr>
      <w:tr w:rsidR="00D4538E">
        <w:tc>
          <w:tcPr>
            <w:tcW w:w="1699"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Lingua insegnamento</w:t>
            </w:r>
          </w:p>
        </w:tc>
        <w:tc>
          <w:tcPr>
            <w:tcW w:w="1840"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LINGUA_INS</w:t>
            </w:r>
          </w:p>
        </w:tc>
        <w:tc>
          <w:tcPr>
            <w:tcW w:w="1248"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3800</w:t>
            </w:r>
          </w:p>
        </w:tc>
        <w:tc>
          <w:tcPr>
            <w:tcW w:w="53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Sì</w:t>
            </w:r>
          </w:p>
        </w:tc>
        <w:tc>
          <w:tcPr>
            <w:tcW w:w="4348" w:type="dxa"/>
          </w:tcPr>
          <w:p w:rsidR="00D4538E" w:rsidRDefault="0000670F">
            <w:r>
              <w:t xml:space="preserve">Bertinetti: Italiano </w:t>
            </w:r>
            <w:r>
              <w:br/>
              <w:t>Gefter: Inglese</w:t>
            </w:r>
          </w:p>
        </w:tc>
        <w:tc>
          <w:tcPr>
            <w:tcW w:w="4336" w:type="dxa"/>
          </w:tcPr>
          <w:p w:rsidR="00D4538E" w:rsidRDefault="0000670F">
            <w:r>
              <w:t>Bertinetti: Italian</w:t>
            </w:r>
            <w:r>
              <w:br/>
              <w:t>Gefter: English</w:t>
            </w:r>
          </w:p>
        </w:tc>
      </w:tr>
      <w:tr w:rsidR="00D4538E">
        <w:tc>
          <w:tcPr>
            <w:tcW w:w="1699"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lastRenderedPageBreak/>
              <w:t>Contenuti (Dipl.Sup.)</w:t>
            </w:r>
          </w:p>
        </w:tc>
        <w:tc>
          <w:tcPr>
            <w:tcW w:w="1840"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CONTENUTI</w:t>
            </w:r>
          </w:p>
        </w:tc>
        <w:tc>
          <w:tcPr>
            <w:tcW w:w="1248"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3800</w:t>
            </w:r>
          </w:p>
        </w:tc>
        <w:tc>
          <w:tcPr>
            <w:tcW w:w="53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Sì</w:t>
            </w:r>
          </w:p>
        </w:tc>
        <w:tc>
          <w:tcPr>
            <w:tcW w:w="4348" w:type="dxa"/>
          </w:tcPr>
          <w:p w:rsidR="00D4538E" w:rsidRDefault="0000670F">
            <w:r>
              <w:t xml:space="preserve">Gefter: (module 1, 25 hours) The module aims to introduce the students to English literary culture of the 18th and 19th centuries and enhance their critical skills through the textual analysis of some representative </w:t>
            </w:r>
            <w:r>
              <w:t xml:space="preserve">texts, mainly novels. The intersection between the idea of crime, justice, family and social class will be a constant thematic focus: </w:t>
            </w:r>
            <w:proofErr w:type="gramStart"/>
            <w:r>
              <w:t>different  generic</w:t>
            </w:r>
            <w:proofErr w:type="gramEnd"/>
            <w:r>
              <w:t xml:space="preserve"> models will be considered in their rhetorical strategies, narrative techniques and cultural contexts. T</w:t>
            </w:r>
            <w:r>
              <w:t xml:space="preserve">he module will consider, among others, the following topics and texts: </w:t>
            </w:r>
            <w:r>
              <w:br/>
              <w:t xml:space="preserve">-the rise of the novel, gender and the early </w:t>
            </w:r>
            <w:proofErr w:type="gramStart"/>
            <w:r>
              <w:t>criminal  criminal</w:t>
            </w:r>
            <w:proofErr w:type="gramEnd"/>
            <w:r>
              <w:t xml:space="preserve"> fiction (Defoe and Moll Flanders)</w:t>
            </w:r>
            <w:r>
              <w:br/>
              <w:t>-the age of sensibility, the gothic and its parody (Jane Austen’s Northanger Abbey)</w:t>
            </w:r>
            <w:r>
              <w:br/>
              <w:t>-T</w:t>
            </w:r>
            <w:r>
              <w:t>he English  Bildungsroman: class, guilt., doubles (Dickens’s Great Expectations)</w:t>
            </w:r>
            <w:r>
              <w:br/>
              <w:t>-the romance: lawlessness ,sadism, alterity (Emily Bronte’s Wuthering Heights)</w:t>
            </w:r>
            <w:r>
              <w:br/>
              <w:t xml:space="preserve">-the fin de siècle:  decadence, the end of the century anxieties, degeneracy (Oscar Wilde’s The </w:t>
            </w:r>
            <w:r>
              <w:t>Picture of Dorian Gray).</w:t>
            </w:r>
            <w:r>
              <w:br/>
            </w:r>
            <w:r>
              <w:br/>
              <w:t>Bertinetti: (modulo 2, 20 ore)</w:t>
            </w:r>
            <w:r>
              <w:br/>
              <w:t xml:space="preserve">Il modulo intende analizzare la letteratura inglese dal XVIII al XX secolo con </w:t>
            </w:r>
            <w:r>
              <w:lastRenderedPageBreak/>
              <w:t>particolare attenzione al genere del romanzo.</w:t>
            </w:r>
          </w:p>
        </w:tc>
        <w:tc>
          <w:tcPr>
            <w:tcW w:w="4336" w:type="dxa"/>
          </w:tcPr>
          <w:p w:rsidR="00D4538E" w:rsidRDefault="0000670F">
            <w:r>
              <w:lastRenderedPageBreak/>
              <w:t>Gefter: (module 1, 25 hours)</w:t>
            </w:r>
            <w:r>
              <w:br/>
              <w:t xml:space="preserve"> The module aims to introduce the students to</w:t>
            </w:r>
            <w:r>
              <w:t xml:space="preserve"> English literary culture of the 18th and 19th centuries and enhance their critical skills through the textual analysis of some representative texts, mainly novels. The intersection between the idea of crime, justice, family and social class will be a cons</w:t>
            </w:r>
            <w:r>
              <w:t xml:space="preserve">tant thematic focus: </w:t>
            </w:r>
            <w:proofErr w:type="gramStart"/>
            <w:r>
              <w:t>different  generic</w:t>
            </w:r>
            <w:proofErr w:type="gramEnd"/>
            <w:r>
              <w:t xml:space="preserve"> models will be considered in their rhetorical strategies, narrative techniques and cultural contexts. The module will consider, among others, the following topics and texts: </w:t>
            </w:r>
            <w:r>
              <w:br/>
              <w:t>-the rise of the novel, gender and the ea</w:t>
            </w:r>
            <w:r>
              <w:t xml:space="preserve">rly </w:t>
            </w:r>
            <w:proofErr w:type="gramStart"/>
            <w:r>
              <w:t>criminal  criminal</w:t>
            </w:r>
            <w:proofErr w:type="gramEnd"/>
            <w:r>
              <w:t xml:space="preserve"> fiction (Defoe and Moll Flanders)</w:t>
            </w:r>
            <w:r>
              <w:br/>
              <w:t>-the age of sensibility, the gothic and its parody (Jane Austen’s Northanger Abbey)</w:t>
            </w:r>
            <w:r>
              <w:br/>
              <w:t>-The English  Bildungsroman: class, guilt., doubles (Dickens’s Great Expectations)</w:t>
            </w:r>
            <w:r>
              <w:br/>
              <w:t>-the romance: lawlessness ,sadis</w:t>
            </w:r>
            <w:r>
              <w:t>m, alterity (Emily Bronte’s Wuthering Heights)</w:t>
            </w:r>
            <w:r>
              <w:br/>
              <w:t xml:space="preserve">-the fin de siècle:  decadence, the end of the century anxieties, degeneracy (Oscar Wilde’s The Picture of Dorian Gray).  </w:t>
            </w:r>
            <w:r>
              <w:br/>
              <w:t xml:space="preserve">Erasmus students and </w:t>
            </w:r>
            <w:proofErr w:type="gramStart"/>
            <w:r>
              <w:t>non attending</w:t>
            </w:r>
            <w:proofErr w:type="gramEnd"/>
            <w:r>
              <w:t xml:space="preserve"> students are invited to contact the lecturer at the</w:t>
            </w:r>
            <w:r>
              <w:t xml:space="preserve"> beginning of the course to arrange specific programmes if necessary.</w:t>
            </w:r>
            <w:r>
              <w:br/>
            </w:r>
            <w:r>
              <w:lastRenderedPageBreak/>
              <w:br/>
              <w:t>Bertinetti: (module 2, 20 hours)</w:t>
            </w:r>
            <w:r>
              <w:br/>
              <w:t>This module analyzes the English literature from the 18th to the 20th century with a focus on the novel.</w:t>
            </w:r>
          </w:p>
        </w:tc>
      </w:tr>
      <w:tr w:rsidR="00D4538E">
        <w:tc>
          <w:tcPr>
            <w:tcW w:w="1699"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lastRenderedPageBreak/>
              <w:t>Testi di riferimento</w:t>
            </w:r>
          </w:p>
        </w:tc>
        <w:tc>
          <w:tcPr>
            <w:tcW w:w="1840"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TESTI_RIF</w:t>
            </w:r>
          </w:p>
        </w:tc>
        <w:tc>
          <w:tcPr>
            <w:tcW w:w="1248"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3800</w:t>
            </w:r>
          </w:p>
        </w:tc>
        <w:tc>
          <w:tcPr>
            <w:tcW w:w="53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Sì</w:t>
            </w:r>
          </w:p>
        </w:tc>
        <w:tc>
          <w:tcPr>
            <w:tcW w:w="4348" w:type="dxa"/>
          </w:tcPr>
          <w:p w:rsidR="00D4538E" w:rsidRDefault="0000670F">
            <w:r>
              <w:t>Bertine</w:t>
            </w:r>
            <w:r>
              <w:t>tti:</w:t>
            </w:r>
            <w:r>
              <w:br/>
              <w:t>Breve storia della letteratura inglese, a cura di Paolo Bertinetti (Einaudi) da pag. 121 a pag. 287;</w:t>
            </w:r>
            <w:r>
              <w:br/>
              <w:t>Ian Watt, Le origini del romanzo borghese (Bompiani);</w:t>
            </w:r>
            <w:r>
              <w:br/>
              <w:t>Franco Moretti, Il romanzo di formazione (Einaudi), capitoli I e IV.</w:t>
            </w:r>
            <w:r>
              <w:br/>
            </w:r>
            <w:r>
              <w:br/>
              <w:t>Gefter:</w:t>
            </w:r>
            <w:r>
              <w:br/>
              <w:t>Primary sources:(s</w:t>
            </w:r>
            <w:r>
              <w:t>uggested editions Oxford classics or Penguin)</w:t>
            </w:r>
            <w:r>
              <w:br/>
              <w:t>Daniel Defoe. Moll Flanders. Oxford Classics. (</w:t>
            </w:r>
            <w:proofErr w:type="gramStart"/>
            <w:r>
              <w:t>selected</w:t>
            </w:r>
            <w:proofErr w:type="gramEnd"/>
            <w:r>
              <w:t xml:space="preserve"> chapters)</w:t>
            </w:r>
            <w:r>
              <w:br/>
              <w:t>Jane Austen. Northanger Abbey. Oxford Classics.</w:t>
            </w:r>
            <w:r>
              <w:br/>
              <w:t>Emily Bronte, Wuthering Heights. Oxford Classics.</w:t>
            </w:r>
            <w:r>
              <w:br/>
              <w:t>Charles Dickens. Great Expectations. Oxford Cl</w:t>
            </w:r>
            <w:r>
              <w:t>assics.</w:t>
            </w:r>
            <w:r>
              <w:br/>
              <w:t>Oscar Wilde, The Picture of Dorian Gray, Oxford Classics.</w:t>
            </w:r>
            <w:r>
              <w:br/>
              <w:t xml:space="preserve">Critical Reading (all texts indicated with “moodle” will be made available to students </w:t>
            </w:r>
            <w:r>
              <w:lastRenderedPageBreak/>
              <w:t>via moodle in pdf or urls; in some cases explanatory notes will also be provided through moodle)</w:t>
            </w:r>
            <w:r>
              <w:br/>
              <w:t xml:space="preserve"> </w:t>
            </w:r>
            <w:r>
              <w:br/>
              <w:t>Terr</w:t>
            </w:r>
            <w:r>
              <w:t>y Eagleton, The English Novel. An Introduction. Oxford, Blackwell, 2005, selected reading to be further specified.</w:t>
            </w:r>
            <w:r>
              <w:br/>
            </w:r>
            <w:r>
              <w:br/>
              <w:t>J.Todd, "Northanger Abbey", in J.Todd, The Cambridge Introduction to J.Austen, (moodle)</w:t>
            </w:r>
            <w:r>
              <w:br/>
              <w:t>Sandra Gilbert and Susan Gubar, “Looking Oppositely:</w:t>
            </w:r>
            <w:r>
              <w:t xml:space="preserve"> Emily Brontë’s Bible of Hell” (moodle) </w:t>
            </w:r>
            <w:r>
              <w:br/>
              <w:t>John Mullan, “Crime in Great Expectations” (The British Library, moodle)</w:t>
            </w:r>
            <w:r>
              <w:br/>
              <w:t>Robert Mighall, “Introduction” to the Penguin edition of O.Wilde’s The Portrait of Dorian Gray (2003) (moodle)</w:t>
            </w:r>
            <w:r>
              <w:br/>
              <w:t>Jeruschka MCCormack, “Wilde's f</w:t>
            </w:r>
            <w:r>
              <w:t>iction(s)”, in the Cambridge Companion to Oscar Wilde (Cambridge UP, 1997) (moodle)</w:t>
            </w:r>
            <w:r>
              <w:br/>
              <w:t>Additional critical entries about literary and cultural topics will be provided, mainly from The Encyclopedia of the Novel  (Blackwell 2010) and Key Concepts in Literary Th</w:t>
            </w:r>
            <w:r>
              <w:t>eory (Edinburgh UP, 2006)</w:t>
            </w:r>
            <w:r>
              <w:br/>
              <w:t>Further critical material may be provided through moodle during the course.</w:t>
            </w:r>
          </w:p>
        </w:tc>
        <w:tc>
          <w:tcPr>
            <w:tcW w:w="4336" w:type="dxa"/>
          </w:tcPr>
          <w:p w:rsidR="00D4538E" w:rsidRDefault="0000670F">
            <w:r>
              <w:lastRenderedPageBreak/>
              <w:t>Bertinetti:</w:t>
            </w:r>
            <w:r>
              <w:br/>
              <w:t>Breve storia della letteratura inglese, a cura di Paolo Bertinetti (Einaudi) da pag. 121 a pag. 287;</w:t>
            </w:r>
            <w:r>
              <w:br/>
            </w:r>
            <w:r>
              <w:t>Ian Watt, Le origini del romanzo borghese (Bompiani);</w:t>
            </w:r>
            <w:r>
              <w:br/>
              <w:t>Franco Moretti, Il romanzo di formazione (Einaudi), capitoli I e IV.</w:t>
            </w:r>
            <w:r>
              <w:br/>
            </w:r>
            <w:r>
              <w:br/>
              <w:t>Gefter:</w:t>
            </w:r>
            <w:r>
              <w:br/>
              <w:t>Primary sources:(suggested editions Oxford classics or Penguin)</w:t>
            </w:r>
            <w:r>
              <w:br/>
              <w:t>Daniel Defoe. Moll Flanders. Oxford Classics. (</w:t>
            </w:r>
            <w:proofErr w:type="gramStart"/>
            <w:r>
              <w:t>selected</w:t>
            </w:r>
            <w:proofErr w:type="gramEnd"/>
            <w:r>
              <w:t xml:space="preserve"> chap</w:t>
            </w:r>
            <w:r>
              <w:t>ters)</w:t>
            </w:r>
            <w:r>
              <w:br/>
              <w:t>Jane Austen. Northanger Abbey. Oxford Classics.</w:t>
            </w:r>
            <w:r>
              <w:br/>
              <w:t>Emily Bronte, Wuthering Heights. Oxford Classics.</w:t>
            </w:r>
            <w:r>
              <w:br/>
              <w:t>Charles Dickens. Great Expectations. Oxford Classics.</w:t>
            </w:r>
            <w:r>
              <w:br/>
              <w:t>Oscar Wilde, The Picture of Dorian Gray, Oxford Classics.</w:t>
            </w:r>
            <w:r>
              <w:br/>
              <w:t>Critical Reading (all texts indicated wi</w:t>
            </w:r>
            <w:r>
              <w:t xml:space="preserve">th “moodle” will be made available to students </w:t>
            </w:r>
            <w:r>
              <w:lastRenderedPageBreak/>
              <w:t>via moodle in pdf or urls; in some cases explanatory notes will also be provided through moodle)</w:t>
            </w:r>
            <w:r>
              <w:br/>
              <w:t xml:space="preserve"> </w:t>
            </w:r>
            <w:r>
              <w:br/>
              <w:t>Terry Eagleton, The English Novel. An Introduction. Oxford, Blackwell, 2005, selected reading to be further sp</w:t>
            </w:r>
            <w:r>
              <w:t>ecified.</w:t>
            </w:r>
            <w:r>
              <w:br/>
            </w:r>
            <w:r>
              <w:br/>
              <w:t>J.Todd, "Northanger Abbey", in J.Todd, The Cambridge Introduction to J.Austen, (moodle)</w:t>
            </w:r>
            <w:r>
              <w:br/>
              <w:t xml:space="preserve">Sandra Gilbert and Susan Gubar, “Looking Oppositely: Emily Brontë’s Bible of Hell” (moodle) </w:t>
            </w:r>
            <w:r>
              <w:br/>
              <w:t xml:space="preserve">John Mullan, “Crime in Great Expectations” (The British Library, </w:t>
            </w:r>
            <w:r>
              <w:t>moodle)</w:t>
            </w:r>
            <w:r>
              <w:br/>
              <w:t>Robert Mighall, “Introduction” to the Penguin edition of O.Wilde’s The Portrait of Dorian Gray (2003) (moodle)</w:t>
            </w:r>
            <w:r>
              <w:br/>
              <w:t>Jeruschka MCCormack, “Wilde's fiction(s)”, in the Cambridge Companion to Oscar Wilde (Cambridge UP, 1997) (moodle)</w:t>
            </w:r>
            <w:r>
              <w:br/>
              <w:t>Additional critical en</w:t>
            </w:r>
            <w:r>
              <w:t>tries about literary and cultural topics will be provided, mainly from The Encyclopedia of the Novel  (Blackwell 2010) and Key Concepts in Literary Theory (Edinburgh UP, 2006)</w:t>
            </w:r>
            <w:r>
              <w:br/>
              <w:t>Further critical material may be provided through moodle during the course.</w:t>
            </w:r>
          </w:p>
        </w:tc>
      </w:tr>
      <w:tr w:rsidR="00D4538E">
        <w:tc>
          <w:tcPr>
            <w:tcW w:w="1699"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lastRenderedPageBreak/>
              <w:t>Obi</w:t>
            </w:r>
            <w:r>
              <w:rPr>
                <w:rFonts w:ascii="Calibri" w:eastAsia="Times New Roman" w:hAnsi="Calibri" w:cs="Times New Roman"/>
                <w:b/>
                <w:bCs/>
                <w:color w:val="000000"/>
              </w:rPr>
              <w:t>ettivi formativi</w:t>
            </w:r>
          </w:p>
        </w:tc>
        <w:tc>
          <w:tcPr>
            <w:tcW w:w="1840"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OBIETT_FORM</w:t>
            </w:r>
          </w:p>
        </w:tc>
        <w:tc>
          <w:tcPr>
            <w:tcW w:w="1248"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3800</w:t>
            </w:r>
          </w:p>
        </w:tc>
        <w:tc>
          <w:tcPr>
            <w:tcW w:w="53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Sì</w:t>
            </w:r>
          </w:p>
        </w:tc>
        <w:tc>
          <w:tcPr>
            <w:tcW w:w="4348" w:type="dxa"/>
          </w:tcPr>
          <w:p w:rsidR="00D4538E" w:rsidRDefault="0000670F">
            <w:r>
              <w:t xml:space="preserve">Bertinetti: Il modulo intende analizzare la storia della letteratura inglese attraverso la lettura critica di alcuni testi fondamentali.          </w:t>
            </w:r>
            <w:r>
              <w:br/>
            </w:r>
            <w:r>
              <w:br/>
              <w:t>Gefter:</w:t>
            </w:r>
            <w:r>
              <w:br/>
              <w:t xml:space="preserve">Il modulo mira </w:t>
            </w:r>
            <w:proofErr w:type="gramStart"/>
            <w:r>
              <w:t>a</w:t>
            </w:r>
            <w:proofErr w:type="gramEnd"/>
            <w:r>
              <w:t xml:space="preserve"> introdurre gli studenti alla conoscenza e alla</w:t>
            </w:r>
            <w:r>
              <w:t xml:space="preserve"> comprensione critica delle principali linee di sviluppo della letteratura inglese del Settecento e Ottocento, e con particolare riferimento al genere del romanzo. L'analisi testuale sarà il più possibile orientata a stimolare una riflessione sulle caratte</w:t>
            </w:r>
            <w:r>
              <w:t xml:space="preserve">ristiche formali e le costanti tematiche affrontate. A completamento del modulo gli student dovranno essere in grado di riconoscere I diversi registry stilistici e I contesti culturali dei testi </w:t>
            </w:r>
            <w:proofErr w:type="gramStart"/>
            <w:r>
              <w:t>analizzati  e</w:t>
            </w:r>
            <w:proofErr w:type="gramEnd"/>
            <w:r>
              <w:t xml:space="preserve"> di cogliere corrispondenze tematiche e formali.</w:t>
            </w:r>
          </w:p>
        </w:tc>
        <w:tc>
          <w:tcPr>
            <w:tcW w:w="4336" w:type="dxa"/>
          </w:tcPr>
          <w:p w:rsidR="00D4538E" w:rsidRDefault="0000670F">
            <w:r>
              <w:t>Bertinetti: This module analyzes the history of English literature through a critical reading of some key texts.</w:t>
            </w:r>
            <w:r>
              <w:br/>
            </w:r>
            <w:r>
              <w:br/>
              <w:t>Gefter:</w:t>
            </w:r>
            <w:r>
              <w:br/>
              <w:t>The module aims at introducing students to the knowledge and the critical appraisal of an outline of English literature of the 18 and</w:t>
            </w:r>
            <w:r>
              <w:t xml:space="preserve"> 19th centuries, and it will mainly focus on the novel.   On completion of this module, students should be able to demonstrate understanding of how historical context informs the form and content of texts, to recognize the different stylistic featuress and</w:t>
            </w:r>
            <w:r>
              <w:t xml:space="preserve"> cultural </w:t>
            </w:r>
            <w:proofErr w:type="gramStart"/>
            <w:r>
              <w:t>contexts  and</w:t>
            </w:r>
            <w:proofErr w:type="gramEnd"/>
            <w:r>
              <w:t xml:space="preserve"> to identify thematic and formal correspondences of texts.</w:t>
            </w:r>
          </w:p>
        </w:tc>
      </w:tr>
      <w:tr w:rsidR="00D4538E">
        <w:tc>
          <w:tcPr>
            <w:tcW w:w="1699"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Prerequisiti</w:t>
            </w:r>
          </w:p>
        </w:tc>
        <w:tc>
          <w:tcPr>
            <w:tcW w:w="1840"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PREREQ</w:t>
            </w:r>
          </w:p>
        </w:tc>
        <w:tc>
          <w:tcPr>
            <w:tcW w:w="1248"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3800</w:t>
            </w:r>
          </w:p>
        </w:tc>
        <w:tc>
          <w:tcPr>
            <w:tcW w:w="53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Sì</w:t>
            </w:r>
          </w:p>
        </w:tc>
        <w:tc>
          <w:tcPr>
            <w:tcW w:w="4348" w:type="dxa"/>
          </w:tcPr>
          <w:p w:rsidR="00D4538E" w:rsidRDefault="0000670F">
            <w:r>
              <w:t>Bertinetti: superamento esame di Letteratura inglese I.</w:t>
            </w:r>
            <w:r>
              <w:br/>
            </w:r>
            <w:r>
              <w:br/>
              <w:t>Gefter: superamento dell' esame letteratura inglese I.</w:t>
            </w:r>
          </w:p>
        </w:tc>
        <w:tc>
          <w:tcPr>
            <w:tcW w:w="4336" w:type="dxa"/>
          </w:tcPr>
          <w:p w:rsidR="00D4538E" w:rsidRDefault="0000670F">
            <w:r>
              <w:t>Bertinetti: I year English literature exam passed.</w:t>
            </w:r>
            <w:r>
              <w:br/>
            </w:r>
            <w:r>
              <w:br/>
              <w:t>Gefter: I year English literature exam passed.</w:t>
            </w:r>
          </w:p>
        </w:tc>
      </w:tr>
      <w:tr w:rsidR="00D4538E">
        <w:tc>
          <w:tcPr>
            <w:tcW w:w="1699"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Metodi didattici</w:t>
            </w:r>
          </w:p>
        </w:tc>
        <w:tc>
          <w:tcPr>
            <w:tcW w:w="1840"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METODI_DID</w:t>
            </w:r>
          </w:p>
        </w:tc>
        <w:tc>
          <w:tcPr>
            <w:tcW w:w="1248"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3800</w:t>
            </w:r>
          </w:p>
        </w:tc>
        <w:tc>
          <w:tcPr>
            <w:tcW w:w="53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Sì</w:t>
            </w:r>
          </w:p>
        </w:tc>
        <w:tc>
          <w:tcPr>
            <w:tcW w:w="4348" w:type="dxa"/>
          </w:tcPr>
          <w:p w:rsidR="00D4538E" w:rsidRDefault="0000670F">
            <w:r>
              <w:t>Bertinetti: lezioni frontali.</w:t>
            </w:r>
            <w:r>
              <w:br/>
            </w:r>
            <w:r>
              <w:br/>
              <w:t>Gefter: lezioni frontali, analisi testuale, close reading,</w:t>
            </w:r>
          </w:p>
        </w:tc>
        <w:tc>
          <w:tcPr>
            <w:tcW w:w="4336" w:type="dxa"/>
          </w:tcPr>
          <w:p w:rsidR="00D4538E" w:rsidRDefault="0000670F">
            <w:r>
              <w:t>Bertinetti: taught classes.</w:t>
            </w:r>
            <w:r>
              <w:br/>
            </w:r>
            <w:r>
              <w:t>Gefter: taught classes, textual analysis and close readings</w:t>
            </w:r>
          </w:p>
        </w:tc>
      </w:tr>
      <w:tr w:rsidR="00D4538E">
        <w:tc>
          <w:tcPr>
            <w:tcW w:w="1699"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lastRenderedPageBreak/>
              <w:t>Altre informazioni</w:t>
            </w:r>
          </w:p>
        </w:tc>
        <w:tc>
          <w:tcPr>
            <w:tcW w:w="1840"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ALTRO</w:t>
            </w:r>
          </w:p>
        </w:tc>
        <w:tc>
          <w:tcPr>
            <w:tcW w:w="1248"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3800</w:t>
            </w:r>
          </w:p>
        </w:tc>
        <w:tc>
          <w:tcPr>
            <w:tcW w:w="53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Sì</w:t>
            </w:r>
          </w:p>
        </w:tc>
        <w:tc>
          <w:tcPr>
            <w:tcW w:w="4348" w:type="dxa"/>
          </w:tcPr>
          <w:p w:rsidR="00D4538E" w:rsidRDefault="0000670F">
            <w:r>
              <w:t>Gefter:</w:t>
            </w:r>
            <w:r>
              <w:br/>
              <w:t>Il materiale didattico (letteratura critica) sarà caricato su moodle o in parte disponibile presso la biblioteca di dipartimento. Ulteriori indicazioni cr</w:t>
            </w:r>
            <w:r>
              <w:t>itiche saranno fornite durante il corso.</w:t>
            </w:r>
            <w:r>
              <w:br/>
              <w:t xml:space="preserve">Gli studenti Erasmus e </w:t>
            </w:r>
            <w:proofErr w:type="gramStart"/>
            <w:r>
              <w:t>non frequentanti</w:t>
            </w:r>
            <w:proofErr w:type="gramEnd"/>
            <w:r>
              <w:t xml:space="preserve"> sono invitati a contattare i docenti per eventuali specifiche necessità o modifiche al programma.</w:t>
            </w:r>
            <w:r>
              <w:br/>
            </w:r>
            <w:r>
              <w:br/>
              <w:t xml:space="preserve">Critical reading will be made available to students on moodle and, when not </w:t>
            </w:r>
            <w:r>
              <w:t>available, in the Department library.</w:t>
            </w:r>
            <w:r>
              <w:br/>
              <w:t>Further critical references will be provided during the course module.</w:t>
            </w:r>
            <w:r>
              <w:br/>
              <w:t xml:space="preserve">Erasmus students and </w:t>
            </w:r>
            <w:proofErr w:type="gramStart"/>
            <w:r>
              <w:t>non attending</w:t>
            </w:r>
            <w:proofErr w:type="gramEnd"/>
            <w:r>
              <w:t xml:space="preserve"> students are invited to contact the professors at the beginning of the course to arrange specific programmes if </w:t>
            </w:r>
            <w:r>
              <w:t>necessary.</w:t>
            </w:r>
          </w:p>
        </w:tc>
        <w:tc>
          <w:tcPr>
            <w:tcW w:w="4336" w:type="dxa"/>
          </w:tcPr>
          <w:p w:rsidR="00D4538E" w:rsidRDefault="0000670F">
            <w:r>
              <w:t>Gefter:</w:t>
            </w:r>
            <w:r>
              <w:br/>
              <w:t>Critical reading will be made available to students on moodle and, when not available, in the Department library.</w:t>
            </w:r>
            <w:r>
              <w:br/>
              <w:t>Further critical references will be provided during the course module.</w:t>
            </w:r>
            <w:r>
              <w:br/>
              <w:t xml:space="preserve">Erasmus students and </w:t>
            </w:r>
            <w:proofErr w:type="gramStart"/>
            <w:r>
              <w:t>non attending</w:t>
            </w:r>
            <w:proofErr w:type="gramEnd"/>
            <w:r>
              <w:t xml:space="preserve"> students are invi</w:t>
            </w:r>
            <w:r>
              <w:t>ted to contact the lecturer at the beginning of the course to arrange specific programmes if necessary.</w:t>
            </w:r>
          </w:p>
        </w:tc>
      </w:tr>
      <w:tr w:rsidR="00D4538E">
        <w:tc>
          <w:tcPr>
            <w:tcW w:w="1699"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t>Modalità di verifica dell'apprendimento</w:t>
            </w:r>
          </w:p>
        </w:tc>
        <w:tc>
          <w:tcPr>
            <w:tcW w:w="1840"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MOD_VER_APPR</w:t>
            </w:r>
          </w:p>
        </w:tc>
        <w:tc>
          <w:tcPr>
            <w:tcW w:w="1248"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3800</w:t>
            </w:r>
          </w:p>
        </w:tc>
        <w:tc>
          <w:tcPr>
            <w:tcW w:w="53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Sì</w:t>
            </w:r>
          </w:p>
        </w:tc>
        <w:tc>
          <w:tcPr>
            <w:tcW w:w="4348" w:type="dxa"/>
          </w:tcPr>
          <w:p w:rsidR="00D4538E" w:rsidRDefault="0000670F">
            <w:r>
              <w:t>Bertinetti: verifica orale.</w:t>
            </w:r>
            <w:r>
              <w:br/>
            </w:r>
            <w:r>
              <w:br/>
              <w:t xml:space="preserve">Gefter: La verifica orale finale consiste in una discussione </w:t>
            </w:r>
            <w:r>
              <w:t xml:space="preserve">degli argomenti trattati durante il corso sulla base di un’analisi testuale dei testi primari in programma, e mira ad accertare il livello di conoscenza e di competenza raggiunti dagli studenti e le loro capacità argomentative e analitiche. </w:t>
            </w:r>
            <w:r>
              <w:lastRenderedPageBreak/>
              <w:t>Indicativamente</w:t>
            </w:r>
            <w:r>
              <w:t xml:space="preserve"> verranno poste domande relative ai principali temi, </w:t>
            </w:r>
            <w:proofErr w:type="gramStart"/>
            <w:r>
              <w:t>concetti  e</w:t>
            </w:r>
            <w:proofErr w:type="gramEnd"/>
            <w:r>
              <w:t xml:space="preserve"> contesti affrontati nel corso. La verifica orale avrà una durata indicativa di 20/25 minuti per modulo. Gli studenti sosterranno, in una sola sessione, entrambe le parti del corso con i rispe</w:t>
            </w:r>
            <w:r>
              <w:t xml:space="preserve">ttivi docenti, e il voto finale sarà unico in base </w:t>
            </w:r>
            <w:proofErr w:type="gramStart"/>
            <w:r>
              <w:t>alla  media</w:t>
            </w:r>
            <w:proofErr w:type="gramEnd"/>
            <w:r>
              <w:t xml:space="preserve"> ragionata. Non è possibile sostenere parti separate in sessioni diverse d'esame</w:t>
            </w:r>
          </w:p>
        </w:tc>
        <w:tc>
          <w:tcPr>
            <w:tcW w:w="4336" w:type="dxa"/>
          </w:tcPr>
          <w:p w:rsidR="00D4538E" w:rsidRDefault="0000670F">
            <w:r>
              <w:lastRenderedPageBreak/>
              <w:t>Bertinetti: oral exam.</w:t>
            </w:r>
            <w:r>
              <w:br/>
            </w:r>
            <w:r>
              <w:br/>
              <w:t>Gefter:</w:t>
            </w:r>
            <w:r>
              <w:br/>
              <w:t>The exam is oral and will last approximately 20/25 minutes per module: it consist</w:t>
            </w:r>
            <w:r>
              <w:t xml:space="preserve">s of a discussion of the topics of the </w:t>
            </w:r>
            <w:proofErr w:type="gramStart"/>
            <w:r>
              <w:t>course  through</w:t>
            </w:r>
            <w:proofErr w:type="gramEnd"/>
            <w:r>
              <w:t xml:space="preserve"> the textual analysis and commentary of some primary texts, and it aims at  determining the level of knowledge </w:t>
            </w:r>
            <w:r>
              <w:lastRenderedPageBreak/>
              <w:t>and competence reached by the students, together with their argumentative and anlytical ski</w:t>
            </w:r>
            <w:r>
              <w:t xml:space="preserve">lls. Students will be asked questions concerning the main concepts, </w:t>
            </w:r>
            <w:proofErr w:type="gramStart"/>
            <w:r>
              <w:t>themes  and</w:t>
            </w:r>
            <w:proofErr w:type="gramEnd"/>
            <w:r>
              <w:t xml:space="preserve"> contexts considered during the course.</w:t>
            </w:r>
            <w:r>
              <w:br/>
              <w:t>Students will take the exam in one session and will be examined by both professors, with a single final mark as the average result. Stude</w:t>
            </w:r>
            <w:r>
              <w:t xml:space="preserve">nts may </w:t>
            </w:r>
            <w:proofErr w:type="gramStart"/>
            <w:r>
              <w:t>not  pass</w:t>
            </w:r>
            <w:proofErr w:type="gramEnd"/>
            <w:r>
              <w:t xml:space="preserve"> the exam in different sessions of the academic year.</w:t>
            </w:r>
          </w:p>
        </w:tc>
      </w:tr>
      <w:tr w:rsidR="00D4538E">
        <w:tc>
          <w:tcPr>
            <w:tcW w:w="1699" w:type="dxa"/>
            <w:shd w:val="clear" w:color="auto" w:fill="F2F2F2" w:themeFill="background1" w:themeFillShade="F2"/>
          </w:tcPr>
          <w:p w:rsidR="00D4538E" w:rsidRDefault="0000670F">
            <w:pPr>
              <w:rPr>
                <w:rFonts w:ascii="Calibri" w:eastAsia="Times New Roman" w:hAnsi="Calibri" w:cs="Times New Roman"/>
                <w:color w:val="000000"/>
              </w:rPr>
            </w:pPr>
            <w:r>
              <w:rPr>
                <w:rFonts w:ascii="Calibri" w:eastAsia="Times New Roman" w:hAnsi="Calibri" w:cs="Times New Roman"/>
                <w:b/>
                <w:bCs/>
                <w:color w:val="000000"/>
              </w:rPr>
              <w:lastRenderedPageBreak/>
              <w:t>Programma esteso</w:t>
            </w:r>
          </w:p>
        </w:tc>
        <w:tc>
          <w:tcPr>
            <w:tcW w:w="1840"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PROGR_EST</w:t>
            </w:r>
          </w:p>
        </w:tc>
        <w:tc>
          <w:tcPr>
            <w:tcW w:w="1248"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3800</w:t>
            </w:r>
          </w:p>
        </w:tc>
        <w:tc>
          <w:tcPr>
            <w:tcW w:w="533" w:type="dxa"/>
          </w:tcPr>
          <w:p w:rsidR="00D4538E" w:rsidRDefault="0000670F">
            <w:pPr>
              <w:rPr>
                <w:rFonts w:ascii="Calibri" w:eastAsia="Times New Roman" w:hAnsi="Calibri" w:cs="Times New Roman"/>
                <w:color w:val="000000"/>
              </w:rPr>
            </w:pPr>
            <w:r>
              <w:rPr>
                <w:rFonts w:ascii="Calibri" w:eastAsia="Times New Roman" w:hAnsi="Calibri" w:cs="Times New Roman"/>
                <w:color w:val="000000"/>
              </w:rPr>
              <w:t>Sì</w:t>
            </w:r>
          </w:p>
        </w:tc>
        <w:tc>
          <w:tcPr>
            <w:tcW w:w="4348" w:type="dxa"/>
          </w:tcPr>
          <w:p w:rsidR="00D4538E" w:rsidRDefault="0000670F">
            <w:r>
              <w:t>Gefter: (25 hours) The module aims to introduce the students to English literary culture of the 18th and 19th centuries and enhance their critical skills through the textual analysis of some representative texts, mainly novels. The intersection between the</w:t>
            </w:r>
            <w:r>
              <w:t xml:space="preserve"> idea of crime, justice, family and social class will be a constant thematic focus: </w:t>
            </w:r>
            <w:proofErr w:type="gramStart"/>
            <w:r>
              <w:t>different  generic</w:t>
            </w:r>
            <w:proofErr w:type="gramEnd"/>
            <w:r>
              <w:t xml:space="preserve"> models will be considered in their rhetorical strategies, narrative techniques and cultural contexts. The module will consider, among others, the followi</w:t>
            </w:r>
            <w:r>
              <w:t xml:space="preserve">ng topics and texts: </w:t>
            </w:r>
            <w:r>
              <w:br/>
              <w:t xml:space="preserve">-the rise of the novel, gender and the early </w:t>
            </w:r>
            <w:proofErr w:type="gramStart"/>
            <w:r>
              <w:t>criminal  criminal</w:t>
            </w:r>
            <w:proofErr w:type="gramEnd"/>
            <w:r>
              <w:t xml:space="preserve"> fiction (Defoe and Moll Flanders)</w:t>
            </w:r>
            <w:r>
              <w:br/>
              <w:t>-the age of sensibility, the gothic and its parody (Jane Austen’s Northanger Abbey)</w:t>
            </w:r>
            <w:r>
              <w:br/>
            </w:r>
            <w:r>
              <w:lastRenderedPageBreak/>
              <w:t xml:space="preserve">-The English  Bildungsroman: class, guilt., doubles </w:t>
            </w:r>
            <w:r>
              <w:t>(Dickens’s Great Expectations)</w:t>
            </w:r>
            <w:r>
              <w:br/>
              <w:t>-the romance: lawlessness ,sadism, alterity (Emily Bronte’s Wuthering Heights)</w:t>
            </w:r>
            <w:r>
              <w:br/>
              <w:t xml:space="preserve">-the fin de siècle:  decadence, the end of the century anxieties, degeneracy (Oscar Wilde’s The Picture of Dorian Gray).  </w:t>
            </w:r>
            <w:r>
              <w:br/>
              <w:t xml:space="preserve">Erasmus students and </w:t>
            </w:r>
            <w:proofErr w:type="gramStart"/>
            <w:r>
              <w:t>no</w:t>
            </w:r>
            <w:r>
              <w:t>n attending</w:t>
            </w:r>
            <w:proofErr w:type="gramEnd"/>
            <w:r>
              <w:t xml:space="preserve"> students are invited to contact the lecturer at the beginning of the course to arrange specific programmes if necessary.</w:t>
            </w:r>
            <w:r>
              <w:br/>
            </w:r>
            <w:r>
              <w:br/>
              <w:t xml:space="preserve">Reading List: </w:t>
            </w:r>
            <w:r>
              <w:br/>
              <w:t>Primary sources:</w:t>
            </w:r>
            <w:r>
              <w:br/>
              <w:t>Daniel Defoe. Moll Flanders. Oxford Classics.</w:t>
            </w:r>
            <w:r>
              <w:br/>
              <w:t>Jane Austen. Northanger Abbey. Oxford Classi</w:t>
            </w:r>
            <w:r>
              <w:t>cs.</w:t>
            </w:r>
            <w:r>
              <w:br/>
              <w:t>Emily Bronte, Wuthering Heights Oxford Classics.</w:t>
            </w:r>
            <w:r>
              <w:br/>
              <w:t>Robert Browining. “My Last Duchess” (moodle)</w:t>
            </w:r>
            <w:r>
              <w:br/>
            </w:r>
            <w:r>
              <w:br/>
              <w:t xml:space="preserve">Charles Dickens. Great Expectations. </w:t>
            </w:r>
            <w:proofErr w:type="gramStart"/>
            <w:r>
              <w:t>Oxford  UP</w:t>
            </w:r>
            <w:proofErr w:type="gramEnd"/>
            <w:r>
              <w:br/>
              <w:t>Oscar Wilde, The Picture of Dorian Gray, Oxford Classics</w:t>
            </w:r>
            <w:r>
              <w:br/>
              <w:t xml:space="preserve"> </w:t>
            </w:r>
            <w:r>
              <w:br/>
              <w:t>Critical Reading (all texts indicated with “moodle</w:t>
            </w:r>
            <w:r>
              <w:t xml:space="preserve">” will be made available to students </w:t>
            </w:r>
            <w:r>
              <w:lastRenderedPageBreak/>
              <w:t>via moodle in pdf or urls; in some cases explanatory notes will also be provided through moodle)</w:t>
            </w:r>
            <w:r>
              <w:br/>
              <w:t xml:space="preserve"> </w:t>
            </w:r>
            <w:r>
              <w:br/>
              <w:t>Terry Eagleton, The English Novel. An Introduction. Oxford, Blackwell, 2005, selected reading to be further specified.</w:t>
            </w:r>
            <w:r>
              <w:br/>
            </w:r>
            <w:r>
              <w:br/>
            </w:r>
            <w:r>
              <w:t>J.Todd, "Northanger Abbey", in J.Todd, The Cambridge Introduction to J.Austen, (moodle)</w:t>
            </w:r>
            <w:r>
              <w:br/>
              <w:t xml:space="preserve">Sandra Gilbert and Susan Gubar, “Looking Oppositely: Emily Brontë’s Bible of Hell” (moodle) </w:t>
            </w:r>
            <w:r>
              <w:br/>
              <w:t>John Mullan, “Crime in Great Expectations” (The British Library, moodle)</w:t>
            </w:r>
            <w:r>
              <w:br/>
              <w:t>Ro</w:t>
            </w:r>
            <w:r>
              <w:t>bert Mighall, “Introduction” to the Penguin edition of O.Wilde’s The Portrait of Dorian Gray (2003) (moodle)</w:t>
            </w:r>
            <w:r>
              <w:br/>
              <w:t>Jeruschka MCCormack, “Wilde's fiction(s)”, in the Cambridge Companion to Oscar Wilde (Cambridge UP, 1997) (moodle)</w:t>
            </w:r>
            <w:r>
              <w:br/>
              <w:t>Additional critical entries abou</w:t>
            </w:r>
            <w:r>
              <w:t>t literary and cultural topics will be provided, mainly from The Encyclopedia of the Novel  (Blackwell 2010) and Key Concepts in Literary Theory (Edinburgh UP, 2006)</w:t>
            </w:r>
            <w:r>
              <w:br/>
              <w:t>Further critical material may be provided through moodle during the course.</w:t>
            </w:r>
          </w:p>
        </w:tc>
        <w:tc>
          <w:tcPr>
            <w:tcW w:w="4336" w:type="dxa"/>
          </w:tcPr>
          <w:p w:rsidR="00D4538E" w:rsidRDefault="0000670F">
            <w:r>
              <w:lastRenderedPageBreak/>
              <w:t>Gefter:</w:t>
            </w:r>
            <w:r>
              <w:br/>
              <w:t>The mo</w:t>
            </w:r>
            <w:r>
              <w:t xml:space="preserve">dule aims to introduce the students to English literary culture of the 18th and 19th centuries and enhance their critical skills through the textual analysis of some representative texts, mainly novels. The intersection between the idea of crime, justice, </w:t>
            </w:r>
            <w:r>
              <w:t xml:space="preserve">family and social class will be a constant thematic focus: </w:t>
            </w:r>
            <w:proofErr w:type="gramStart"/>
            <w:r>
              <w:t>different  generic</w:t>
            </w:r>
            <w:proofErr w:type="gramEnd"/>
            <w:r>
              <w:t xml:space="preserve"> models will be considered in their rhetorical strategies, narrative techniques and cultural contexts. The module will consider, among others, the following topics and texts: </w:t>
            </w:r>
            <w:r>
              <w:br/>
              <w:t>-th</w:t>
            </w:r>
            <w:r>
              <w:t xml:space="preserve">e rise of the novel, gender and the early </w:t>
            </w:r>
            <w:proofErr w:type="gramStart"/>
            <w:r>
              <w:t>criminal  criminal</w:t>
            </w:r>
            <w:proofErr w:type="gramEnd"/>
            <w:r>
              <w:t xml:space="preserve"> fiction (Defoe and Moll Flanders)</w:t>
            </w:r>
            <w:r>
              <w:br/>
              <w:t xml:space="preserve">-the age of sensibility, the gothic and its </w:t>
            </w:r>
            <w:r>
              <w:lastRenderedPageBreak/>
              <w:t>parody (Jane Austen’s Northanger Abbey)</w:t>
            </w:r>
            <w:r>
              <w:br/>
              <w:t>-The English  Bildungsroman: class, guilt., doubles (Dickens’s Great Expectat</w:t>
            </w:r>
            <w:r>
              <w:t>ions)</w:t>
            </w:r>
            <w:r>
              <w:br/>
              <w:t>-the romance: lawlessness ,sadism, alterity (Emily Bronte’s Wuthering Heights)</w:t>
            </w:r>
            <w:r>
              <w:br/>
              <w:t xml:space="preserve">-the fin de siècle:  decadence, the end of the century anxieties, degeneracy (Oscar Wilde’s The Picture of Dorian Gray).  </w:t>
            </w:r>
            <w:r>
              <w:br/>
              <w:t xml:space="preserve">Erasmus students and </w:t>
            </w:r>
            <w:proofErr w:type="gramStart"/>
            <w:r>
              <w:t>non attending</w:t>
            </w:r>
            <w:proofErr w:type="gramEnd"/>
            <w:r>
              <w:t xml:space="preserve"> students are </w:t>
            </w:r>
            <w:r>
              <w:t>invited to contact the lecturer at the beginning of the course to arrange specific programmes if necessary.</w:t>
            </w:r>
            <w:r>
              <w:br/>
            </w:r>
            <w:r>
              <w:br/>
              <w:t xml:space="preserve">Reading List: </w:t>
            </w:r>
            <w:r>
              <w:br/>
              <w:t>Primary sources:</w:t>
            </w:r>
            <w:r>
              <w:br/>
              <w:t>Daniel Defoe. Moll Flanders. Oxford Classics.</w:t>
            </w:r>
            <w:r>
              <w:br/>
              <w:t>Jane Austen. Northanger Abbey. Oxford Classics.</w:t>
            </w:r>
            <w:r>
              <w:br/>
              <w:t>Emily Bronte, Wutheri</w:t>
            </w:r>
            <w:r>
              <w:t>ng Heights Oxford Classics.</w:t>
            </w:r>
            <w:r>
              <w:br/>
              <w:t>Robert Browining. “My Last Duchess” (moodle)</w:t>
            </w:r>
            <w:r>
              <w:br/>
            </w:r>
            <w:r>
              <w:br/>
              <w:t xml:space="preserve">Charles Dickens. Great Expectations. </w:t>
            </w:r>
            <w:proofErr w:type="gramStart"/>
            <w:r>
              <w:t>Oxford  UP</w:t>
            </w:r>
            <w:proofErr w:type="gramEnd"/>
            <w:r>
              <w:br/>
              <w:t>Oscar Wilde, The Picture of Dorian Gray, Oxford Classics</w:t>
            </w:r>
            <w:r>
              <w:br/>
              <w:t xml:space="preserve"> </w:t>
            </w:r>
            <w:r>
              <w:br/>
              <w:t xml:space="preserve">Critical Reading (all texts indicated with </w:t>
            </w:r>
            <w:r>
              <w:lastRenderedPageBreak/>
              <w:t xml:space="preserve">“moodle” will be made available </w:t>
            </w:r>
            <w:r>
              <w:t>to students via moodle in pdf or urls; in some cases explanatory notes will also be provided through moodle)</w:t>
            </w:r>
            <w:r>
              <w:br/>
              <w:t xml:space="preserve"> </w:t>
            </w:r>
            <w:r>
              <w:br/>
              <w:t>Terry Eagleton, The English Novel. An Introduction. Oxford, Blackwell, 2005, selected reading to be further specified.</w:t>
            </w:r>
            <w:r>
              <w:br/>
            </w:r>
            <w:r>
              <w:br/>
              <w:t>J.Todd, "Northanger Abbey</w:t>
            </w:r>
            <w:r>
              <w:t>", in J.Todd, The Cambridge Introduction to J.Austen, (moodle)</w:t>
            </w:r>
            <w:r>
              <w:br/>
              <w:t xml:space="preserve">Sandra Gilbert and Susan Gubar, “Looking Oppositely: Emily Brontë’s Bible of Hell” (moodle) </w:t>
            </w:r>
            <w:r>
              <w:br/>
              <w:t>John Mullan, “Crime in Great Expectations” (The British Library, moodle)</w:t>
            </w:r>
            <w:r>
              <w:br/>
              <w:t>Robert Mighall, “Introducti</w:t>
            </w:r>
            <w:r>
              <w:t>on” to the Penguin edition of O.Wilde’s The Portrait of Dorian Gray (2003) (moodle)</w:t>
            </w:r>
            <w:r>
              <w:br/>
              <w:t>Jeruschka MCCormack, “Wilde's fiction(s)”, in the Cambridge Companion to Oscar Wilde (Cambridge UP, 1997) (moodle)</w:t>
            </w:r>
            <w:r>
              <w:br/>
              <w:t>Additional critical entries about literary and cultural t</w:t>
            </w:r>
            <w:r>
              <w:t>opics will be provided, mainly from The Encyclopedia of the Novel  (Blackwell 2010) and Key Concepts in Literary Theory (Edinburgh UP, 2006)</w:t>
            </w:r>
            <w:r>
              <w:br/>
              <w:t xml:space="preserve">Further critical material may be provided </w:t>
            </w:r>
            <w:r>
              <w:lastRenderedPageBreak/>
              <w:t>through moodle during the course.</w:t>
            </w:r>
          </w:p>
        </w:tc>
      </w:tr>
    </w:tbl>
    <w:p w:rsidR="00000000" w:rsidRDefault="0000670F"/>
    <w:sectPr w:rsidR="00000000">
      <w:pgSz w:w="16839" w:h="11907" w:orient="landscape"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44015"/>
    <w:multiLevelType w:val="multilevel"/>
    <w:tmpl w:val="40E2AC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EC06EDA"/>
    <w:multiLevelType w:val="multilevel"/>
    <w:tmpl w:val="C78A820E"/>
    <w:lvl w:ilvl="0">
      <w:start w:val="1"/>
      <w:numFmt w:val="bullet"/>
      <w:lvlText w:val="°"/>
      <w:lvlJc w:val="left"/>
      <w:pPr>
        <w:tabs>
          <w:tab w:val="num" w:pos="720"/>
        </w:tabs>
        <w:ind w:left="720" w:hanging="360"/>
      </w:pPr>
      <w:rPr>
        <w:rFonts w:cs="Symbol"/>
        <w:sz w:val="16"/>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2">
    <w:nsid w:val="54B3292D"/>
    <w:multiLevelType w:val="multilevel"/>
    <w:tmpl w:val="BCB285F2"/>
    <w:lvl w:ilvl="0">
      <w:start w:val="1"/>
      <w:numFmt w:val="bullet"/>
      <w:lvlText w:val="°"/>
      <w:lvlJc w:val="left"/>
      <w:pPr>
        <w:tabs>
          <w:tab w:val="num" w:pos="720"/>
        </w:tabs>
        <w:ind w:left="720" w:hanging="360"/>
      </w:pPr>
      <w:rPr>
        <w:rFonts w:cs="Symbol"/>
        <w:sz w:val="18"/>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3">
    <w:nsid w:val="6FEA2119"/>
    <w:multiLevelType w:val="multilevel"/>
    <w:tmpl w:val="F4B46980"/>
    <w:lvl w:ilvl="0">
      <w:start w:val="1"/>
      <w:numFmt w:val="decimal"/>
      <w:lvlText w:val="%1."/>
      <w:lvlJc w:val="left"/>
      <w:pPr>
        <w:tabs>
          <w:tab w:val="num" w:pos="720"/>
        </w:tabs>
        <w:ind w:left="720" w:hanging="360"/>
      </w:pPr>
      <w:rPr>
        <w:rFonts w:ascii="Verdana" w:hAnsi="Verdana"/>
        <w:sz w:val="16"/>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38E"/>
    <w:rsid w:val="0000670F"/>
    <w:rsid w:val="00D4538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e">
    <w:name w:val="Normal"/>
    <w:qFormat/>
    <w:rsid w:val="004A3277"/>
  </w:style>
  <w:style w:type="paragraph" w:styleId="Titolo1">
    <w:name w:val="heading 1"/>
    <w:basedOn w:val="Normale"/>
    <w:next w:val="Normale"/>
    <w:link w:val="Titolo1Carattere"/>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41CD9"/>
    <w:pPr>
      <w:tabs>
        <w:tab w:val="center" w:pos="4680"/>
        <w:tab w:val="right" w:pos="9360"/>
      </w:tabs>
    </w:pPr>
  </w:style>
  <w:style w:type="character" w:customStyle="1" w:styleId="IntestazioneCarattere">
    <w:name w:val="Intestazione Carattere"/>
    <w:basedOn w:val="Caratterepredefinitoparagrafo"/>
    <w:link w:val="Intestazione"/>
    <w:uiPriority w:val="99"/>
    <w:rsid w:val="00841CD9"/>
  </w:style>
  <w:style w:type="character" w:customStyle="1" w:styleId="Titolo1Carattere">
    <w:name w:val="Titolo 1 Carattere"/>
    <w:basedOn w:val="Caratterepredefinitoparagrafo"/>
    <w:link w:val="Titolo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atterepredefinitoparagrafo"/>
    <w:link w:val="Titolo2"/>
    <w:uiPriority w:val="9"/>
    <w:rsid w:val="00841CD9"/>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atterepredefinitoparagrafo"/>
    <w:link w:val="Titolo3"/>
    <w:uiPriority w:val="9"/>
    <w:rsid w:val="00841CD9"/>
    <w:rPr>
      <w:rFonts w:asciiTheme="majorHAnsi" w:eastAsiaTheme="majorEastAsia" w:hAnsiTheme="majorHAnsi" w:cstheme="majorBidi"/>
      <w:b/>
      <w:bCs/>
      <w:color w:val="4F81BD" w:themeColor="accent1"/>
    </w:rPr>
  </w:style>
  <w:style w:type="character" w:customStyle="1" w:styleId="Titolo4Carattere">
    <w:name w:val="Titolo 4 Carattere"/>
    <w:basedOn w:val="Caratterepredefinitoparagrafo"/>
    <w:link w:val="Titolo4"/>
    <w:uiPriority w:val="9"/>
    <w:rsid w:val="00841CD9"/>
    <w:rPr>
      <w:rFonts w:asciiTheme="majorHAnsi" w:eastAsiaTheme="majorEastAsia" w:hAnsiTheme="majorHAnsi" w:cstheme="majorBidi"/>
      <w:b/>
      <w:bCs/>
      <w:i/>
      <w:iCs/>
      <w:color w:val="4F81BD" w:themeColor="accent1"/>
    </w:rPr>
  </w:style>
  <w:style w:type="paragraph" w:styleId="Rientronormale">
    <w:name w:val="Normal Indent"/>
    <w:basedOn w:val="Normale"/>
    <w:uiPriority w:val="99"/>
    <w:unhideWhenUsed/>
    <w:rsid w:val="00841CD9"/>
    <w:pPr>
      <w:ind w:left="720"/>
    </w:pPr>
  </w:style>
  <w:style w:type="paragraph" w:styleId="Sottotitolo">
    <w:name w:val="Subtitle"/>
    <w:basedOn w:val="Normale"/>
    <w:next w:val="Normale"/>
    <w:link w:val="SottotitoloCarattere"/>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atterepredefinitoparagrafo"/>
    <w:link w:val="Sottotitolo"/>
    <w:uiPriority w:val="11"/>
    <w:rsid w:val="00841CD9"/>
    <w:rPr>
      <w:rFonts w:asciiTheme="majorHAnsi" w:eastAsiaTheme="majorEastAsia" w:hAnsiTheme="majorHAnsi" w:cstheme="majorBidi"/>
      <w:i/>
      <w:iCs/>
      <w:color w:val="4F81BD" w:themeColor="accent1"/>
      <w:spacing w:val="15"/>
      <w:sz w:val="24"/>
      <w:szCs w:val="24"/>
    </w:rPr>
  </w:style>
  <w:style w:type="paragraph" w:styleId="Titolo">
    <w:name w:val="Title"/>
    <w:basedOn w:val="Normale"/>
    <w:next w:val="Normale"/>
    <w:link w:val="TitoloCarattere"/>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atterepredefinitoparagrafo"/>
    <w:link w:val="Titolo"/>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nfasicorsivo">
    <w:name w:val="Emphasis"/>
    <w:basedOn w:val="Caratterepredefinitoparagrafo"/>
    <w:uiPriority w:val="20"/>
    <w:qFormat/>
    <w:rsid w:val="00D1197D"/>
    <w:rPr>
      <w:i/>
      <w:iCs/>
    </w:rPr>
  </w:style>
  <w:style w:type="character" w:styleId="Collegamentoipertestuale">
    <w:name w:val="Hyperlink"/>
    <w:basedOn w:val="Caratterepredefinitoparagrafo"/>
    <w:uiPriority w:val="99"/>
    <w:unhideWhenUsed/>
    <w:rPr>
      <w:color w:val="0000FF" w:themeColor="hyperlink"/>
      <w:u w:val="single"/>
    </w:rPr>
  </w:style>
  <w:style w:type="table" w:styleId="Grigliatabella">
    <w:name w:val="Table Grid"/>
    <w:basedOn w:val="Tabellanormale"/>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e">
    <w:name w:val="Normal"/>
    <w:qFormat/>
    <w:rsid w:val="004A3277"/>
  </w:style>
  <w:style w:type="paragraph" w:styleId="Titolo1">
    <w:name w:val="heading 1"/>
    <w:basedOn w:val="Normale"/>
    <w:next w:val="Normale"/>
    <w:link w:val="Titolo1Carattere"/>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41CD9"/>
    <w:pPr>
      <w:tabs>
        <w:tab w:val="center" w:pos="4680"/>
        <w:tab w:val="right" w:pos="9360"/>
      </w:tabs>
    </w:pPr>
  </w:style>
  <w:style w:type="character" w:customStyle="1" w:styleId="IntestazioneCarattere">
    <w:name w:val="Intestazione Carattere"/>
    <w:basedOn w:val="Caratterepredefinitoparagrafo"/>
    <w:link w:val="Intestazione"/>
    <w:uiPriority w:val="99"/>
    <w:rsid w:val="00841CD9"/>
  </w:style>
  <w:style w:type="character" w:customStyle="1" w:styleId="Titolo1Carattere">
    <w:name w:val="Titolo 1 Carattere"/>
    <w:basedOn w:val="Caratterepredefinitoparagrafo"/>
    <w:link w:val="Titolo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atterepredefinitoparagrafo"/>
    <w:link w:val="Titolo2"/>
    <w:uiPriority w:val="9"/>
    <w:rsid w:val="00841CD9"/>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atterepredefinitoparagrafo"/>
    <w:link w:val="Titolo3"/>
    <w:uiPriority w:val="9"/>
    <w:rsid w:val="00841CD9"/>
    <w:rPr>
      <w:rFonts w:asciiTheme="majorHAnsi" w:eastAsiaTheme="majorEastAsia" w:hAnsiTheme="majorHAnsi" w:cstheme="majorBidi"/>
      <w:b/>
      <w:bCs/>
      <w:color w:val="4F81BD" w:themeColor="accent1"/>
    </w:rPr>
  </w:style>
  <w:style w:type="character" w:customStyle="1" w:styleId="Titolo4Carattere">
    <w:name w:val="Titolo 4 Carattere"/>
    <w:basedOn w:val="Caratterepredefinitoparagrafo"/>
    <w:link w:val="Titolo4"/>
    <w:uiPriority w:val="9"/>
    <w:rsid w:val="00841CD9"/>
    <w:rPr>
      <w:rFonts w:asciiTheme="majorHAnsi" w:eastAsiaTheme="majorEastAsia" w:hAnsiTheme="majorHAnsi" w:cstheme="majorBidi"/>
      <w:b/>
      <w:bCs/>
      <w:i/>
      <w:iCs/>
      <w:color w:val="4F81BD" w:themeColor="accent1"/>
    </w:rPr>
  </w:style>
  <w:style w:type="paragraph" w:styleId="Rientronormale">
    <w:name w:val="Normal Indent"/>
    <w:basedOn w:val="Normale"/>
    <w:uiPriority w:val="99"/>
    <w:unhideWhenUsed/>
    <w:rsid w:val="00841CD9"/>
    <w:pPr>
      <w:ind w:left="720"/>
    </w:pPr>
  </w:style>
  <w:style w:type="paragraph" w:styleId="Sottotitolo">
    <w:name w:val="Subtitle"/>
    <w:basedOn w:val="Normale"/>
    <w:next w:val="Normale"/>
    <w:link w:val="SottotitoloCarattere"/>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atterepredefinitoparagrafo"/>
    <w:link w:val="Sottotitolo"/>
    <w:uiPriority w:val="11"/>
    <w:rsid w:val="00841CD9"/>
    <w:rPr>
      <w:rFonts w:asciiTheme="majorHAnsi" w:eastAsiaTheme="majorEastAsia" w:hAnsiTheme="majorHAnsi" w:cstheme="majorBidi"/>
      <w:i/>
      <w:iCs/>
      <w:color w:val="4F81BD" w:themeColor="accent1"/>
      <w:spacing w:val="15"/>
      <w:sz w:val="24"/>
      <w:szCs w:val="24"/>
    </w:rPr>
  </w:style>
  <w:style w:type="paragraph" w:styleId="Titolo">
    <w:name w:val="Title"/>
    <w:basedOn w:val="Normale"/>
    <w:next w:val="Normale"/>
    <w:link w:val="TitoloCarattere"/>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atterepredefinitoparagrafo"/>
    <w:link w:val="Titolo"/>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nfasicorsivo">
    <w:name w:val="Emphasis"/>
    <w:basedOn w:val="Caratterepredefinitoparagrafo"/>
    <w:uiPriority w:val="20"/>
    <w:qFormat/>
    <w:rsid w:val="00D1197D"/>
    <w:rPr>
      <w:i/>
      <w:iCs/>
    </w:rPr>
  </w:style>
  <w:style w:type="character" w:styleId="Collegamentoipertestuale">
    <w:name w:val="Hyperlink"/>
    <w:basedOn w:val="Caratterepredefinitoparagrafo"/>
    <w:uiPriority w:val="99"/>
    <w:unhideWhenUsed/>
    <w:rPr>
      <w:color w:val="0000FF" w:themeColor="hyperlink"/>
      <w:u w:val="single"/>
    </w:rPr>
  </w:style>
  <w:style w:type="table" w:styleId="Grigliatabella">
    <w:name w:val="Table Grid"/>
    <w:basedOn w:val="Tabellanormale"/>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2457</Words>
  <Characters>13662</Characters>
  <Application>Microsoft Macintosh Word</Application>
  <DocSecurity>0</DocSecurity>
  <Lines>223</Lines>
  <Paragraphs>141</Paragraphs>
  <ScaleCrop>false</ScaleCrop>
  <Company>università di trieste</Company>
  <LinksUpToDate>false</LinksUpToDate>
  <CharactersWithSpaces>15978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Roberta Gefter</cp:lastModifiedBy>
  <cp:revision>2</cp:revision>
  <dcterms:created xsi:type="dcterms:W3CDTF">2017-08-02T07:34:00Z</dcterms:created>
  <dcterms:modified xsi:type="dcterms:W3CDTF">2017-08-02T07:34:00Z</dcterms:modified>
</cp:coreProperties>
</file>