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A5" w:rsidRDefault="00490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“circostanze della vita”: l’uomo e la sua epoca</w:t>
      </w:r>
    </w:p>
    <w:p w:rsidR="003D5DB3" w:rsidRDefault="003D5DB3">
      <w:pPr>
        <w:rPr>
          <w:rFonts w:ascii="Times New Roman" w:hAnsi="Times New Roman" w:cs="Times New Roman"/>
          <w:sz w:val="28"/>
          <w:szCs w:val="28"/>
        </w:rPr>
      </w:pPr>
    </w:p>
    <w:p w:rsidR="004904A5" w:rsidRDefault="003D5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9755A">
        <w:rPr>
          <w:rFonts w:ascii="Times New Roman" w:eastAsia="Calibri" w:hAnsi="Times New Roman" w:cs="Times New Roman"/>
          <w:sz w:val="24"/>
          <w:szCs w:val="24"/>
        </w:rPr>
        <w:t xml:space="preserve">Ecco cosa sono i grandi uomini della storia: i loro scopi particolari racchiudono la volontà sostanziale dello Spirito </w:t>
      </w:r>
      <w:r>
        <w:rPr>
          <w:rFonts w:ascii="Times New Roman" w:hAnsi="Times New Roman" w:cs="Times New Roman"/>
          <w:sz w:val="24"/>
          <w:szCs w:val="24"/>
        </w:rPr>
        <w:t>del mondo.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58">
        <w:rPr>
          <w:rFonts w:ascii="Times New Roman" w:hAnsi="Times New Roman" w:cs="Times New Roman"/>
          <w:sz w:val="24"/>
          <w:szCs w:val="24"/>
        </w:rPr>
        <w:t>Questo valore intrin</w:t>
      </w:r>
      <w:r w:rsidR="00506408">
        <w:rPr>
          <w:rFonts w:ascii="Times New Roman" w:hAnsi="Times New Roman" w:cs="Times New Roman"/>
          <w:sz w:val="24"/>
          <w:szCs w:val="24"/>
        </w:rPr>
        <w:t>seco costituisce la loro forza</w:t>
      </w:r>
      <w:r w:rsidR="00891658">
        <w:rPr>
          <w:rFonts w:ascii="Times New Roman" w:hAnsi="Times New Roman" w:cs="Times New Roman"/>
          <w:sz w:val="24"/>
          <w:szCs w:val="24"/>
        </w:rPr>
        <w:t>”</w:t>
      </w:r>
      <w:r w:rsidR="00506408">
        <w:rPr>
          <w:rFonts w:ascii="Times New Roman" w:hAnsi="Times New Roman" w:cs="Times New Roman"/>
          <w:sz w:val="24"/>
          <w:szCs w:val="24"/>
        </w:rPr>
        <w:t xml:space="preserve">. Così recita un passo tratto dalle </w:t>
      </w:r>
      <w:r w:rsidR="00506408" w:rsidRPr="006D01AE">
        <w:rPr>
          <w:rFonts w:ascii="Times New Roman" w:hAnsi="Times New Roman" w:cs="Times New Roman"/>
          <w:i/>
          <w:sz w:val="24"/>
          <w:szCs w:val="24"/>
        </w:rPr>
        <w:t>Lezioni sulla filosofia della storia</w:t>
      </w:r>
      <w:r w:rsidR="005064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06408">
        <w:rPr>
          <w:rFonts w:ascii="Times New Roman" w:hAnsi="Times New Roman" w:cs="Times New Roman"/>
          <w:sz w:val="24"/>
          <w:szCs w:val="24"/>
        </w:rPr>
        <w:t>Hegel</w:t>
      </w:r>
      <w:proofErr w:type="spellEnd"/>
      <w:r w:rsidR="00506408">
        <w:rPr>
          <w:rFonts w:ascii="Times New Roman" w:hAnsi="Times New Roman" w:cs="Times New Roman"/>
          <w:sz w:val="24"/>
          <w:szCs w:val="24"/>
        </w:rPr>
        <w:t xml:space="preserve"> (1830). </w:t>
      </w:r>
      <w:r w:rsidR="00422BEE">
        <w:rPr>
          <w:rFonts w:ascii="Times New Roman" w:hAnsi="Times New Roman" w:cs="Times New Roman"/>
          <w:sz w:val="24"/>
          <w:szCs w:val="24"/>
        </w:rPr>
        <w:t>Quindi, secondo il filosofo, tali uomini sono grandi solo nella misura in cui sono capaci di riconoscere,</w:t>
      </w:r>
      <w:r w:rsidR="00422BEE" w:rsidRPr="00B80447">
        <w:rPr>
          <w:rFonts w:ascii="Times New Roman" w:hAnsi="Times New Roman" w:cs="Times New Roman"/>
          <w:sz w:val="24"/>
          <w:szCs w:val="24"/>
        </w:rPr>
        <w:t xml:space="preserve"> </w:t>
      </w:r>
      <w:r w:rsidR="00422BEE">
        <w:rPr>
          <w:rFonts w:ascii="Times New Roman" w:hAnsi="Times New Roman" w:cs="Times New Roman"/>
          <w:sz w:val="24"/>
          <w:szCs w:val="24"/>
        </w:rPr>
        <w:t xml:space="preserve">in maniera più decisa e più rapida rispetto agli altri, il sentiero dal passato verso il futuro tracciato da una ragione superiore, forse solo per caso o </w:t>
      </w:r>
      <w:r w:rsidR="004C1B60">
        <w:rPr>
          <w:rFonts w:ascii="Times New Roman" w:hAnsi="Times New Roman" w:cs="Times New Roman"/>
          <w:sz w:val="24"/>
          <w:szCs w:val="24"/>
        </w:rPr>
        <w:t>al di fuori di specifici interessi.</w:t>
      </w:r>
      <w:r w:rsidR="003301FC">
        <w:rPr>
          <w:rFonts w:ascii="Times New Roman" w:hAnsi="Times New Roman" w:cs="Times New Roman"/>
          <w:sz w:val="24"/>
          <w:szCs w:val="24"/>
        </w:rPr>
        <w:t xml:space="preserve"> In tali parole, quand’anche le future generazioni le interpretassero in modo del tutto diverso, si legge un rifiuto radicale dell’idea che un grande individuo</w:t>
      </w:r>
      <w:r w:rsidR="00506408">
        <w:rPr>
          <w:rFonts w:ascii="Times New Roman" w:hAnsi="Times New Roman" w:cs="Times New Roman"/>
          <w:sz w:val="24"/>
          <w:szCs w:val="24"/>
        </w:rPr>
        <w:t xml:space="preserve"> </w:t>
      </w:r>
      <w:r w:rsidR="003301FC">
        <w:rPr>
          <w:rFonts w:ascii="Times New Roman" w:hAnsi="Times New Roman" w:cs="Times New Roman"/>
          <w:sz w:val="24"/>
          <w:szCs w:val="24"/>
        </w:rPr>
        <w:t>possa cambiare il corso della storia in maniera decisiva, impedire o</w:t>
      </w:r>
      <w:r w:rsidR="00F041E7">
        <w:rPr>
          <w:rFonts w:ascii="Times New Roman" w:hAnsi="Times New Roman" w:cs="Times New Roman"/>
          <w:sz w:val="24"/>
          <w:szCs w:val="24"/>
        </w:rPr>
        <w:t xml:space="preserve"> dare una nuova direzione a</w:t>
      </w:r>
      <w:r w:rsidR="003301FC">
        <w:rPr>
          <w:rFonts w:ascii="Times New Roman" w:hAnsi="Times New Roman" w:cs="Times New Roman"/>
          <w:sz w:val="24"/>
          <w:szCs w:val="24"/>
        </w:rPr>
        <w:t xml:space="preserve"> </w:t>
      </w:r>
      <w:r w:rsidR="00955422">
        <w:rPr>
          <w:rFonts w:ascii="Times New Roman" w:hAnsi="Times New Roman" w:cs="Times New Roman"/>
          <w:sz w:val="24"/>
          <w:szCs w:val="24"/>
        </w:rPr>
        <w:t>“</w:t>
      </w:r>
      <w:r w:rsidR="003301FC">
        <w:rPr>
          <w:rFonts w:ascii="Times New Roman" w:hAnsi="Times New Roman" w:cs="Times New Roman"/>
          <w:sz w:val="24"/>
          <w:szCs w:val="24"/>
        </w:rPr>
        <w:t>quello che</w:t>
      </w:r>
      <w:r w:rsidR="00F041E7">
        <w:rPr>
          <w:rFonts w:ascii="Times New Roman" w:hAnsi="Times New Roman" w:cs="Times New Roman"/>
          <w:sz w:val="24"/>
          <w:szCs w:val="24"/>
        </w:rPr>
        <w:t xml:space="preserve"> </w:t>
      </w:r>
      <w:r w:rsidR="003F1C80">
        <w:rPr>
          <w:rFonts w:ascii="Times New Roman" w:hAnsi="Times New Roman" w:cs="Times New Roman"/>
          <w:sz w:val="24"/>
          <w:szCs w:val="24"/>
        </w:rPr>
        <w:t>è necessario</w:t>
      </w:r>
      <w:r w:rsidR="00955422">
        <w:rPr>
          <w:rFonts w:ascii="Times New Roman" w:hAnsi="Times New Roman" w:cs="Times New Roman"/>
          <w:sz w:val="24"/>
          <w:szCs w:val="24"/>
        </w:rPr>
        <w:t>,</w:t>
      </w:r>
      <w:r w:rsidR="003F1C80">
        <w:rPr>
          <w:rFonts w:ascii="Times New Roman" w:hAnsi="Times New Roman" w:cs="Times New Roman"/>
          <w:sz w:val="24"/>
          <w:szCs w:val="24"/>
        </w:rPr>
        <w:t xml:space="preserve"> il</w:t>
      </w:r>
      <w:r w:rsidR="00955422">
        <w:rPr>
          <w:rFonts w:ascii="Times New Roman" w:hAnsi="Times New Roman" w:cs="Times New Roman"/>
          <w:sz w:val="24"/>
          <w:szCs w:val="24"/>
        </w:rPr>
        <w:t xml:space="preserve"> cui accadimento è inevitabile.”</w:t>
      </w:r>
      <w:r w:rsidR="001F0679">
        <w:rPr>
          <w:rFonts w:ascii="Times New Roman" w:hAnsi="Times New Roman" w:cs="Times New Roman"/>
          <w:sz w:val="24"/>
          <w:szCs w:val="24"/>
        </w:rPr>
        <w:t xml:space="preserve"> La grandezza di un ”individuo </w:t>
      </w:r>
      <w:proofErr w:type="spellStart"/>
      <w:r w:rsidR="001F0679">
        <w:rPr>
          <w:rFonts w:ascii="Times New Roman" w:hAnsi="Times New Roman" w:cs="Times New Roman"/>
          <w:sz w:val="24"/>
          <w:szCs w:val="24"/>
        </w:rPr>
        <w:t>cosmico-storico</w:t>
      </w:r>
      <w:proofErr w:type="spellEnd"/>
      <w:r w:rsidR="001F0679">
        <w:rPr>
          <w:rFonts w:ascii="Times New Roman" w:hAnsi="Times New Roman" w:cs="Times New Roman"/>
          <w:sz w:val="24"/>
          <w:szCs w:val="24"/>
        </w:rPr>
        <w:t xml:space="preserve">” risiedeva, secondo </w:t>
      </w:r>
      <w:proofErr w:type="spellStart"/>
      <w:r w:rsidR="001F0679">
        <w:rPr>
          <w:rFonts w:ascii="Times New Roman" w:hAnsi="Times New Roman" w:cs="Times New Roman"/>
          <w:sz w:val="24"/>
          <w:szCs w:val="24"/>
        </w:rPr>
        <w:t>Hegel</w:t>
      </w:r>
      <w:proofErr w:type="spellEnd"/>
      <w:r w:rsidR="001F0679">
        <w:rPr>
          <w:rFonts w:ascii="Times New Roman" w:hAnsi="Times New Roman" w:cs="Times New Roman"/>
          <w:sz w:val="24"/>
          <w:szCs w:val="24"/>
        </w:rPr>
        <w:t xml:space="preserve">, nel diventare “incaricato d’affari in funzione di uno scopo”, “il quale costituisce un gradino sulla scala del progresso dello spirito del mondo”. </w:t>
      </w:r>
      <w:r w:rsidR="0095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79E" w:rsidRDefault="00DB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subordinazione così decisa dell’individuo, anche di quello apparentemente più grande e potente, </w:t>
      </w:r>
      <w:r w:rsidR="00FB0617">
        <w:rPr>
          <w:rFonts w:ascii="Times New Roman" w:hAnsi="Times New Roman" w:cs="Times New Roman"/>
          <w:sz w:val="24"/>
          <w:szCs w:val="24"/>
        </w:rPr>
        <w:t>a forze storiche e sovra-individuali di ordine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617">
        <w:rPr>
          <w:rFonts w:ascii="Times New Roman" w:hAnsi="Times New Roman" w:cs="Times New Roman"/>
          <w:sz w:val="24"/>
          <w:szCs w:val="24"/>
        </w:rPr>
        <w:t>e sviluppo</w:t>
      </w:r>
      <w:r w:rsidR="00660B86">
        <w:rPr>
          <w:rFonts w:ascii="Times New Roman" w:hAnsi="Times New Roman" w:cs="Times New Roman"/>
          <w:sz w:val="24"/>
          <w:szCs w:val="24"/>
        </w:rPr>
        <w:t xml:space="preserve"> non era un carattere specifico solo del</w:t>
      </w:r>
      <w:r w:rsidR="00664DCF">
        <w:rPr>
          <w:rFonts w:ascii="Times New Roman" w:hAnsi="Times New Roman" w:cs="Times New Roman"/>
          <w:sz w:val="24"/>
          <w:szCs w:val="24"/>
        </w:rPr>
        <w:t xml:space="preserve"> sistema hegeliano. Questa idea rispecchiava in toto una tendenza comune all’epoca, sebbene l’opinione popolar</w:t>
      </w:r>
      <w:r w:rsidR="00C6354E">
        <w:rPr>
          <w:rFonts w:ascii="Times New Roman" w:hAnsi="Times New Roman" w:cs="Times New Roman"/>
          <w:sz w:val="24"/>
          <w:szCs w:val="24"/>
        </w:rPr>
        <w:t>e fosse già allora discordante. Sia tra la Destra che tra la Sinistra predominava, nel circolo intellettuale, la convinzione che ordi</w:t>
      </w:r>
      <w:r w:rsidR="00660726">
        <w:rPr>
          <w:rFonts w:ascii="Times New Roman" w:hAnsi="Times New Roman" w:cs="Times New Roman"/>
          <w:sz w:val="24"/>
          <w:szCs w:val="24"/>
        </w:rPr>
        <w:t>ne e sviluppo della vita della s</w:t>
      </w:r>
      <w:r w:rsidR="00C6354E">
        <w:rPr>
          <w:rFonts w:ascii="Times New Roman" w:hAnsi="Times New Roman" w:cs="Times New Roman"/>
          <w:sz w:val="24"/>
          <w:szCs w:val="24"/>
        </w:rPr>
        <w:t>toria</w:t>
      </w:r>
      <w:r w:rsidR="00A66B60">
        <w:rPr>
          <w:rFonts w:ascii="Times New Roman" w:hAnsi="Times New Roman" w:cs="Times New Roman"/>
          <w:sz w:val="24"/>
          <w:szCs w:val="24"/>
        </w:rPr>
        <w:t xml:space="preserve"> sfugga</w:t>
      </w:r>
      <w:r w:rsidR="00660726">
        <w:rPr>
          <w:rFonts w:ascii="Times New Roman" w:hAnsi="Times New Roman" w:cs="Times New Roman"/>
          <w:sz w:val="24"/>
          <w:szCs w:val="24"/>
        </w:rPr>
        <w:t>no all’arbitrio del singolo</w:t>
      </w:r>
      <w:r w:rsidR="00E83216">
        <w:rPr>
          <w:rFonts w:ascii="Times New Roman" w:hAnsi="Times New Roman" w:cs="Times New Roman"/>
          <w:sz w:val="24"/>
          <w:szCs w:val="24"/>
        </w:rPr>
        <w:t xml:space="preserve">, che in essa agiscano forze collettive e che queste si possano riconoscere in maniera molto chiara </w:t>
      </w:r>
      <w:r w:rsidR="00654DB9">
        <w:rPr>
          <w:rFonts w:ascii="Times New Roman" w:hAnsi="Times New Roman" w:cs="Times New Roman"/>
          <w:sz w:val="24"/>
          <w:szCs w:val="24"/>
        </w:rPr>
        <w:t>nella giusta interpre</w:t>
      </w:r>
      <w:r w:rsidR="00A66B60">
        <w:rPr>
          <w:rFonts w:ascii="Times New Roman" w:hAnsi="Times New Roman" w:cs="Times New Roman"/>
          <w:sz w:val="24"/>
          <w:szCs w:val="24"/>
        </w:rPr>
        <w:t>tazione e visione della vita della storia</w:t>
      </w:r>
      <w:r w:rsidR="00564AE7">
        <w:rPr>
          <w:rFonts w:ascii="Times New Roman" w:hAnsi="Times New Roman" w:cs="Times New Roman"/>
          <w:sz w:val="24"/>
          <w:szCs w:val="24"/>
        </w:rPr>
        <w:t xml:space="preserve"> stessa. </w:t>
      </w:r>
      <w:r w:rsidR="00A72841">
        <w:rPr>
          <w:rFonts w:ascii="Times New Roman" w:hAnsi="Times New Roman" w:cs="Times New Roman"/>
          <w:sz w:val="24"/>
          <w:szCs w:val="24"/>
        </w:rPr>
        <w:t xml:space="preserve">Tutto ciò sembrava avere un senso più profondo rispetto a quanto affermato dal grande maestro. </w:t>
      </w:r>
      <w:r w:rsidR="00C72D21">
        <w:rPr>
          <w:rFonts w:ascii="Times New Roman" w:hAnsi="Times New Roman" w:cs="Times New Roman"/>
          <w:sz w:val="24"/>
          <w:szCs w:val="24"/>
        </w:rPr>
        <w:t>Era ampiamente incontestata la tesi secondo cui il possesso del passato garantisce anche quello del futuro e la giusta visione del primo rende capaci di agire nel secondo.</w:t>
      </w:r>
      <w:r w:rsidR="008D2DDB">
        <w:rPr>
          <w:rFonts w:ascii="Times New Roman" w:hAnsi="Times New Roman" w:cs="Times New Roman"/>
          <w:sz w:val="24"/>
          <w:szCs w:val="24"/>
        </w:rPr>
        <w:t xml:space="preserve"> In questo modo si spiegano sia la straordinaria importanza che i dibattiti storici avevano assunto per la vita politica a quel tempo, ovvero il decennio tra la caduta di Napoleone nel 1815 e la Rivoluzione del 1848, sia il forte bisogno di legittimazione storica dell’azione politica e dell’autorità politica.</w:t>
      </w:r>
      <w:r w:rsidR="00CD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6E" w:rsidRDefault="00CD7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rispecchiare entrambe le tendenze fu, non per caso, la prima comparsa in pubblico di un uomo che è stato, senza dubbio, un “individuo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cosmico-storico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nel senso hegeliano del termine </w:t>
      </w:r>
      <w:r w:rsidR="00166CE8">
        <w:rPr>
          <w:rFonts w:ascii="Times New Roman" w:hAnsi="Times New Roman" w:cs="Times New Roman"/>
          <w:sz w:val="24"/>
          <w:szCs w:val="24"/>
        </w:rPr>
        <w:t>e che, allo stesso tempo, a differenza dei suoi acritici ammiratori e dei suoi ammirati critici, ha conservato, per tutta</w:t>
      </w:r>
      <w:r w:rsidR="00AC2E2C">
        <w:rPr>
          <w:rFonts w:ascii="Times New Roman" w:hAnsi="Times New Roman" w:cs="Times New Roman"/>
          <w:sz w:val="24"/>
          <w:szCs w:val="24"/>
        </w:rPr>
        <w:t xml:space="preserve"> la sua vita, la coscienza</w:t>
      </w:r>
      <w:r w:rsidR="00166CE8">
        <w:rPr>
          <w:rFonts w:ascii="Times New Roman" w:hAnsi="Times New Roman" w:cs="Times New Roman"/>
          <w:sz w:val="24"/>
          <w:szCs w:val="24"/>
        </w:rPr>
        <w:t xml:space="preserve"> propria della sua</w:t>
      </w:r>
      <w:r w:rsidR="00AC2E2C">
        <w:rPr>
          <w:rFonts w:ascii="Times New Roman" w:hAnsi="Times New Roman" w:cs="Times New Roman"/>
          <w:sz w:val="24"/>
          <w:szCs w:val="24"/>
        </w:rPr>
        <w:t xml:space="preserve"> generazione nella </w:t>
      </w:r>
      <w:r w:rsidR="00166CE8">
        <w:rPr>
          <w:rFonts w:ascii="Times New Roman" w:hAnsi="Times New Roman" w:cs="Times New Roman"/>
          <w:sz w:val="24"/>
          <w:szCs w:val="24"/>
        </w:rPr>
        <w:t>limitatezza sovra-individuale</w:t>
      </w:r>
      <w:r w:rsidR="00AC2E2C">
        <w:rPr>
          <w:rFonts w:ascii="Times New Roman" w:hAnsi="Times New Roman" w:cs="Times New Roman"/>
          <w:sz w:val="24"/>
          <w:szCs w:val="24"/>
        </w:rPr>
        <w:t xml:space="preserve"> dell’azione politica e dell’agire individuale, nonostante ogni senso del potere e influenza determinante. </w:t>
      </w:r>
      <w:r w:rsidR="006A5D3E">
        <w:rPr>
          <w:rFonts w:ascii="Times New Roman" w:hAnsi="Times New Roman" w:cs="Times New Roman"/>
          <w:sz w:val="24"/>
          <w:szCs w:val="24"/>
        </w:rPr>
        <w:t>Il</w:t>
      </w:r>
      <w:r w:rsidR="004206FC">
        <w:rPr>
          <w:rFonts w:ascii="Times New Roman" w:hAnsi="Times New Roman" w:cs="Times New Roman"/>
          <w:sz w:val="24"/>
          <w:szCs w:val="24"/>
        </w:rPr>
        <w:t xml:space="preserve"> 17 maggio 1847,“il proprietario terriero Otto von </w:t>
      </w:r>
      <w:proofErr w:type="spellStart"/>
      <w:r w:rsidR="005F0D39">
        <w:rPr>
          <w:rFonts w:ascii="Times New Roman" w:hAnsi="Times New Roman" w:cs="Times New Roman"/>
          <w:sz w:val="24"/>
          <w:szCs w:val="24"/>
        </w:rPr>
        <w:t>Bismarck-</w:t>
      </w:r>
      <w:r w:rsidR="004206FC">
        <w:rPr>
          <w:rFonts w:ascii="Times New Roman" w:hAnsi="Times New Roman" w:cs="Times New Roman"/>
          <w:sz w:val="24"/>
          <w:szCs w:val="24"/>
        </w:rPr>
        <w:t>Schönhausen</w:t>
      </w:r>
      <w:proofErr w:type="spellEnd"/>
      <w:r w:rsidR="004206FC">
        <w:rPr>
          <w:rFonts w:ascii="Times New Roman" w:hAnsi="Times New Roman" w:cs="Times New Roman"/>
          <w:sz w:val="24"/>
          <w:szCs w:val="24"/>
        </w:rPr>
        <w:t xml:space="preserve">”, </w:t>
      </w:r>
      <w:r w:rsidR="006A5D3E">
        <w:rPr>
          <w:rFonts w:ascii="Times New Roman" w:hAnsi="Times New Roman" w:cs="Times New Roman"/>
          <w:sz w:val="24"/>
          <w:szCs w:val="24"/>
        </w:rPr>
        <w:t xml:space="preserve">allora trentaduenne, </w:t>
      </w:r>
      <w:r w:rsidR="004206FC">
        <w:rPr>
          <w:rFonts w:ascii="Times New Roman" w:hAnsi="Times New Roman" w:cs="Times New Roman"/>
          <w:sz w:val="24"/>
          <w:szCs w:val="24"/>
        </w:rPr>
        <w:t xml:space="preserve">appena subentrato come sostituto di un membro dell’ordine equestre di Magdeburgo, prese la parola nel </w:t>
      </w:r>
      <w:proofErr w:type="spellStart"/>
      <w:r w:rsidR="00EF0402">
        <w:rPr>
          <w:rFonts w:ascii="Times New Roman" w:hAnsi="Times New Roman" w:cs="Times New Roman"/>
          <w:i/>
          <w:sz w:val="24"/>
          <w:szCs w:val="24"/>
        </w:rPr>
        <w:t>Landtag</w:t>
      </w:r>
      <w:proofErr w:type="spellEnd"/>
      <w:r w:rsidR="00EF0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D39">
        <w:rPr>
          <w:rFonts w:ascii="Times New Roman" w:hAnsi="Times New Roman" w:cs="Times New Roman"/>
          <w:sz w:val="24"/>
          <w:szCs w:val="24"/>
        </w:rPr>
        <w:t xml:space="preserve">unito </w:t>
      </w:r>
      <w:r w:rsidR="00EF0402">
        <w:rPr>
          <w:rFonts w:ascii="Times New Roman" w:hAnsi="Times New Roman" w:cs="Times New Roman"/>
          <w:sz w:val="24"/>
          <w:szCs w:val="24"/>
        </w:rPr>
        <w:t>prussiano</w:t>
      </w:r>
      <w:r w:rsidR="005F0D39">
        <w:rPr>
          <w:rFonts w:ascii="Times New Roman" w:hAnsi="Times New Roman" w:cs="Times New Roman"/>
          <w:sz w:val="24"/>
          <w:szCs w:val="24"/>
        </w:rPr>
        <w:t xml:space="preserve"> al fine di proporre una “rettifica”</w:t>
      </w:r>
      <w:r w:rsidR="00E404E8">
        <w:rPr>
          <w:rFonts w:ascii="Times New Roman" w:hAnsi="Times New Roman" w:cs="Times New Roman"/>
          <w:sz w:val="24"/>
          <w:szCs w:val="24"/>
        </w:rPr>
        <w:t>; in tali circostanze, cercò di legittimare la propria posizione dal punto di vista storico e sovra-individuale argomentandola prontamente con piena consapevolezza.</w:t>
      </w:r>
      <w:r w:rsidR="00100E12" w:rsidRPr="00100E12">
        <w:rPr>
          <w:rFonts w:ascii="Times New Roman" w:hAnsi="Times New Roman" w:cs="Times New Roman"/>
          <w:sz w:val="24"/>
          <w:szCs w:val="24"/>
        </w:rPr>
        <w:t xml:space="preserve"> </w:t>
      </w:r>
      <w:r w:rsidR="00100E12">
        <w:rPr>
          <w:rFonts w:ascii="Times New Roman" w:hAnsi="Times New Roman" w:cs="Times New Roman"/>
          <w:sz w:val="24"/>
          <w:szCs w:val="24"/>
        </w:rPr>
        <w:t>Intervenendo di colpo nel dibattito, Bismarck</w:t>
      </w:r>
      <w:r w:rsidR="0090585F">
        <w:rPr>
          <w:rFonts w:ascii="Times New Roman" w:hAnsi="Times New Roman" w:cs="Times New Roman"/>
          <w:sz w:val="24"/>
          <w:szCs w:val="24"/>
        </w:rPr>
        <w:t xml:space="preserve"> seppe cogliere</w:t>
      </w:r>
      <w:r w:rsidR="00100E12">
        <w:rPr>
          <w:rFonts w:ascii="Times New Roman" w:hAnsi="Times New Roman" w:cs="Times New Roman"/>
          <w:sz w:val="24"/>
          <w:szCs w:val="24"/>
        </w:rPr>
        <w:t xml:space="preserve"> uno dei punti centrali</w:t>
      </w:r>
      <w:r w:rsidR="0090585F">
        <w:rPr>
          <w:rFonts w:ascii="Times New Roman" w:hAnsi="Times New Roman" w:cs="Times New Roman"/>
          <w:sz w:val="24"/>
          <w:szCs w:val="24"/>
        </w:rPr>
        <w:t xml:space="preserve"> </w:t>
      </w:r>
      <w:r w:rsidR="00113706">
        <w:rPr>
          <w:rFonts w:ascii="Times New Roman" w:hAnsi="Times New Roman" w:cs="Times New Roman"/>
          <w:sz w:val="24"/>
          <w:szCs w:val="24"/>
        </w:rPr>
        <w:t xml:space="preserve">nel grande dibattito storico-politico dell’epoca alla </w:t>
      </w:r>
      <w:r w:rsidR="00113706">
        <w:rPr>
          <w:rFonts w:ascii="Times New Roman" w:hAnsi="Times New Roman" w:cs="Times New Roman"/>
          <w:sz w:val="24"/>
          <w:szCs w:val="24"/>
        </w:rPr>
        <w:lastRenderedPageBreak/>
        <w:t xml:space="preserve">vigilia della Rivoluzione 1848 e sottolineò delle posizioni che allora quasi nessuno immaginava sarebbero state decisive per il futuro. </w:t>
      </w:r>
    </w:p>
    <w:p w:rsidR="00DB2222" w:rsidRPr="00C402E2" w:rsidRDefault="005D0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L’occasione gli venne fornita dal discorso di un membro dell’ordine equestre della Prussia orientale, tradizionalmente liberale, Ernst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Saucken-Tarputschen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8609D">
        <w:rPr>
          <w:rFonts w:ascii="Times New Roman" w:hAnsi="Times New Roman" w:cs="Times New Roman"/>
          <w:sz w:val="24"/>
          <w:szCs w:val="24"/>
        </w:rPr>
        <w:t xml:space="preserve"> Da giovane </w:t>
      </w:r>
      <w:proofErr w:type="spellStart"/>
      <w:r w:rsidR="0048609D">
        <w:rPr>
          <w:rFonts w:ascii="Times New Roman" w:hAnsi="Times New Roman" w:cs="Times New Roman"/>
          <w:sz w:val="24"/>
          <w:szCs w:val="24"/>
        </w:rPr>
        <w:t>Saucken</w:t>
      </w:r>
      <w:proofErr w:type="spellEnd"/>
      <w:r w:rsidR="0048609D">
        <w:rPr>
          <w:rFonts w:ascii="Times New Roman" w:hAnsi="Times New Roman" w:cs="Times New Roman"/>
          <w:sz w:val="24"/>
          <w:szCs w:val="24"/>
        </w:rPr>
        <w:t xml:space="preserve"> aveva combattuto nella guerra di liberazione napoleonica e allora faceva parte degli esponenti guida del liberalismo prussiano, che si stava formando anche come partito politico.</w:t>
      </w:r>
      <w:r w:rsidR="002A78DD">
        <w:rPr>
          <w:rFonts w:ascii="Times New Roman" w:hAnsi="Times New Roman" w:cs="Times New Roman"/>
          <w:sz w:val="24"/>
          <w:szCs w:val="24"/>
        </w:rPr>
        <w:t xml:space="preserve"> Come molti discorsi precedenti l’assemblea di inizio aprile 1847, convocata dal re Federico Guglielmo IV a Berlino, e composta da delegati delle singole diete provinciali, quindi di fronte a un intero parlamento, anche il discorso di </w:t>
      </w:r>
      <w:proofErr w:type="spellStart"/>
      <w:r w:rsidR="002A78DD">
        <w:rPr>
          <w:rFonts w:ascii="Times New Roman" w:hAnsi="Times New Roman" w:cs="Times New Roman"/>
          <w:sz w:val="24"/>
          <w:szCs w:val="24"/>
        </w:rPr>
        <w:t>Saucken</w:t>
      </w:r>
      <w:proofErr w:type="spellEnd"/>
      <w:r w:rsidR="002A78DD">
        <w:rPr>
          <w:rFonts w:ascii="Times New Roman" w:hAnsi="Times New Roman" w:cs="Times New Roman"/>
          <w:sz w:val="24"/>
          <w:szCs w:val="24"/>
        </w:rPr>
        <w:t xml:space="preserve"> era stato una dichiarazione di principi politica.</w:t>
      </w:r>
      <w:r w:rsidR="000C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7F">
        <w:rPr>
          <w:rFonts w:ascii="Times New Roman" w:hAnsi="Times New Roman" w:cs="Times New Roman"/>
          <w:sz w:val="24"/>
          <w:szCs w:val="24"/>
        </w:rPr>
        <w:t>Saucken</w:t>
      </w:r>
      <w:proofErr w:type="spellEnd"/>
      <w:r w:rsidR="000C4B7F">
        <w:rPr>
          <w:rFonts w:ascii="Times New Roman" w:hAnsi="Times New Roman" w:cs="Times New Roman"/>
          <w:sz w:val="24"/>
          <w:szCs w:val="24"/>
        </w:rPr>
        <w:t xml:space="preserve"> aveva deplorato la mancanza d</w:t>
      </w:r>
      <w:r w:rsidR="00C9114A">
        <w:rPr>
          <w:rFonts w:ascii="Times New Roman" w:hAnsi="Times New Roman" w:cs="Times New Roman"/>
          <w:sz w:val="24"/>
          <w:szCs w:val="24"/>
        </w:rPr>
        <w:t>i fiducia che all’epoca regnava</w:t>
      </w:r>
      <w:r w:rsidR="000C4B7F">
        <w:rPr>
          <w:rFonts w:ascii="Times New Roman" w:hAnsi="Times New Roman" w:cs="Times New Roman"/>
          <w:sz w:val="24"/>
          <w:szCs w:val="24"/>
        </w:rPr>
        <w:t xml:space="preserve"> nei rappor</w:t>
      </w:r>
      <w:r w:rsidR="00C9114A">
        <w:rPr>
          <w:rFonts w:ascii="Times New Roman" w:hAnsi="Times New Roman" w:cs="Times New Roman"/>
          <w:sz w:val="24"/>
          <w:szCs w:val="24"/>
        </w:rPr>
        <w:t xml:space="preserve">ti tra popolo e governo e, in tale circostanza, aveva fatto riferimento a quanto era stata diversa la situazione </w:t>
      </w:r>
      <w:r w:rsidR="000C4B7F">
        <w:rPr>
          <w:rFonts w:ascii="Times New Roman" w:hAnsi="Times New Roman" w:cs="Times New Roman"/>
          <w:sz w:val="24"/>
          <w:szCs w:val="24"/>
        </w:rPr>
        <w:t xml:space="preserve">nell’epoca delle grandi riforme interne </w:t>
      </w:r>
      <w:r w:rsidR="00994134">
        <w:rPr>
          <w:rFonts w:ascii="Times New Roman" w:hAnsi="Times New Roman" w:cs="Times New Roman"/>
          <w:sz w:val="24"/>
          <w:szCs w:val="24"/>
        </w:rPr>
        <w:t xml:space="preserve">tra il 1806 e il 1814, la quale era </w:t>
      </w:r>
      <w:r w:rsidR="000C4B7F">
        <w:rPr>
          <w:rFonts w:ascii="Times New Roman" w:hAnsi="Times New Roman" w:cs="Times New Roman"/>
          <w:sz w:val="24"/>
          <w:szCs w:val="24"/>
        </w:rPr>
        <w:t>visibilmente culminata nella guerra di liberazione</w:t>
      </w:r>
      <w:r w:rsidR="00994134">
        <w:rPr>
          <w:rFonts w:ascii="Times New Roman" w:hAnsi="Times New Roman" w:cs="Times New Roman"/>
          <w:sz w:val="24"/>
          <w:szCs w:val="24"/>
        </w:rPr>
        <w:t xml:space="preserve"> napoleonica combattuta insieme fino alla fine.</w:t>
      </w:r>
      <w:r w:rsidR="00063A96">
        <w:rPr>
          <w:rFonts w:ascii="Times New Roman" w:hAnsi="Times New Roman" w:cs="Times New Roman"/>
          <w:sz w:val="24"/>
          <w:szCs w:val="24"/>
        </w:rPr>
        <w:t xml:space="preserve"> Da tali parole emerse l’idea che solo attraverso le riforme interne e le aspettative di liberazione da queste alimentate, il popolo era stato messo nella condizione di identificare </w:t>
      </w:r>
      <w:r w:rsidR="006B3EE3">
        <w:rPr>
          <w:rFonts w:ascii="Times New Roman" w:hAnsi="Times New Roman" w:cs="Times New Roman"/>
          <w:sz w:val="24"/>
          <w:szCs w:val="24"/>
        </w:rPr>
        <w:t xml:space="preserve">la servitù </w:t>
      </w:r>
      <w:r w:rsidR="005274F9">
        <w:rPr>
          <w:rFonts w:ascii="Times New Roman" w:hAnsi="Times New Roman" w:cs="Times New Roman"/>
          <w:sz w:val="24"/>
          <w:szCs w:val="24"/>
        </w:rPr>
        <w:t xml:space="preserve">nei confronti dello straniero, ovvero </w:t>
      </w:r>
      <w:r w:rsidR="006B3EE3">
        <w:rPr>
          <w:rFonts w:ascii="Times New Roman" w:hAnsi="Times New Roman" w:cs="Times New Roman"/>
          <w:sz w:val="24"/>
          <w:szCs w:val="24"/>
        </w:rPr>
        <w:t xml:space="preserve">il dominio straniero </w:t>
      </w:r>
      <w:r w:rsidR="006B3EE3" w:rsidRPr="00C402E2">
        <w:rPr>
          <w:rFonts w:ascii="Times New Roman" w:hAnsi="Times New Roman" w:cs="Times New Roman"/>
          <w:sz w:val="24"/>
          <w:szCs w:val="24"/>
        </w:rPr>
        <w:t>francese come tali.</w:t>
      </w:r>
    </w:p>
    <w:p w:rsidR="00C402E2" w:rsidRPr="00C402E2" w:rsidRDefault="002E028B" w:rsidP="00C4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E2">
        <w:rPr>
          <w:rFonts w:ascii="Times New Roman" w:hAnsi="Times New Roman" w:cs="Times New Roman"/>
          <w:sz w:val="24"/>
          <w:szCs w:val="24"/>
        </w:rPr>
        <w:t xml:space="preserve">Tale opinione non era condivisa solo all’interno della storiografia liberale dell’epoca. Era fondamento della convinzione liberale che, in futuro, la potenza e la grandezza di uno Stato all’estero </w:t>
      </w:r>
      <w:r w:rsidR="00C12E0F" w:rsidRPr="00C402E2">
        <w:rPr>
          <w:rFonts w:ascii="Times New Roman" w:hAnsi="Times New Roman" w:cs="Times New Roman"/>
          <w:sz w:val="24"/>
          <w:szCs w:val="24"/>
        </w:rPr>
        <w:t>e il grado di libertà all’interno dello</w:t>
      </w:r>
      <w:r w:rsidRPr="00C402E2">
        <w:rPr>
          <w:rFonts w:ascii="Times New Roman" w:hAnsi="Times New Roman" w:cs="Times New Roman"/>
          <w:sz w:val="24"/>
          <w:szCs w:val="24"/>
        </w:rPr>
        <w:t xml:space="preserve"> stesso sa</w:t>
      </w:r>
      <w:r w:rsidR="00C12E0F" w:rsidRPr="00C402E2">
        <w:rPr>
          <w:rFonts w:ascii="Times New Roman" w:hAnsi="Times New Roman" w:cs="Times New Roman"/>
          <w:sz w:val="24"/>
          <w:szCs w:val="24"/>
        </w:rPr>
        <w:t xml:space="preserve">rebbero state indissolubilmente </w:t>
      </w:r>
      <w:r w:rsidRPr="00C402E2">
        <w:rPr>
          <w:rFonts w:ascii="Times New Roman" w:hAnsi="Times New Roman" w:cs="Times New Roman"/>
          <w:sz w:val="24"/>
          <w:szCs w:val="24"/>
        </w:rPr>
        <w:t>correlate.</w:t>
      </w:r>
      <w:r w:rsidR="00C402E2" w:rsidRPr="00C402E2">
        <w:rPr>
          <w:rFonts w:ascii="Times New Roman" w:hAnsi="Times New Roman" w:cs="Times New Roman"/>
          <w:sz w:val="24"/>
          <w:szCs w:val="24"/>
        </w:rPr>
        <w:t xml:space="preserve"> È pur vero che si era indotti a pensare che, sotto il governo in carica fino ad allora e sotto la costante influenza di quelle che erano le classi dirigenti dello Stato fino a quel momento, un secondo crollo della Prussia, interno ed esterno, simile a quello del 1806 sarebbe stato inevitabile.</w:t>
      </w:r>
    </w:p>
    <w:p w:rsidR="00C402E2" w:rsidRDefault="00C402E2" w:rsidP="00C402E2"/>
    <w:p w:rsidR="002E028B" w:rsidRPr="004904A5" w:rsidRDefault="00C1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28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E028B" w:rsidRPr="004904A5" w:rsidSect="00712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4A" w:rsidRDefault="00D80E4A" w:rsidP="003D5DB3">
      <w:pPr>
        <w:spacing w:after="0" w:line="240" w:lineRule="auto"/>
      </w:pPr>
      <w:r>
        <w:separator/>
      </w:r>
    </w:p>
  </w:endnote>
  <w:endnote w:type="continuationSeparator" w:id="0">
    <w:p w:rsidR="00D80E4A" w:rsidRDefault="00D80E4A" w:rsidP="003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4A" w:rsidRDefault="00D80E4A" w:rsidP="003D5DB3">
      <w:pPr>
        <w:spacing w:after="0" w:line="240" w:lineRule="auto"/>
      </w:pPr>
      <w:r>
        <w:separator/>
      </w:r>
    </w:p>
  </w:footnote>
  <w:footnote w:type="continuationSeparator" w:id="0">
    <w:p w:rsidR="00D80E4A" w:rsidRDefault="00D80E4A" w:rsidP="003D5DB3">
      <w:pPr>
        <w:spacing w:after="0" w:line="240" w:lineRule="auto"/>
      </w:pPr>
      <w:r>
        <w:continuationSeparator/>
      </w:r>
    </w:p>
  </w:footnote>
  <w:footnote w:id="1">
    <w:p w:rsidR="003D5DB3" w:rsidRDefault="003D5DB3">
      <w:pPr>
        <w:pStyle w:val="Testonotaapidipagina"/>
      </w:pPr>
      <w:r>
        <w:rPr>
          <w:rStyle w:val="Rimandonotaapidipagina"/>
        </w:rPr>
        <w:footnoteRef/>
      </w:r>
      <w:r>
        <w:t xml:space="preserve">Fonte della traduzione: </w:t>
      </w:r>
      <w:hyperlink r:id="rId1" w:anchor="v=onepage&amp;q=Hegel%20i%20grandi%20uomini%20nella%20storia&amp;f=false" w:history="1">
        <w:r w:rsidRPr="007B01DF">
          <w:rPr>
            <w:rStyle w:val="Collegamentoipertestuale"/>
          </w:rPr>
          <w:t>https://books.google.it/books?id=MZWODAAAQBAJ&amp;pg=PT19&amp;lpg=PT19&amp;dq=Hegel+i+grandi+uomini+nella+storia&amp;source=bl&amp;ots=a60hmtnGB1&amp;sig=cUC2RhfHbd5T3cunLuMu_48vzuo&amp;hl=it&amp;sa=X#v=onepage&amp;q=Hegel%20i%20grandi%20uomini%20nella%20storia&amp;f=false</w:t>
        </w:r>
      </w:hyperlink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23"/>
    <w:rsid w:val="00012F46"/>
    <w:rsid w:val="00063A96"/>
    <w:rsid w:val="000C4B7F"/>
    <w:rsid w:val="00100E12"/>
    <w:rsid w:val="00113706"/>
    <w:rsid w:val="00166CE8"/>
    <w:rsid w:val="001F0679"/>
    <w:rsid w:val="00207BDB"/>
    <w:rsid w:val="0025664C"/>
    <w:rsid w:val="002A78DD"/>
    <w:rsid w:val="002E028B"/>
    <w:rsid w:val="003301FC"/>
    <w:rsid w:val="003D5DB3"/>
    <w:rsid w:val="003F1C80"/>
    <w:rsid w:val="004206FC"/>
    <w:rsid w:val="00422BEE"/>
    <w:rsid w:val="00431328"/>
    <w:rsid w:val="0048609D"/>
    <w:rsid w:val="004904A5"/>
    <w:rsid w:val="004C1B60"/>
    <w:rsid w:val="00500E0C"/>
    <w:rsid w:val="00506408"/>
    <w:rsid w:val="005274F9"/>
    <w:rsid w:val="00563794"/>
    <w:rsid w:val="00564AE7"/>
    <w:rsid w:val="00590423"/>
    <w:rsid w:val="005C0914"/>
    <w:rsid w:val="005D016E"/>
    <w:rsid w:val="005F0D39"/>
    <w:rsid w:val="00610CD5"/>
    <w:rsid w:val="00654DB9"/>
    <w:rsid w:val="00660726"/>
    <w:rsid w:val="00660B86"/>
    <w:rsid w:val="00664DCF"/>
    <w:rsid w:val="00665013"/>
    <w:rsid w:val="00697C82"/>
    <w:rsid w:val="006A5D3E"/>
    <w:rsid w:val="006B3EE3"/>
    <w:rsid w:val="007123C9"/>
    <w:rsid w:val="00762E02"/>
    <w:rsid w:val="00891658"/>
    <w:rsid w:val="008D2DDB"/>
    <w:rsid w:val="0090585F"/>
    <w:rsid w:val="00955422"/>
    <w:rsid w:val="00994134"/>
    <w:rsid w:val="009A002C"/>
    <w:rsid w:val="009A0767"/>
    <w:rsid w:val="00A66B60"/>
    <w:rsid w:val="00A72841"/>
    <w:rsid w:val="00AC2E2C"/>
    <w:rsid w:val="00BE1EC2"/>
    <w:rsid w:val="00C12E0F"/>
    <w:rsid w:val="00C402E2"/>
    <w:rsid w:val="00C6351D"/>
    <w:rsid w:val="00C6354E"/>
    <w:rsid w:val="00C72D21"/>
    <w:rsid w:val="00C9114A"/>
    <w:rsid w:val="00CD779E"/>
    <w:rsid w:val="00CF2B30"/>
    <w:rsid w:val="00D80E4A"/>
    <w:rsid w:val="00DB2222"/>
    <w:rsid w:val="00E044B9"/>
    <w:rsid w:val="00E404E8"/>
    <w:rsid w:val="00E83216"/>
    <w:rsid w:val="00EF0402"/>
    <w:rsid w:val="00F01D85"/>
    <w:rsid w:val="00F041E7"/>
    <w:rsid w:val="00F07D89"/>
    <w:rsid w:val="00FB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5D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5D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5DB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D5DB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22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2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2BE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ooks.google.it/books?id=MZWODAAAQBAJ&amp;pg=PT19&amp;lpg=PT19&amp;dq=Hegel+i+grandi+uomini+nella+storia&amp;source=bl&amp;ots=a60hmtnGB1&amp;sig=cUC2RhfHbd5T3cunLuMu_48vzuo&amp;hl=it&amp;sa=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53C0-4A05-4112-B232-356E57D7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57</cp:revision>
  <dcterms:created xsi:type="dcterms:W3CDTF">2017-11-04T15:46:00Z</dcterms:created>
  <dcterms:modified xsi:type="dcterms:W3CDTF">2017-11-10T21:08:00Z</dcterms:modified>
</cp:coreProperties>
</file>