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47" w:rsidRDefault="00167747" w:rsidP="00F3270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COMPLESSIT</w:t>
      </w:r>
      <w:r>
        <w:rPr>
          <w:rFonts w:ascii="Times New Roman" w:hAnsi="Times New Roman" w:cs="Times New Roman"/>
          <w:sz w:val="32"/>
          <w:szCs w:val="32"/>
        </w:rPr>
        <w:t>À</w:t>
      </w:r>
    </w:p>
    <w:p w:rsidR="00EE0341" w:rsidRPr="00167747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167747">
        <w:rPr>
          <w:rFonts w:ascii="Times New Roman" w:hAnsi="Times New Roman"/>
          <w:sz w:val="32"/>
          <w:szCs w:val="32"/>
        </w:rPr>
        <w:t>art. 905</w:t>
      </w:r>
      <w:r w:rsidRPr="00167747">
        <w:rPr>
          <w:rFonts w:ascii="Times New Roman" w:hAnsi="Times New Roman"/>
          <w:sz w:val="32"/>
          <w:szCs w:val="32"/>
          <w:vertAlign w:val="superscript"/>
        </w:rPr>
        <w:t>1</w:t>
      </w:r>
      <w:r w:rsidRPr="00167747">
        <w:rPr>
          <w:rFonts w:ascii="Times New Roman" w:hAnsi="Times New Roman"/>
          <w:sz w:val="32"/>
          <w:szCs w:val="32"/>
        </w:rPr>
        <w:t xml:space="preserve"> c.c.: «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 xml:space="preserve">Non si possono aprire vedute dirette verso il fondo chiuso o non chiuso e neppure sopra il tetto del vicino, se tra il fondo di questo e la faccia esteriore del muro in cui si aprono le vedute dirette non vi è la </w:t>
      </w:r>
      <w:r w:rsidRPr="00167747">
        <w:rPr>
          <w:rFonts w:ascii="Times New Roman" w:hAnsi="Times New Roman"/>
          <w:b/>
          <w:sz w:val="32"/>
          <w:szCs w:val="32"/>
          <w:shd w:val="clear" w:color="auto" w:fill="FFFFFF"/>
        </w:rPr>
        <w:t>distanza di un metro e mezzo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»</w:t>
      </w:r>
    </w:p>
    <w:p w:rsidR="00F32709" w:rsidRPr="00167747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167747">
        <w:rPr>
          <w:rFonts w:ascii="Times New Roman" w:hAnsi="Times New Roman"/>
          <w:sz w:val="32"/>
          <w:szCs w:val="32"/>
          <w:shd w:val="clear" w:color="auto" w:fill="FFFFFF"/>
        </w:rPr>
        <w:t xml:space="preserve">art. 873 c.c.: «Le costruzioni su fondi finitimi, se non sono unite o aderenti, devono essere tenute a distanza non minore di tre metri. </w:t>
      </w:r>
      <w:r w:rsidRPr="00167747">
        <w:rPr>
          <w:rFonts w:ascii="Times New Roman" w:hAnsi="Times New Roman"/>
          <w:b/>
          <w:sz w:val="32"/>
          <w:szCs w:val="32"/>
          <w:shd w:val="clear" w:color="auto" w:fill="FFFFFF"/>
        </w:rPr>
        <w:t>Nei regolamenti locali può essere stabilita una distanza maggiore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»</w:t>
      </w:r>
    </w:p>
    <w:p w:rsidR="00F32709" w:rsidRPr="00167747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“</w:t>
      </w:r>
      <w:proofErr w:type="gramStart"/>
      <w:r w:rsidRPr="00167747">
        <w:rPr>
          <w:rFonts w:ascii="Times New Roman" w:hAnsi="Times New Roman"/>
          <w:sz w:val="32"/>
          <w:szCs w:val="32"/>
          <w:shd w:val="clear" w:color="auto" w:fill="FFFFFF"/>
        </w:rPr>
        <w:t>un</w:t>
      </w:r>
      <w:proofErr w:type="gramEnd"/>
      <w:r w:rsidRPr="00167747">
        <w:rPr>
          <w:rFonts w:ascii="Times New Roman" w:hAnsi="Times New Roman"/>
          <w:sz w:val="32"/>
          <w:szCs w:val="32"/>
          <w:shd w:val="clear" w:color="auto" w:fill="FFFFFF"/>
        </w:rPr>
        <w:t xml:space="preserve"> metro e mezzo” può significare “un metro e mezzo” oppure “metà della distanza prevista dall’art. 873 c.c.”: e quindi, posta la possibilità di deroghe da parte dei regolamenti locali, una lunghezza diversa.</w:t>
      </w:r>
    </w:p>
    <w:p w:rsidR="00F32709" w:rsidRPr="00167747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F32709" w:rsidRPr="00167747" w:rsidRDefault="00167747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AMBIGUIT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À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PARZIALE</w:t>
      </w:r>
    </w:p>
    <w:p w:rsidR="00F32709" w:rsidRDefault="00167747" w:rsidP="00F32709">
      <w:pPr>
        <w:jc w:val="both"/>
        <w:rPr>
          <w:rFonts w:ascii="Times New Roman" w:hAnsi="Times New Roman"/>
          <w:sz w:val="32"/>
          <w:szCs w:val="32"/>
        </w:rPr>
      </w:pPr>
      <w:proofErr w:type="gramStart"/>
      <w:r w:rsidRPr="00167747">
        <w:rPr>
          <w:rFonts w:ascii="Times New Roman" w:hAnsi="Times New Roman"/>
          <w:sz w:val="32"/>
          <w:szCs w:val="32"/>
        </w:rPr>
        <w:t>non</w:t>
      </w:r>
      <w:proofErr w:type="gramEnd"/>
      <w:r w:rsidRPr="00167747">
        <w:rPr>
          <w:rFonts w:ascii="Times New Roman" w:hAnsi="Times New Roman"/>
          <w:sz w:val="32"/>
          <w:szCs w:val="32"/>
        </w:rPr>
        <w:t xml:space="preserve"> si dubita </w:t>
      </w:r>
      <w:r w:rsidRPr="00167747">
        <w:rPr>
          <w:rFonts w:ascii="Times New Roman" w:hAnsi="Times New Roman"/>
          <w:sz w:val="32"/>
          <w:szCs w:val="32"/>
        </w:rPr>
        <w:t>che, in base all’art. 75</w:t>
      </w:r>
      <w:r w:rsidRPr="00167747">
        <w:rPr>
          <w:rFonts w:ascii="Times New Roman" w:hAnsi="Times New Roman"/>
          <w:sz w:val="32"/>
          <w:szCs w:val="32"/>
          <w:vertAlign w:val="superscript"/>
        </w:rPr>
        <w:t>2</w:t>
      </w:r>
      <w:r w:rsidRPr="0016774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67747">
        <w:rPr>
          <w:rFonts w:ascii="Times New Roman" w:hAnsi="Times New Roman"/>
          <w:sz w:val="32"/>
          <w:szCs w:val="32"/>
        </w:rPr>
        <w:t>Cost</w:t>
      </w:r>
      <w:proofErr w:type="spellEnd"/>
      <w:r w:rsidRPr="00167747">
        <w:rPr>
          <w:rFonts w:ascii="Times New Roman" w:hAnsi="Times New Roman"/>
          <w:sz w:val="32"/>
          <w:szCs w:val="32"/>
        </w:rPr>
        <w:t xml:space="preserve">.( </w:t>
      </w:r>
      <w:r w:rsidRPr="00167747">
        <w:rPr>
          <w:rFonts w:ascii="Times New Roman" w:hAnsi="Times New Roman"/>
          <w:sz w:val="32"/>
          <w:szCs w:val="32"/>
        </w:rPr>
        <w:t>«Non è ammesso il referendum per le leggi tributarie e di bilancio, di amnistia e di indulto, di autorizzazione a ratificare trattati internazionali»), il referendum abrogativo sia precluso per le leggi di bilancio, ma si dubita che esso sia precluso anche per la legge finanziaria</w:t>
      </w:r>
      <w:bookmarkStart w:id="0" w:name="_GoBack"/>
      <w:bookmarkEnd w:id="0"/>
    </w:p>
    <w:p w:rsidR="00167747" w:rsidRPr="00167747" w:rsidRDefault="00167747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proofErr w:type="gramStart"/>
      <w:r w:rsidRPr="00167747">
        <w:rPr>
          <w:rFonts w:ascii="Times New Roman" w:hAnsi="Times New Roman"/>
          <w:sz w:val="32"/>
          <w:szCs w:val="32"/>
        </w:rPr>
        <w:t>non</w:t>
      </w:r>
      <w:proofErr w:type="gramEnd"/>
      <w:r w:rsidRPr="00167747">
        <w:rPr>
          <w:rFonts w:ascii="Times New Roman" w:hAnsi="Times New Roman"/>
          <w:sz w:val="32"/>
          <w:szCs w:val="32"/>
        </w:rPr>
        <w:t xml:space="preserve"> si dubita che il combinato disposto dei commi 2 e 5 dell’art. 94 </w:t>
      </w:r>
      <w:proofErr w:type="spellStart"/>
      <w:r w:rsidRPr="00167747">
        <w:rPr>
          <w:rFonts w:ascii="Times New Roman" w:hAnsi="Times New Roman"/>
          <w:sz w:val="32"/>
          <w:szCs w:val="32"/>
        </w:rPr>
        <w:t>Cost</w:t>
      </w:r>
      <w:proofErr w:type="spellEnd"/>
      <w:r w:rsidRPr="00167747">
        <w:rPr>
          <w:rFonts w:ascii="Times New Roman" w:hAnsi="Times New Roman"/>
          <w:sz w:val="32"/>
          <w:szCs w:val="32"/>
        </w:rPr>
        <w:t>. («Ciascuna Camera accorda o revoca la fiducia mediante mozione motivata e votata per appello nominale»; «La mozione di sfiducia deve essere firmata da almeno un decimo dei componenti della Camera e non può essere messa in discussione prima di tre giorni dalla sua presentazione») attribuisca a ciascuna Camera il potere di votare la sfiducia al Governo, ma è dubbio che tali disposizioni conferiscano anche il potere di votare la sfiducia a un singolo ministro</w:t>
      </w:r>
    </w:p>
    <w:p w:rsidR="00F32709" w:rsidRPr="00723B7C" w:rsidRDefault="00723B7C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proofErr w:type="gramStart"/>
      <w:r w:rsidRPr="00723B7C">
        <w:rPr>
          <w:rFonts w:ascii="Times New Roman" w:hAnsi="Times New Roman"/>
          <w:sz w:val="32"/>
          <w:szCs w:val="32"/>
        </w:rPr>
        <w:t>non</w:t>
      </w:r>
      <w:proofErr w:type="gramEnd"/>
      <w:r w:rsidRPr="00723B7C">
        <w:rPr>
          <w:rFonts w:ascii="Times New Roman" w:hAnsi="Times New Roman"/>
          <w:sz w:val="32"/>
          <w:szCs w:val="32"/>
        </w:rPr>
        <w:t xml:space="preserve"> si dubita che, ex art. 87</w:t>
      </w:r>
      <w:r w:rsidRPr="00723B7C">
        <w:rPr>
          <w:rFonts w:ascii="Times New Roman" w:hAnsi="Times New Roman"/>
          <w:sz w:val="32"/>
          <w:szCs w:val="32"/>
          <w:vertAlign w:val="superscript"/>
        </w:rPr>
        <w:t>11</w:t>
      </w:r>
      <w:r w:rsidRPr="00723B7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23B7C">
        <w:rPr>
          <w:rFonts w:ascii="Times New Roman" w:hAnsi="Times New Roman"/>
          <w:sz w:val="32"/>
          <w:szCs w:val="32"/>
        </w:rPr>
        <w:t>Cost</w:t>
      </w:r>
      <w:proofErr w:type="spellEnd"/>
      <w:r w:rsidRPr="00723B7C">
        <w:rPr>
          <w:rFonts w:ascii="Times New Roman" w:hAnsi="Times New Roman"/>
          <w:sz w:val="32"/>
          <w:szCs w:val="32"/>
        </w:rPr>
        <w:t>. («[Il Presidente della Repubblica] Può concedere grazia e commutare le pene»), il Presidente della Repubblica sia titolare del potere di grazia, ma si dubita che per tale provvedimento (in modo simile alla nomina dei senatori a vita) costituisca atto dovuto la controfirma ministeriale ex art. 89</w:t>
      </w:r>
      <w:r w:rsidRPr="00723B7C">
        <w:rPr>
          <w:rFonts w:ascii="Times New Roman" w:hAnsi="Times New Roman"/>
          <w:sz w:val="32"/>
          <w:szCs w:val="32"/>
          <w:vertAlign w:val="superscript"/>
        </w:rPr>
        <w:t>1</w:t>
      </w:r>
      <w:r w:rsidRPr="00723B7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23B7C">
        <w:rPr>
          <w:rFonts w:ascii="Times New Roman" w:hAnsi="Times New Roman"/>
          <w:sz w:val="32"/>
          <w:szCs w:val="32"/>
        </w:rPr>
        <w:t>Cost</w:t>
      </w:r>
      <w:proofErr w:type="spellEnd"/>
      <w:r w:rsidRPr="00723B7C">
        <w:rPr>
          <w:rFonts w:ascii="Times New Roman" w:hAnsi="Times New Roman"/>
          <w:sz w:val="32"/>
          <w:szCs w:val="32"/>
        </w:rPr>
        <w:t xml:space="preserve">. («Nessun atto del Presidente della </w:t>
      </w:r>
      <w:r w:rsidRPr="00723B7C">
        <w:rPr>
          <w:rFonts w:ascii="Times New Roman" w:hAnsi="Times New Roman"/>
          <w:sz w:val="32"/>
          <w:szCs w:val="32"/>
        </w:rPr>
        <w:lastRenderedPageBreak/>
        <w:t>Repubblica è valido se non è controfirmato dai ministri proponenti, che ne assumono la responsabilità»</w:t>
      </w:r>
    </w:p>
    <w:p w:rsidR="00F32709" w:rsidRPr="00167747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F32709" w:rsidRPr="00167747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VAGHEZZA:</w:t>
      </w:r>
    </w:p>
    <w:p w:rsidR="00F32709" w:rsidRPr="00167747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proofErr w:type="gramStart"/>
      <w:r w:rsidRPr="00167747">
        <w:rPr>
          <w:rFonts w:ascii="Times New Roman" w:hAnsi="Times New Roman"/>
          <w:b/>
          <w:sz w:val="32"/>
          <w:szCs w:val="32"/>
          <w:shd w:val="clear" w:color="auto" w:fill="FFFFFF"/>
        </w:rPr>
        <w:t>impresa</w:t>
      </w:r>
      <w:proofErr w:type="gramEnd"/>
      <w:r w:rsidRPr="0016774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agricola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: sì coltivazione di piante su fondi; no industria metallurgica; ? coltivazione di piante in condizioni artificiali</w:t>
      </w:r>
    </w:p>
    <w:p w:rsidR="00F32709" w:rsidRDefault="00F32709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proofErr w:type="gramStart"/>
      <w:r w:rsidRPr="00167747">
        <w:rPr>
          <w:rFonts w:ascii="Times New Roman" w:hAnsi="Times New Roman"/>
          <w:b/>
          <w:sz w:val="32"/>
          <w:szCs w:val="32"/>
          <w:shd w:val="clear" w:color="auto" w:fill="FFFFFF"/>
        </w:rPr>
        <w:t>abitazione</w:t>
      </w:r>
      <w:proofErr w:type="gramEnd"/>
      <w:r w:rsidRPr="00167747">
        <w:rPr>
          <w:rFonts w:ascii="Times New Roman" w:hAnsi="Times New Roman"/>
          <w:sz w:val="32"/>
          <w:szCs w:val="32"/>
          <w:shd w:val="clear" w:color="auto" w:fill="FFFFFF"/>
        </w:rPr>
        <w:t>: sì appartamenti o case dove un soggetto abita; no strada, parco, luogo di lavoro dipendente; ? cantina, autorimessa, cortile</w:t>
      </w:r>
    </w:p>
    <w:p w:rsidR="00167747" w:rsidRPr="00167747" w:rsidRDefault="00167747" w:rsidP="00F32709">
      <w:pPr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proofErr w:type="gramStart"/>
      <w:r w:rsidRPr="00167747">
        <w:rPr>
          <w:rFonts w:ascii="Times New Roman" w:hAnsi="Times New Roman"/>
          <w:b/>
          <w:sz w:val="32"/>
          <w:szCs w:val="32"/>
          <w:shd w:val="clear" w:color="auto" w:fill="FFFFFF"/>
        </w:rPr>
        <w:t>trattamento</w:t>
      </w:r>
      <w:proofErr w:type="gramEnd"/>
      <w:r w:rsidRPr="0016774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sanitario</w:t>
      </w:r>
      <w:r>
        <w:rPr>
          <w:rFonts w:ascii="Times New Roman" w:hAnsi="Times New Roman"/>
          <w:sz w:val="32"/>
          <w:szCs w:val="32"/>
          <w:shd w:val="clear" w:color="auto" w:fill="FFFFFF"/>
        </w:rPr>
        <w:t>: somministrazione di flebo di antibiotici; no omaggio di profilattici; ? nutrizione forzata</w:t>
      </w:r>
    </w:p>
    <w:p w:rsidR="00F32709" w:rsidRPr="00167747" w:rsidRDefault="00167747" w:rsidP="00F32709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67747">
        <w:rPr>
          <w:rFonts w:ascii="Times New Roman" w:hAnsi="Times New Roman"/>
          <w:sz w:val="32"/>
          <w:szCs w:val="32"/>
          <w:shd w:val="clear" w:color="auto" w:fill="FFFFFF"/>
        </w:rPr>
        <w:t xml:space="preserve">art. 2053 c.c.: 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«</w:t>
      </w:r>
      <w:r w:rsidRPr="00167747">
        <w:rPr>
          <w:rFonts w:ascii="Times New Roman" w:hAnsi="Times New Roman" w:cs="Times New Roman"/>
          <w:color w:val="0C0C0F"/>
          <w:sz w:val="32"/>
          <w:szCs w:val="32"/>
          <w:shd w:val="clear" w:color="auto" w:fill="FFFFFF"/>
        </w:rPr>
        <w:t xml:space="preserve">Il proprietario di un edificio o di altra costruzione è responsabile dei danni cagionati dalla loro </w:t>
      </w:r>
      <w:r w:rsidRPr="00167747">
        <w:rPr>
          <w:rFonts w:ascii="Times New Roman" w:hAnsi="Times New Roman" w:cs="Times New Roman"/>
          <w:b/>
          <w:color w:val="0C0C0F"/>
          <w:sz w:val="32"/>
          <w:szCs w:val="32"/>
          <w:shd w:val="clear" w:color="auto" w:fill="FFFFFF"/>
        </w:rPr>
        <w:t>rovina</w:t>
      </w:r>
      <w:r w:rsidRPr="00167747">
        <w:rPr>
          <w:rFonts w:ascii="Times New Roman" w:hAnsi="Times New Roman" w:cs="Times New Roman"/>
          <w:color w:val="0C0C0F"/>
          <w:sz w:val="32"/>
          <w:szCs w:val="32"/>
          <w:shd w:val="clear" w:color="auto" w:fill="FFFFFF"/>
        </w:rPr>
        <w:t>, salvo che provi che questa non è dovuta a difetto di manutenzione o a vizio di costruzione</w:t>
      </w:r>
      <w:r w:rsidRPr="00167747">
        <w:rPr>
          <w:rFonts w:ascii="Times New Roman" w:hAnsi="Times New Roman"/>
          <w:sz w:val="32"/>
          <w:szCs w:val="32"/>
          <w:shd w:val="clear" w:color="auto" w:fill="FFFFFF"/>
        </w:rPr>
        <w:t>»</w:t>
      </w:r>
      <w:r w:rsidRPr="00167747">
        <w:rPr>
          <w:rFonts w:ascii="Times New Roman" w:hAnsi="Times New Roman" w:cs="Times New Roman"/>
          <w:color w:val="0C0C0F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C0C0F"/>
          <w:sz w:val="32"/>
          <w:szCs w:val="32"/>
          <w:shd w:val="clear" w:color="auto" w:fill="FFFFFF"/>
        </w:rPr>
        <w:t xml:space="preserve"> </w:t>
      </w:r>
      <w:r w:rsidRPr="00167747">
        <w:rPr>
          <w:rFonts w:ascii="Times New Roman" w:hAnsi="Times New Roman" w:cs="Times New Roman"/>
          <w:b/>
          <w:color w:val="0C0C0F"/>
          <w:sz w:val="32"/>
          <w:szCs w:val="32"/>
          <w:shd w:val="clear" w:color="auto" w:fill="FFFFFF"/>
        </w:rPr>
        <w:t>Rovina di edificio</w:t>
      </w:r>
      <w:r>
        <w:rPr>
          <w:rFonts w:ascii="Times New Roman" w:hAnsi="Times New Roman" w:cs="Times New Roman"/>
          <w:color w:val="0C0C0F"/>
          <w:sz w:val="32"/>
          <w:szCs w:val="32"/>
          <w:shd w:val="clear" w:color="auto" w:fill="FFFFFF"/>
        </w:rPr>
        <w:t>: sì crollo totale; no caduta di una tegola dal tetto</w:t>
      </w:r>
      <w:proofErr w:type="gramStart"/>
      <w:r>
        <w:rPr>
          <w:rFonts w:ascii="Times New Roman" w:hAnsi="Times New Roman" w:cs="Times New Roman"/>
          <w:color w:val="0C0C0F"/>
          <w:sz w:val="32"/>
          <w:szCs w:val="32"/>
          <w:shd w:val="clear" w:color="auto" w:fill="FFFFFF"/>
        </w:rPr>
        <w:t>; ?</w:t>
      </w:r>
      <w:proofErr w:type="gramEnd"/>
      <w:r>
        <w:rPr>
          <w:rFonts w:ascii="Times New Roman" w:hAnsi="Times New Roman" w:cs="Times New Roman"/>
          <w:color w:val="0C0C0F"/>
          <w:sz w:val="32"/>
          <w:szCs w:val="32"/>
          <w:shd w:val="clear" w:color="auto" w:fill="FFFFFF"/>
        </w:rPr>
        <w:t xml:space="preserve"> crollo di un balcone</w:t>
      </w:r>
    </w:p>
    <w:p w:rsidR="00F32709" w:rsidRPr="00F32709" w:rsidRDefault="00F32709" w:rsidP="00F32709">
      <w:pPr>
        <w:jc w:val="both"/>
        <w:rPr>
          <w:sz w:val="36"/>
          <w:szCs w:val="36"/>
        </w:rPr>
      </w:pPr>
    </w:p>
    <w:sectPr w:rsidR="00F32709" w:rsidRPr="00F32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B8"/>
    <w:rsid w:val="000A3986"/>
    <w:rsid w:val="00167747"/>
    <w:rsid w:val="00723B7C"/>
    <w:rsid w:val="007D59B8"/>
    <w:rsid w:val="00EE0341"/>
    <w:rsid w:val="00F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7C920-DCA3-4E7A-A8B3-DF686DEF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MUFFATO NICOLA</dc:creator>
  <cp:keywords/>
  <dc:description/>
  <cp:lastModifiedBy>MUFFATO NICOLA</cp:lastModifiedBy>
  <cp:revision>2</cp:revision>
  <cp:lastPrinted>2016-10-11T09:04:00Z</cp:lastPrinted>
  <dcterms:created xsi:type="dcterms:W3CDTF">2016-10-11T08:41:00Z</dcterms:created>
  <dcterms:modified xsi:type="dcterms:W3CDTF">2016-10-11T14:52:00Z</dcterms:modified>
</cp:coreProperties>
</file>