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E5" w:rsidRDefault="008528E5">
      <w:pPr>
        <w:rPr>
          <w:rFonts w:ascii="Cambria Math" w:hAnsi="Cambria Math"/>
          <w:sz w:val="28"/>
          <w:lang w:val="it-IT"/>
        </w:rPr>
      </w:pPr>
      <w:proofErr w:type="spellStart"/>
      <w:r>
        <w:rPr>
          <w:rFonts w:ascii="Cambria Math" w:hAnsi="Cambria Math"/>
          <w:sz w:val="28"/>
          <w:lang w:val="it-IT"/>
        </w:rPr>
        <w:t>Stephan</w:t>
      </w:r>
      <w:proofErr w:type="spellEnd"/>
      <w:r>
        <w:rPr>
          <w:rFonts w:ascii="Cambria Math" w:hAnsi="Cambria Math"/>
          <w:sz w:val="28"/>
          <w:lang w:val="it-IT"/>
        </w:rPr>
        <w:t xml:space="preserve"> </w:t>
      </w:r>
      <w:proofErr w:type="spellStart"/>
      <w:r>
        <w:rPr>
          <w:rFonts w:ascii="Cambria Math" w:hAnsi="Cambria Math"/>
          <w:sz w:val="28"/>
          <w:lang w:val="it-IT"/>
        </w:rPr>
        <w:t>Meder</w:t>
      </w:r>
      <w:proofErr w:type="spellEnd"/>
    </w:p>
    <w:p w:rsidR="00230B18" w:rsidRDefault="008528E5">
      <w:pPr>
        <w:rPr>
          <w:rFonts w:ascii="Cambria Math" w:hAnsi="Cambria Math"/>
          <w:sz w:val="28"/>
          <w:lang w:val="it-IT"/>
        </w:rPr>
      </w:pPr>
      <w:r>
        <w:rPr>
          <w:rFonts w:ascii="Cambria Math" w:hAnsi="Cambria Math"/>
          <w:sz w:val="28"/>
          <w:lang w:val="it-IT"/>
        </w:rPr>
        <w:t>STORIA DEL DIRITTO</w:t>
      </w:r>
      <w:r>
        <w:rPr>
          <w:rFonts w:ascii="Cambria Math" w:hAnsi="Cambria Math"/>
          <w:sz w:val="28"/>
          <w:lang w:val="it-IT"/>
        </w:rPr>
        <w:br/>
        <w:t xml:space="preserve">una introduzione </w:t>
      </w:r>
    </w:p>
    <w:p w:rsidR="008528E5" w:rsidRDefault="008528E5" w:rsidP="008528E5">
      <w:pPr>
        <w:pStyle w:val="Paragrafoelenco"/>
        <w:numPr>
          <w:ilvl w:val="0"/>
          <w:numId w:val="1"/>
        </w:numPr>
        <w:rPr>
          <w:rFonts w:ascii="Cambria Math" w:hAnsi="Cambria Math"/>
          <w:sz w:val="24"/>
          <w:lang w:val="it-IT"/>
        </w:rPr>
      </w:pPr>
      <w:r>
        <w:rPr>
          <w:rFonts w:ascii="Cambria Math" w:hAnsi="Cambria Math"/>
          <w:sz w:val="24"/>
          <w:lang w:val="it-IT"/>
        </w:rPr>
        <w:t>Diritto civile, diritto del cittadino e diritto privato</w:t>
      </w:r>
    </w:p>
    <w:p w:rsidR="00BB5102" w:rsidRDefault="00BB5102" w:rsidP="008528E5">
      <w:pPr>
        <w:rPr>
          <w:rFonts w:ascii="Cambria Math" w:hAnsi="Cambria Math"/>
          <w:sz w:val="24"/>
          <w:lang w:val="it-IT"/>
        </w:rPr>
        <w:sectPr w:rsidR="00BB510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528E5" w:rsidRDefault="008528E5" w:rsidP="008528E5">
      <w:pPr>
        <w:rPr>
          <w:rFonts w:ascii="Cambria Math" w:hAnsi="Cambria Math"/>
          <w:sz w:val="24"/>
          <w:lang w:val="it-IT"/>
        </w:rPr>
      </w:pPr>
      <w:r>
        <w:rPr>
          <w:rFonts w:ascii="Cambria Math" w:hAnsi="Cambria Math"/>
          <w:sz w:val="24"/>
          <w:lang w:val="it-IT"/>
        </w:rPr>
        <w:lastRenderedPageBreak/>
        <w:t>“</w:t>
      </w:r>
      <w:proofErr w:type="spellStart"/>
      <w:r w:rsidRPr="008528E5">
        <w:rPr>
          <w:rFonts w:ascii="Cambria Math" w:hAnsi="Cambria Math"/>
          <w:i/>
          <w:sz w:val="24"/>
          <w:lang w:val="it-IT"/>
        </w:rPr>
        <w:t>Zivilrecht</w:t>
      </w:r>
      <w:proofErr w:type="spellEnd"/>
      <w:r>
        <w:rPr>
          <w:rFonts w:ascii="Cambria Math" w:hAnsi="Cambria Math"/>
          <w:sz w:val="24"/>
          <w:lang w:val="it-IT"/>
        </w:rPr>
        <w:t xml:space="preserve">” (diritto civile) è la traduzione tedesca della parola latina </w:t>
      </w:r>
      <w:proofErr w:type="spellStart"/>
      <w:r w:rsidRPr="008528E5">
        <w:rPr>
          <w:rFonts w:ascii="Cambria Math" w:hAnsi="Cambria Math"/>
          <w:i/>
          <w:sz w:val="24"/>
          <w:lang w:val="it-IT"/>
        </w:rPr>
        <w:t>ius</w:t>
      </w:r>
      <w:proofErr w:type="spellEnd"/>
      <w:r w:rsidRPr="008528E5">
        <w:rPr>
          <w:rFonts w:ascii="Cambria Math" w:hAnsi="Cambria Math"/>
          <w:i/>
          <w:sz w:val="24"/>
          <w:lang w:val="it-IT"/>
        </w:rPr>
        <w:t xml:space="preserve"> civile</w:t>
      </w:r>
      <w:r>
        <w:rPr>
          <w:rFonts w:ascii="Cambria Math" w:hAnsi="Cambria Math"/>
          <w:sz w:val="24"/>
          <w:lang w:val="it-IT"/>
        </w:rPr>
        <w:t xml:space="preserve"> (p. 29), dalla quale si sono diffusi i concetti di diritto del cittadino “</w:t>
      </w:r>
      <w:proofErr w:type="spellStart"/>
      <w:r w:rsidRPr="008528E5">
        <w:rPr>
          <w:rFonts w:ascii="Cambria Math" w:hAnsi="Cambria Math"/>
          <w:i/>
          <w:sz w:val="24"/>
          <w:lang w:val="it-IT"/>
        </w:rPr>
        <w:t>Buergeliches</w:t>
      </w:r>
      <w:proofErr w:type="spellEnd"/>
      <w:r w:rsidRPr="008528E5">
        <w:rPr>
          <w:rFonts w:ascii="Cambria Math" w:hAnsi="Cambria Math"/>
          <w:i/>
          <w:sz w:val="24"/>
          <w:lang w:val="it-IT"/>
        </w:rPr>
        <w:t xml:space="preserve"> </w:t>
      </w:r>
      <w:proofErr w:type="spellStart"/>
      <w:r w:rsidRPr="008528E5">
        <w:rPr>
          <w:rFonts w:ascii="Cambria Math" w:hAnsi="Cambria Math"/>
          <w:i/>
          <w:sz w:val="24"/>
          <w:lang w:val="it-IT"/>
        </w:rPr>
        <w:t>Recht</w:t>
      </w:r>
      <w:proofErr w:type="spellEnd"/>
      <w:r>
        <w:rPr>
          <w:rFonts w:ascii="Cambria Math" w:hAnsi="Cambria Math"/>
          <w:sz w:val="24"/>
          <w:lang w:val="it-IT"/>
        </w:rPr>
        <w:t>” e diritto privato “</w:t>
      </w:r>
      <w:proofErr w:type="spellStart"/>
      <w:r w:rsidRPr="008528E5">
        <w:rPr>
          <w:rFonts w:ascii="Cambria Math" w:hAnsi="Cambria Math"/>
          <w:i/>
          <w:sz w:val="24"/>
          <w:lang w:val="it-IT"/>
        </w:rPr>
        <w:t>Privatrecht</w:t>
      </w:r>
      <w:proofErr w:type="spellEnd"/>
      <w:r>
        <w:rPr>
          <w:rFonts w:ascii="Cambria Math" w:hAnsi="Cambria Math"/>
          <w:sz w:val="24"/>
          <w:lang w:val="it-IT"/>
        </w:rPr>
        <w:t>” nel linguaggio tecnico. Anche il nome “</w:t>
      </w:r>
      <w:proofErr w:type="spellStart"/>
      <w:r w:rsidRPr="008528E5">
        <w:rPr>
          <w:rFonts w:ascii="Cambria Math" w:hAnsi="Cambria Math"/>
          <w:i/>
          <w:sz w:val="24"/>
          <w:lang w:val="it-IT"/>
        </w:rPr>
        <w:t>Buergeliches</w:t>
      </w:r>
      <w:proofErr w:type="spellEnd"/>
      <w:r w:rsidRPr="008528E5">
        <w:rPr>
          <w:rFonts w:ascii="Cambria Math" w:hAnsi="Cambria Math"/>
          <w:i/>
          <w:sz w:val="24"/>
          <w:lang w:val="it-IT"/>
        </w:rPr>
        <w:t xml:space="preserve"> </w:t>
      </w:r>
      <w:proofErr w:type="spellStart"/>
      <w:r w:rsidRPr="008528E5">
        <w:rPr>
          <w:rFonts w:ascii="Cambria Math" w:hAnsi="Cambria Math"/>
          <w:i/>
          <w:sz w:val="24"/>
          <w:lang w:val="it-IT"/>
        </w:rPr>
        <w:t>Recht</w:t>
      </w:r>
      <w:proofErr w:type="spellEnd"/>
      <w:r>
        <w:rPr>
          <w:rFonts w:ascii="Cambria Math" w:hAnsi="Cambria Math"/>
          <w:sz w:val="24"/>
          <w:lang w:val="it-IT"/>
        </w:rPr>
        <w:t xml:space="preserve">” è preso in prestito dal termine romano </w:t>
      </w:r>
      <w:proofErr w:type="spellStart"/>
      <w:r w:rsidRPr="008528E5">
        <w:rPr>
          <w:rFonts w:ascii="Cambria Math" w:hAnsi="Cambria Math"/>
          <w:i/>
          <w:sz w:val="24"/>
          <w:lang w:val="it-IT"/>
        </w:rPr>
        <w:t>ius</w:t>
      </w:r>
      <w:proofErr w:type="spellEnd"/>
      <w:r w:rsidRPr="008528E5">
        <w:rPr>
          <w:rFonts w:ascii="Cambria Math" w:hAnsi="Cambria Math"/>
          <w:i/>
          <w:sz w:val="24"/>
          <w:lang w:val="it-IT"/>
        </w:rPr>
        <w:t xml:space="preserve"> civile</w:t>
      </w:r>
      <w:r>
        <w:rPr>
          <w:rFonts w:ascii="Cambria Math" w:hAnsi="Cambria Math"/>
          <w:sz w:val="24"/>
          <w:lang w:val="it-IT"/>
        </w:rPr>
        <w:t xml:space="preserve">. </w:t>
      </w:r>
      <w:r w:rsidR="00EF39F4">
        <w:rPr>
          <w:rFonts w:ascii="Cambria Math" w:hAnsi="Cambria Math"/>
          <w:sz w:val="24"/>
          <w:lang w:val="it-IT"/>
        </w:rPr>
        <w:t xml:space="preserve">Il </w:t>
      </w:r>
      <w:r w:rsidR="00EF39F4" w:rsidRPr="00004EAB">
        <w:rPr>
          <w:rFonts w:ascii="Cambria Math" w:hAnsi="Cambria Math"/>
          <w:sz w:val="24"/>
          <w:lang w:val="it-IT"/>
        </w:rPr>
        <w:t>diritto del cittadin</w:t>
      </w:r>
      <w:r w:rsidR="00BB5102" w:rsidRPr="00004EAB">
        <w:rPr>
          <w:rFonts w:ascii="Cambria Math" w:hAnsi="Cambria Math"/>
          <w:sz w:val="24"/>
          <w:lang w:val="it-IT"/>
        </w:rPr>
        <w:t>o</w:t>
      </w:r>
      <w:r w:rsidR="00BB5102">
        <w:rPr>
          <w:rFonts w:ascii="Cambria Math" w:hAnsi="Cambria Math"/>
          <w:sz w:val="24"/>
          <w:lang w:val="it-IT"/>
        </w:rPr>
        <w:t xml:space="preserve"> non costituisce </w:t>
      </w:r>
      <w:r w:rsidR="00BB5102" w:rsidRPr="00004EAB">
        <w:rPr>
          <w:rFonts w:ascii="Cambria Math" w:hAnsi="Cambria Math"/>
          <w:sz w:val="24"/>
          <w:lang w:val="it-IT"/>
        </w:rPr>
        <w:t xml:space="preserve">un </w:t>
      </w:r>
      <w:r w:rsidR="00004EAB">
        <w:rPr>
          <w:rFonts w:ascii="Cambria Math" w:hAnsi="Cambria Math"/>
          <w:sz w:val="24"/>
          <w:lang w:val="it-IT"/>
        </w:rPr>
        <w:t xml:space="preserve">diritto speciale per </w:t>
      </w:r>
      <w:r w:rsidR="00BB5102">
        <w:rPr>
          <w:rFonts w:ascii="Cambria Math" w:hAnsi="Cambria Math"/>
          <w:sz w:val="24"/>
          <w:lang w:val="it-IT"/>
        </w:rPr>
        <w:t>i cittadini dato dalla</w:t>
      </w:r>
      <w:r w:rsidR="00EF39F4" w:rsidRPr="00BB5102">
        <w:rPr>
          <w:rFonts w:ascii="Cambria Math" w:hAnsi="Cambria Math"/>
          <w:sz w:val="24"/>
          <w:lang w:val="it-IT"/>
        </w:rPr>
        <w:t xml:space="preserve"> nascita</w:t>
      </w:r>
      <w:r w:rsidR="00EF39F4">
        <w:rPr>
          <w:rFonts w:ascii="Cambria Math" w:hAnsi="Cambria Math"/>
          <w:sz w:val="24"/>
          <w:lang w:val="it-IT"/>
        </w:rPr>
        <w:t xml:space="preserve"> o dallo stato professionale o dal ceto sociale di appartenenza. Dalla Rivoluzione Francese “</w:t>
      </w:r>
      <w:proofErr w:type="spellStart"/>
      <w:r w:rsidR="00EF39F4" w:rsidRPr="00931217">
        <w:rPr>
          <w:rFonts w:ascii="Cambria Math" w:hAnsi="Cambria Math"/>
          <w:i/>
          <w:sz w:val="24"/>
          <w:lang w:val="it-IT"/>
        </w:rPr>
        <w:t>Buerger</w:t>
      </w:r>
      <w:proofErr w:type="spellEnd"/>
      <w:r w:rsidR="00EF39F4">
        <w:rPr>
          <w:rFonts w:ascii="Cambria Math" w:hAnsi="Cambria Math"/>
          <w:sz w:val="24"/>
          <w:lang w:val="it-IT"/>
        </w:rPr>
        <w:t>”</w:t>
      </w:r>
      <w:r w:rsidR="00931217">
        <w:rPr>
          <w:rFonts w:ascii="Cambria Math" w:hAnsi="Cambria Math"/>
          <w:sz w:val="24"/>
          <w:lang w:val="it-IT"/>
        </w:rPr>
        <w:t xml:space="preserve"> (letteralmente </w:t>
      </w:r>
      <w:r w:rsidR="00931217" w:rsidRPr="00931217">
        <w:rPr>
          <w:rFonts w:ascii="Cambria Math" w:hAnsi="Cambria Math"/>
          <w:i/>
          <w:sz w:val="24"/>
          <w:lang w:val="it-IT"/>
        </w:rPr>
        <w:t>borghese</w:t>
      </w:r>
      <w:r w:rsidR="00931217">
        <w:rPr>
          <w:rFonts w:ascii="Cambria Math" w:hAnsi="Cambria Math"/>
          <w:sz w:val="24"/>
          <w:lang w:val="it-IT"/>
        </w:rPr>
        <w:t>)</w:t>
      </w:r>
      <w:r w:rsidR="00EF39F4">
        <w:rPr>
          <w:rFonts w:ascii="Cambria Math" w:hAnsi="Cambria Math"/>
          <w:sz w:val="24"/>
          <w:lang w:val="it-IT"/>
        </w:rPr>
        <w:t xml:space="preserve"> </w:t>
      </w:r>
      <w:r w:rsidR="00BB5102">
        <w:rPr>
          <w:rFonts w:ascii="Cambria Math" w:hAnsi="Cambria Math"/>
          <w:sz w:val="24"/>
          <w:lang w:val="it-IT"/>
        </w:rPr>
        <w:t>viene inteso come</w:t>
      </w:r>
      <w:r w:rsidR="00931217">
        <w:rPr>
          <w:rFonts w:ascii="Cambria Math" w:hAnsi="Cambria Math"/>
          <w:sz w:val="24"/>
          <w:lang w:val="it-IT"/>
        </w:rPr>
        <w:t xml:space="preserve"> </w:t>
      </w:r>
      <w:proofErr w:type="spellStart"/>
      <w:r w:rsidR="00931217" w:rsidRPr="00931217">
        <w:rPr>
          <w:rFonts w:ascii="Cambria Math" w:hAnsi="Cambria Math"/>
          <w:i/>
          <w:sz w:val="24"/>
          <w:lang w:val="it-IT"/>
        </w:rPr>
        <w:t>citoyen</w:t>
      </w:r>
      <w:proofErr w:type="spellEnd"/>
      <w:r w:rsidR="00BB5102">
        <w:rPr>
          <w:rFonts w:ascii="Cambria Math" w:hAnsi="Cambria Math"/>
          <w:i/>
          <w:sz w:val="24"/>
          <w:lang w:val="it-IT"/>
        </w:rPr>
        <w:t>(cittadino)</w:t>
      </w:r>
      <w:r w:rsidR="002D6923">
        <w:rPr>
          <w:rFonts w:ascii="Cambria Math" w:hAnsi="Cambria Math"/>
          <w:sz w:val="24"/>
          <w:lang w:val="it-IT"/>
        </w:rPr>
        <w:t xml:space="preserve"> e </w:t>
      </w:r>
      <w:proofErr w:type="spellStart"/>
      <w:r w:rsidR="002D6923" w:rsidRPr="00931217">
        <w:rPr>
          <w:rFonts w:ascii="Cambria Math" w:hAnsi="Cambria Math"/>
          <w:i/>
          <w:sz w:val="24"/>
          <w:lang w:val="it-IT"/>
        </w:rPr>
        <w:t>Buergeliches</w:t>
      </w:r>
      <w:proofErr w:type="spellEnd"/>
      <w:r w:rsidR="002D6923" w:rsidRPr="00931217">
        <w:rPr>
          <w:rFonts w:ascii="Cambria Math" w:hAnsi="Cambria Math"/>
          <w:i/>
          <w:sz w:val="24"/>
          <w:lang w:val="it-IT"/>
        </w:rPr>
        <w:t xml:space="preserve"> </w:t>
      </w:r>
      <w:proofErr w:type="spellStart"/>
      <w:r w:rsidR="002D6923" w:rsidRPr="00931217">
        <w:rPr>
          <w:rFonts w:ascii="Cambria Math" w:hAnsi="Cambria Math"/>
          <w:i/>
          <w:sz w:val="24"/>
          <w:lang w:val="it-IT"/>
        </w:rPr>
        <w:t>Recht</w:t>
      </w:r>
      <w:proofErr w:type="spellEnd"/>
      <w:r w:rsidR="002D6923">
        <w:rPr>
          <w:rFonts w:ascii="Cambria Math" w:hAnsi="Cambria Math"/>
          <w:sz w:val="24"/>
          <w:lang w:val="it-IT"/>
        </w:rPr>
        <w:t xml:space="preserve"> </w:t>
      </w:r>
      <w:r w:rsidR="00931217">
        <w:rPr>
          <w:rFonts w:ascii="Cambria Math" w:hAnsi="Cambria Math"/>
          <w:sz w:val="24"/>
          <w:lang w:val="it-IT"/>
        </w:rPr>
        <w:t>(come detto</w:t>
      </w:r>
      <w:r w:rsidR="002D6923">
        <w:rPr>
          <w:rFonts w:ascii="Cambria Math" w:hAnsi="Cambria Math"/>
          <w:sz w:val="24"/>
          <w:lang w:val="it-IT"/>
        </w:rPr>
        <w:t xml:space="preserve"> “diritto del cittadino”</w:t>
      </w:r>
      <w:r w:rsidR="00931217">
        <w:rPr>
          <w:rFonts w:ascii="Cambria Math" w:hAnsi="Cambria Math"/>
          <w:sz w:val="24"/>
          <w:lang w:val="it-IT"/>
        </w:rPr>
        <w:t xml:space="preserve">) viene inteso come il diritto che vale per tutti coloro che fanno parte di una società priva di classi sociali. </w:t>
      </w:r>
      <w:r w:rsidR="00BB5102">
        <w:rPr>
          <w:rFonts w:ascii="Cambria Math" w:hAnsi="Cambria Math"/>
          <w:sz w:val="24"/>
          <w:lang w:val="it-IT"/>
        </w:rPr>
        <w:t>In questo senso,</w:t>
      </w:r>
      <w:r w:rsidR="002D6923">
        <w:rPr>
          <w:rFonts w:ascii="Cambria Math" w:hAnsi="Cambria Math"/>
          <w:sz w:val="24"/>
          <w:lang w:val="it-IT"/>
        </w:rPr>
        <w:t xml:space="preserve"> </w:t>
      </w:r>
      <w:proofErr w:type="spellStart"/>
      <w:r w:rsidR="00931217" w:rsidRPr="00377D29">
        <w:rPr>
          <w:rFonts w:ascii="Cambria Math" w:hAnsi="Cambria Math"/>
          <w:i/>
          <w:sz w:val="24"/>
          <w:lang w:val="it-IT"/>
        </w:rPr>
        <w:t>Buergeliches</w:t>
      </w:r>
      <w:proofErr w:type="spellEnd"/>
      <w:r w:rsidR="00931217">
        <w:rPr>
          <w:rFonts w:ascii="Cambria Math" w:hAnsi="Cambria Math"/>
          <w:sz w:val="24"/>
          <w:lang w:val="it-IT"/>
        </w:rPr>
        <w:t xml:space="preserve"> </w:t>
      </w:r>
      <w:proofErr w:type="spellStart"/>
      <w:r w:rsidR="00931217" w:rsidRPr="00377D29">
        <w:rPr>
          <w:rFonts w:ascii="Cambria Math" w:hAnsi="Cambria Math"/>
          <w:i/>
          <w:sz w:val="24"/>
          <w:lang w:val="it-IT"/>
        </w:rPr>
        <w:t>Recht</w:t>
      </w:r>
      <w:proofErr w:type="spellEnd"/>
      <w:r w:rsidR="00931217">
        <w:rPr>
          <w:rFonts w:ascii="Cambria Math" w:hAnsi="Cambria Math"/>
          <w:sz w:val="24"/>
          <w:lang w:val="it-IT"/>
        </w:rPr>
        <w:t xml:space="preserve"> e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Zivilrecht</w:t>
      </w:r>
      <w:proofErr w:type="spellEnd"/>
      <w:r w:rsidR="00931217">
        <w:rPr>
          <w:rFonts w:ascii="Cambria Math" w:hAnsi="Cambria Math"/>
          <w:sz w:val="24"/>
          <w:lang w:val="it-IT"/>
        </w:rPr>
        <w:t xml:space="preserve"> hanno lo stesso significato. </w:t>
      </w:r>
      <w:r w:rsidR="00BB5102">
        <w:rPr>
          <w:rFonts w:ascii="Cambria Math" w:hAnsi="Cambria Math"/>
          <w:sz w:val="24"/>
          <w:lang w:val="it-IT"/>
        </w:rPr>
        <w:t>Tuttavia,</w:t>
      </w:r>
      <w:r w:rsidR="00931217">
        <w:rPr>
          <w:rFonts w:ascii="Cambria Math" w:hAnsi="Cambria Math"/>
          <w:sz w:val="24"/>
          <w:lang w:val="it-IT"/>
        </w:rPr>
        <w:t xml:space="preserve"> dalla seconda metà</w:t>
      </w:r>
      <w:r w:rsidR="00BB5102">
        <w:rPr>
          <w:rFonts w:ascii="Cambria Math" w:hAnsi="Cambria Math"/>
          <w:sz w:val="24"/>
          <w:lang w:val="it-IT"/>
        </w:rPr>
        <w:t xml:space="preserve"> del XX secolo, i due concetti s</w:t>
      </w:r>
      <w:r w:rsidR="00931217">
        <w:rPr>
          <w:rFonts w:ascii="Cambria Math" w:hAnsi="Cambria Math"/>
          <w:sz w:val="24"/>
          <w:lang w:val="it-IT"/>
        </w:rPr>
        <w:t xml:space="preserve">i sono distinti e </w:t>
      </w:r>
      <w:r w:rsidR="00BB5102">
        <w:rPr>
          <w:rFonts w:ascii="Cambria Math" w:hAnsi="Cambria Math"/>
          <w:sz w:val="24"/>
          <w:lang w:val="it-IT"/>
        </w:rPr>
        <w:t>specializzati</w:t>
      </w:r>
      <w:r w:rsidR="00931217">
        <w:rPr>
          <w:rFonts w:ascii="Cambria Math" w:hAnsi="Cambria Math"/>
          <w:sz w:val="24"/>
          <w:lang w:val="it-IT"/>
        </w:rPr>
        <w:t>. Oggi la sfera</w:t>
      </w:r>
      <w:r w:rsidR="00377D29">
        <w:rPr>
          <w:rFonts w:ascii="Cambria Math" w:hAnsi="Cambria Math"/>
          <w:sz w:val="24"/>
          <w:lang w:val="it-IT"/>
        </w:rPr>
        <w:t xml:space="preserve"> in cui si utilizza il termine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Buergeliches</w:t>
      </w:r>
      <w:proofErr w:type="spellEnd"/>
      <w:r w:rsidR="00377D29">
        <w:rPr>
          <w:rFonts w:ascii="Cambria Math" w:hAnsi="Cambria Math"/>
          <w:sz w:val="24"/>
          <w:lang w:val="it-IT"/>
        </w:rPr>
        <w:t xml:space="preserve">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Recht</w:t>
      </w:r>
      <w:proofErr w:type="spellEnd"/>
      <w:r w:rsidR="00931217">
        <w:rPr>
          <w:rFonts w:ascii="Cambria Math" w:hAnsi="Cambria Math"/>
          <w:sz w:val="24"/>
          <w:lang w:val="it-IT"/>
        </w:rPr>
        <w:t xml:space="preserve"> si limita </w:t>
      </w:r>
      <w:r w:rsidR="0035563F">
        <w:rPr>
          <w:rFonts w:ascii="Cambria Math" w:hAnsi="Cambria Math"/>
          <w:sz w:val="24"/>
          <w:lang w:val="it-IT"/>
        </w:rPr>
        <w:t xml:space="preserve">alle specifiche parti di pandettistica </w:t>
      </w:r>
      <w:r w:rsidR="00DF36FB">
        <w:rPr>
          <w:rFonts w:ascii="Cambria Math" w:hAnsi="Cambria Math"/>
          <w:sz w:val="24"/>
          <w:lang w:val="it-IT"/>
        </w:rPr>
        <w:t>comprese</w:t>
      </w:r>
      <w:r w:rsidR="0035563F">
        <w:rPr>
          <w:rFonts w:ascii="Cambria Math" w:hAnsi="Cambria Math"/>
          <w:sz w:val="24"/>
          <w:lang w:val="it-IT"/>
        </w:rPr>
        <w:t xml:space="preserve"> nel codice civile BGB. </w:t>
      </w:r>
      <w:r w:rsidR="00DF36FB">
        <w:rPr>
          <w:rFonts w:ascii="Cambria Math" w:hAnsi="Cambria Math"/>
          <w:sz w:val="24"/>
          <w:lang w:val="it-IT"/>
        </w:rPr>
        <w:t>A ciò appartengono anche i fondamenti dogmatici così</w:t>
      </w:r>
      <w:r w:rsidR="00B94105">
        <w:rPr>
          <w:rFonts w:ascii="Cambria Math" w:hAnsi="Cambria Math"/>
          <w:sz w:val="24"/>
          <w:lang w:val="it-IT"/>
        </w:rPr>
        <w:t xml:space="preserve"> come vi appartiene</w:t>
      </w:r>
      <w:r w:rsidR="002D6923">
        <w:rPr>
          <w:rFonts w:ascii="Cambria Math" w:hAnsi="Cambria Math"/>
          <w:sz w:val="24"/>
          <w:lang w:val="it-IT"/>
        </w:rPr>
        <w:t xml:space="preserve"> </w:t>
      </w:r>
      <w:r w:rsidR="00377D29">
        <w:rPr>
          <w:rFonts w:ascii="Cambria Math" w:hAnsi="Cambria Math"/>
          <w:sz w:val="24"/>
          <w:lang w:val="it-IT"/>
        </w:rPr>
        <w:t>quel grande numero</w:t>
      </w:r>
      <w:r w:rsidR="002D6923">
        <w:rPr>
          <w:rFonts w:ascii="Cambria Math" w:hAnsi="Cambria Math"/>
          <w:sz w:val="24"/>
          <w:lang w:val="it-IT"/>
        </w:rPr>
        <w:t xml:space="preserve"> di decisioni, che il legislatore della BGB non ha preso arbitrariame</w:t>
      </w:r>
      <w:r w:rsidR="00DF36FB">
        <w:rPr>
          <w:rFonts w:ascii="Cambria Math" w:hAnsi="Cambria Math"/>
          <w:sz w:val="24"/>
          <w:lang w:val="it-IT"/>
        </w:rPr>
        <w:t xml:space="preserve">nte, ma che sono state lasciate in eredità </w:t>
      </w:r>
      <w:r w:rsidR="002D6923">
        <w:rPr>
          <w:rFonts w:ascii="Cambria Math" w:hAnsi="Cambria Math"/>
          <w:sz w:val="24"/>
          <w:lang w:val="it-IT"/>
        </w:rPr>
        <w:t xml:space="preserve">dalla </w:t>
      </w:r>
      <w:r w:rsidR="00DF36FB">
        <w:rPr>
          <w:rFonts w:ascii="Cambria Math" w:hAnsi="Cambria Math"/>
          <w:sz w:val="24"/>
          <w:lang w:val="it-IT"/>
        </w:rPr>
        <w:t>giurisprudenza</w:t>
      </w:r>
      <w:r w:rsidR="002D6923">
        <w:rPr>
          <w:rFonts w:ascii="Cambria Math" w:hAnsi="Cambria Math"/>
          <w:sz w:val="24"/>
          <w:lang w:val="it-IT"/>
        </w:rPr>
        <w:t xml:space="preserve"> e dalla scienza. </w:t>
      </w:r>
      <w:r w:rsidR="00B94105">
        <w:rPr>
          <w:rFonts w:ascii="Cambria Math" w:hAnsi="Cambria Math"/>
          <w:sz w:val="24"/>
          <w:lang w:val="it-IT"/>
        </w:rPr>
        <w:t xml:space="preserve">Al contrario, i campi </w:t>
      </w:r>
      <w:r w:rsidR="00836C85">
        <w:rPr>
          <w:rFonts w:ascii="Cambria Math" w:hAnsi="Cambria Math"/>
          <w:sz w:val="24"/>
          <w:lang w:val="it-IT"/>
        </w:rPr>
        <w:t>speciali</w:t>
      </w:r>
      <w:r w:rsidR="00B94105">
        <w:rPr>
          <w:rFonts w:ascii="Cambria Math" w:hAnsi="Cambria Math"/>
          <w:sz w:val="24"/>
          <w:lang w:val="it-IT"/>
        </w:rPr>
        <w:t xml:space="preserve"> del </w:t>
      </w:r>
      <w:proofErr w:type="spellStart"/>
      <w:r w:rsidR="00B94105" w:rsidRPr="00B94105">
        <w:rPr>
          <w:rFonts w:ascii="Cambria Math" w:hAnsi="Cambria Math"/>
          <w:i/>
          <w:sz w:val="24"/>
          <w:lang w:val="it-IT"/>
        </w:rPr>
        <w:t>Zivilrecht</w:t>
      </w:r>
      <w:proofErr w:type="spellEnd"/>
      <w:r w:rsidR="00581349">
        <w:rPr>
          <w:rFonts w:ascii="Cambria Math" w:hAnsi="Cambria Math"/>
          <w:sz w:val="24"/>
          <w:lang w:val="it-IT"/>
        </w:rPr>
        <w:t xml:space="preserve">, in cui </w:t>
      </w:r>
      <w:r w:rsidR="00B94105">
        <w:rPr>
          <w:rFonts w:ascii="Cambria Math" w:hAnsi="Cambria Math"/>
          <w:sz w:val="24"/>
          <w:lang w:val="it-IT"/>
        </w:rPr>
        <w:t>vengono regolate le condizioni di vita di specifici gruppi di individui</w:t>
      </w:r>
      <w:r w:rsidR="00581349">
        <w:rPr>
          <w:rFonts w:ascii="Cambria Math" w:hAnsi="Cambria Math"/>
          <w:sz w:val="24"/>
          <w:lang w:val="it-IT"/>
        </w:rPr>
        <w:t>,</w:t>
      </w:r>
      <w:r w:rsidR="002D6923">
        <w:rPr>
          <w:rFonts w:ascii="Cambria Math" w:hAnsi="Cambria Math"/>
          <w:sz w:val="24"/>
          <w:lang w:val="it-IT"/>
        </w:rPr>
        <w:t xml:space="preserve"> vengono separati dal tr</w:t>
      </w:r>
      <w:r w:rsidR="00B94105">
        <w:rPr>
          <w:rFonts w:ascii="Cambria Math" w:hAnsi="Cambria Math"/>
          <w:sz w:val="24"/>
          <w:lang w:val="it-IT"/>
        </w:rPr>
        <w:t xml:space="preserve">adizionale </w:t>
      </w:r>
      <w:proofErr w:type="spellStart"/>
      <w:r w:rsidR="00B94105" w:rsidRPr="00B94105">
        <w:rPr>
          <w:rFonts w:ascii="Cambria Math" w:hAnsi="Cambria Math"/>
          <w:i/>
          <w:sz w:val="24"/>
          <w:lang w:val="it-IT"/>
        </w:rPr>
        <w:t>Buergeliches</w:t>
      </w:r>
      <w:proofErr w:type="spellEnd"/>
      <w:r w:rsidR="00B94105">
        <w:rPr>
          <w:rFonts w:ascii="Cambria Math" w:hAnsi="Cambria Math"/>
          <w:sz w:val="24"/>
          <w:lang w:val="it-IT"/>
        </w:rPr>
        <w:t xml:space="preserve"> </w:t>
      </w:r>
      <w:proofErr w:type="spellStart"/>
      <w:r w:rsidR="00B94105" w:rsidRPr="00B94105">
        <w:rPr>
          <w:rFonts w:ascii="Cambria Math" w:hAnsi="Cambria Math"/>
          <w:i/>
          <w:sz w:val="24"/>
          <w:lang w:val="it-IT"/>
        </w:rPr>
        <w:t>Recht</w:t>
      </w:r>
      <w:proofErr w:type="spellEnd"/>
      <w:r w:rsidR="002D6923">
        <w:rPr>
          <w:rFonts w:ascii="Cambria Math" w:hAnsi="Cambria Math"/>
          <w:sz w:val="24"/>
          <w:lang w:val="it-IT"/>
        </w:rPr>
        <w:t xml:space="preserve">. </w:t>
      </w:r>
      <w:r w:rsidR="00581349">
        <w:rPr>
          <w:rFonts w:ascii="Cambria Math" w:hAnsi="Cambria Math"/>
          <w:sz w:val="24"/>
          <w:lang w:val="it-IT"/>
        </w:rPr>
        <w:t>Così, ad esempio, il diritto commerciale è un diritto speciale per i commercianti, il diritto del lavoro è un diritto speciale che regola i rapporti fra impiegati e datori d</w:t>
      </w:r>
      <w:r w:rsidR="00D93F39">
        <w:rPr>
          <w:rFonts w:ascii="Cambria Math" w:hAnsi="Cambria Math"/>
          <w:sz w:val="24"/>
          <w:lang w:val="it-IT"/>
        </w:rPr>
        <w:t xml:space="preserve">i lavoro, il diritto </w:t>
      </w:r>
      <w:r w:rsidR="00D93F39">
        <w:rPr>
          <w:rFonts w:ascii="Cambria Math" w:hAnsi="Cambria Math"/>
          <w:sz w:val="24"/>
          <w:lang w:val="it-IT"/>
        </w:rPr>
        <w:lastRenderedPageBreak/>
        <w:t>economico</w:t>
      </w:r>
      <w:r w:rsidR="00581349">
        <w:rPr>
          <w:rFonts w:ascii="Cambria Math" w:hAnsi="Cambria Math"/>
          <w:sz w:val="24"/>
          <w:lang w:val="it-IT"/>
        </w:rPr>
        <w:t xml:space="preserve"> è un diritto speciale per l’economia industriale, il diritto dei beni immateriali è un </w:t>
      </w:r>
      <w:r w:rsidR="00836C85">
        <w:rPr>
          <w:rFonts w:ascii="Cambria Math" w:hAnsi="Cambria Math"/>
          <w:sz w:val="24"/>
          <w:lang w:val="it-IT"/>
        </w:rPr>
        <w:t>campo</w:t>
      </w:r>
      <w:r w:rsidR="00581349">
        <w:rPr>
          <w:rFonts w:ascii="Cambria Math" w:hAnsi="Cambria Math"/>
          <w:sz w:val="24"/>
          <w:lang w:val="it-IT"/>
        </w:rPr>
        <w:t xml:space="preserve"> speciale per i diritti d’autore e per la </w:t>
      </w:r>
      <w:r w:rsidR="00581349" w:rsidRPr="00836C85">
        <w:rPr>
          <w:rFonts w:ascii="Cambria Math" w:hAnsi="Cambria Math"/>
          <w:sz w:val="24"/>
          <w:lang w:val="it-IT"/>
        </w:rPr>
        <w:t xml:space="preserve">protezione </w:t>
      </w:r>
      <w:r w:rsidR="00836C85">
        <w:rPr>
          <w:rFonts w:ascii="Cambria Math" w:hAnsi="Cambria Math"/>
          <w:sz w:val="24"/>
          <w:lang w:val="it-IT"/>
        </w:rPr>
        <w:t>delle opere</w:t>
      </w:r>
      <w:r w:rsidR="00581349">
        <w:rPr>
          <w:rFonts w:ascii="Cambria Math" w:hAnsi="Cambria Math"/>
          <w:sz w:val="24"/>
          <w:lang w:val="it-IT"/>
        </w:rPr>
        <w:t xml:space="preserve">. </w:t>
      </w:r>
      <w:r w:rsidR="00D93F39">
        <w:rPr>
          <w:rFonts w:ascii="Cambria Math" w:hAnsi="Cambria Math"/>
          <w:sz w:val="24"/>
          <w:lang w:val="it-IT"/>
        </w:rPr>
        <w:t xml:space="preserve">Secondo questa classificazione, </w:t>
      </w:r>
      <w:r w:rsidR="00377D29">
        <w:rPr>
          <w:rFonts w:ascii="Cambria Math" w:hAnsi="Cambria Math"/>
          <w:sz w:val="24"/>
          <w:lang w:val="it-IT"/>
        </w:rPr>
        <w:t xml:space="preserve">il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Buergeliches</w:t>
      </w:r>
      <w:proofErr w:type="spellEnd"/>
      <w:r w:rsidR="00377D29" w:rsidRPr="00377D29">
        <w:rPr>
          <w:rFonts w:ascii="Cambria Math" w:hAnsi="Cambria Math"/>
          <w:i/>
          <w:sz w:val="24"/>
          <w:lang w:val="it-IT"/>
        </w:rPr>
        <w:t xml:space="preserve">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Recht</w:t>
      </w:r>
      <w:proofErr w:type="spellEnd"/>
      <w:r w:rsidR="00377D29">
        <w:rPr>
          <w:rFonts w:ascii="Cambria Math" w:hAnsi="Cambria Math"/>
          <w:sz w:val="24"/>
          <w:lang w:val="it-IT"/>
        </w:rPr>
        <w:t xml:space="preserve"> </w:t>
      </w:r>
      <w:r w:rsidR="00836C85">
        <w:rPr>
          <w:rFonts w:ascii="Cambria Math" w:hAnsi="Cambria Math"/>
          <w:sz w:val="24"/>
          <w:lang w:val="it-IT"/>
        </w:rPr>
        <w:t>sarebbe un settore</w:t>
      </w:r>
      <w:r w:rsidR="00D93F39">
        <w:rPr>
          <w:rFonts w:ascii="Cambria Math" w:hAnsi="Cambria Math"/>
          <w:sz w:val="24"/>
          <w:lang w:val="it-IT"/>
        </w:rPr>
        <w:t xml:space="preserve"> del</w:t>
      </w:r>
      <w:r w:rsidR="00D93F39" w:rsidRPr="00377D29">
        <w:rPr>
          <w:rFonts w:ascii="Cambria Math" w:hAnsi="Cambria Math"/>
          <w:i/>
          <w:sz w:val="24"/>
          <w:lang w:val="it-IT"/>
        </w:rPr>
        <w:t xml:space="preserve">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Zivilrecht</w:t>
      </w:r>
      <w:proofErr w:type="spellEnd"/>
      <w:r w:rsidR="00D93F39">
        <w:rPr>
          <w:rFonts w:ascii="Cambria Math" w:hAnsi="Cambria Math"/>
          <w:sz w:val="24"/>
          <w:lang w:val="it-IT"/>
        </w:rPr>
        <w:t xml:space="preserve">- il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Zivilrecht</w:t>
      </w:r>
      <w:proofErr w:type="spellEnd"/>
      <w:r w:rsidR="00377D29">
        <w:rPr>
          <w:rFonts w:ascii="Cambria Math" w:hAnsi="Cambria Math"/>
          <w:sz w:val="24"/>
          <w:lang w:val="it-IT"/>
        </w:rPr>
        <w:t xml:space="preserve"> </w:t>
      </w:r>
      <w:r w:rsidR="00D93F39">
        <w:rPr>
          <w:rFonts w:ascii="Cambria Math" w:hAnsi="Cambria Math"/>
          <w:sz w:val="24"/>
          <w:lang w:val="it-IT"/>
        </w:rPr>
        <w:t>con significato ampio e</w:t>
      </w:r>
      <w:r w:rsidR="00377D29">
        <w:rPr>
          <w:rFonts w:ascii="Cambria Math" w:hAnsi="Cambria Math"/>
          <w:sz w:val="24"/>
          <w:lang w:val="it-IT"/>
        </w:rPr>
        <w:t xml:space="preserve"> il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Buergeliches</w:t>
      </w:r>
      <w:proofErr w:type="spellEnd"/>
      <w:r w:rsidR="00377D29" w:rsidRPr="00377D29">
        <w:rPr>
          <w:rFonts w:ascii="Cambria Math" w:hAnsi="Cambria Math"/>
          <w:i/>
          <w:sz w:val="24"/>
          <w:lang w:val="it-IT"/>
        </w:rPr>
        <w:t xml:space="preserve"> </w:t>
      </w:r>
      <w:proofErr w:type="spellStart"/>
      <w:r w:rsidR="00377D29" w:rsidRPr="00377D29">
        <w:rPr>
          <w:rFonts w:ascii="Cambria Math" w:hAnsi="Cambria Math"/>
          <w:i/>
          <w:sz w:val="24"/>
          <w:lang w:val="it-IT"/>
        </w:rPr>
        <w:t>Recht</w:t>
      </w:r>
      <w:proofErr w:type="spellEnd"/>
      <w:r w:rsidR="00D93F39">
        <w:rPr>
          <w:rFonts w:ascii="Cambria Math" w:hAnsi="Cambria Math"/>
          <w:sz w:val="24"/>
          <w:lang w:val="it-IT"/>
        </w:rPr>
        <w:t>,</w:t>
      </w:r>
      <w:r w:rsidR="00D93F39">
        <w:rPr>
          <w:rFonts w:ascii="Cambria Math" w:hAnsi="Cambria Math"/>
          <w:sz w:val="24"/>
          <w:lang w:val="it-IT"/>
        </w:rPr>
        <w:t xml:space="preserve"> al contrario, come concetto più </w:t>
      </w:r>
      <w:r w:rsidR="00836C85">
        <w:rPr>
          <w:rFonts w:ascii="Cambria Math" w:hAnsi="Cambria Math"/>
          <w:sz w:val="24"/>
          <w:lang w:val="it-IT"/>
        </w:rPr>
        <w:t>specifico</w:t>
      </w:r>
      <w:r w:rsidR="00D93F39">
        <w:rPr>
          <w:rFonts w:ascii="Cambria Math" w:hAnsi="Cambria Math"/>
          <w:sz w:val="24"/>
          <w:lang w:val="it-IT"/>
        </w:rPr>
        <w:t>.</w:t>
      </w:r>
    </w:p>
    <w:p w:rsidR="00474CCD" w:rsidRDefault="00D93F39" w:rsidP="008528E5">
      <w:pPr>
        <w:rPr>
          <w:rFonts w:ascii="Cambria Math" w:hAnsi="Cambria Math"/>
          <w:sz w:val="24"/>
          <w:lang w:val="it-IT"/>
        </w:rPr>
      </w:pPr>
      <w:r>
        <w:rPr>
          <w:rFonts w:ascii="Cambria Math" w:hAnsi="Cambria Math"/>
          <w:sz w:val="24"/>
          <w:lang w:val="it-IT"/>
        </w:rPr>
        <w:t>Il concetto di diritto privato (“</w:t>
      </w:r>
      <w:proofErr w:type="spellStart"/>
      <w:r w:rsidR="00474CCD" w:rsidRPr="00377D29">
        <w:rPr>
          <w:rFonts w:ascii="Cambria Math" w:hAnsi="Cambria Math"/>
          <w:i/>
          <w:sz w:val="24"/>
          <w:lang w:val="it-IT"/>
        </w:rPr>
        <w:t>Privatrecht</w:t>
      </w:r>
      <w:proofErr w:type="spellEnd"/>
      <w:r>
        <w:rPr>
          <w:rFonts w:ascii="Cambria Math" w:hAnsi="Cambria Math"/>
          <w:sz w:val="24"/>
          <w:lang w:val="it-IT"/>
        </w:rPr>
        <w:t xml:space="preserve">”) è ugualmente di origine romana. </w:t>
      </w:r>
      <w:r w:rsidR="00F70CDD">
        <w:rPr>
          <w:rFonts w:ascii="Cambria Math" w:hAnsi="Cambria Math"/>
          <w:sz w:val="24"/>
          <w:lang w:val="it-IT"/>
        </w:rPr>
        <w:t xml:space="preserve">Esso ricorda </w:t>
      </w:r>
      <w:r w:rsidR="00377D29">
        <w:rPr>
          <w:rFonts w:ascii="Cambria Math" w:hAnsi="Cambria Math"/>
          <w:sz w:val="24"/>
          <w:lang w:val="it-IT"/>
        </w:rPr>
        <w:t xml:space="preserve">che i romani separarono </w:t>
      </w:r>
      <w:r w:rsidR="00F70CDD">
        <w:rPr>
          <w:rFonts w:ascii="Cambria Math" w:hAnsi="Cambria Math"/>
          <w:sz w:val="24"/>
          <w:lang w:val="it-IT"/>
        </w:rPr>
        <w:t xml:space="preserve">l’intero </w:t>
      </w:r>
      <w:r w:rsidR="00F70CDD" w:rsidRPr="00F70CDD">
        <w:rPr>
          <w:rFonts w:ascii="Cambria Math" w:hAnsi="Cambria Math"/>
          <w:sz w:val="24"/>
          <w:lang w:val="it-IT"/>
        </w:rPr>
        <w:t>tessuto</w:t>
      </w:r>
      <w:r w:rsidR="00F70CDD">
        <w:rPr>
          <w:rFonts w:ascii="Cambria Math" w:hAnsi="Cambria Math"/>
          <w:sz w:val="24"/>
          <w:lang w:val="it-IT"/>
        </w:rPr>
        <w:t xml:space="preserve"> del diritto </w:t>
      </w:r>
      <w:r>
        <w:rPr>
          <w:rFonts w:ascii="Cambria Math" w:hAnsi="Cambria Math"/>
          <w:sz w:val="24"/>
          <w:lang w:val="it-IT"/>
        </w:rPr>
        <w:t>in due</w:t>
      </w:r>
      <w:r w:rsidR="00E26607">
        <w:rPr>
          <w:rFonts w:ascii="Cambria Math" w:hAnsi="Cambria Math"/>
          <w:sz w:val="24"/>
          <w:lang w:val="it-IT"/>
        </w:rPr>
        <w:t xml:space="preserve"> parti fondamentali</w:t>
      </w:r>
      <w:r w:rsidR="00377D29">
        <w:rPr>
          <w:rFonts w:ascii="Cambria Math" w:hAnsi="Cambria Math"/>
          <w:sz w:val="24"/>
          <w:lang w:val="it-IT"/>
        </w:rPr>
        <w:t>:</w:t>
      </w:r>
      <w:r w:rsidR="00F70CDD">
        <w:rPr>
          <w:rFonts w:ascii="Cambria Math" w:hAnsi="Cambria Math"/>
          <w:sz w:val="24"/>
          <w:lang w:val="it-IT"/>
        </w:rPr>
        <w:t xml:space="preserve"> </w:t>
      </w:r>
      <w:proofErr w:type="spellStart"/>
      <w:r w:rsidRPr="00D93F39">
        <w:rPr>
          <w:rFonts w:ascii="Cambria Math" w:hAnsi="Cambria Math"/>
          <w:i/>
          <w:sz w:val="24"/>
          <w:lang w:val="it-IT"/>
        </w:rPr>
        <w:t>ius</w:t>
      </w:r>
      <w:proofErr w:type="spellEnd"/>
      <w:r w:rsidRPr="00D93F39">
        <w:rPr>
          <w:rFonts w:ascii="Cambria Math" w:hAnsi="Cambria Math"/>
          <w:i/>
          <w:sz w:val="24"/>
          <w:lang w:val="it-IT"/>
        </w:rPr>
        <w:t xml:space="preserve"> </w:t>
      </w:r>
      <w:proofErr w:type="spellStart"/>
      <w:r w:rsidRPr="00D93F39">
        <w:rPr>
          <w:rFonts w:ascii="Cambria Math" w:hAnsi="Cambria Math"/>
          <w:i/>
          <w:sz w:val="24"/>
          <w:lang w:val="it-IT"/>
        </w:rPr>
        <w:t>privatum</w:t>
      </w:r>
      <w:proofErr w:type="spellEnd"/>
      <w:r>
        <w:rPr>
          <w:rFonts w:ascii="Cambria Math" w:hAnsi="Cambria Math"/>
          <w:sz w:val="24"/>
          <w:lang w:val="it-IT"/>
        </w:rPr>
        <w:t xml:space="preserve"> e </w:t>
      </w:r>
      <w:proofErr w:type="spellStart"/>
      <w:r w:rsidRPr="00D93F39">
        <w:rPr>
          <w:rFonts w:ascii="Cambria Math" w:hAnsi="Cambria Math"/>
          <w:i/>
          <w:sz w:val="24"/>
          <w:lang w:val="it-IT"/>
        </w:rPr>
        <w:t>ius</w:t>
      </w:r>
      <w:proofErr w:type="spellEnd"/>
      <w:r w:rsidRPr="00D93F39">
        <w:rPr>
          <w:rFonts w:ascii="Cambria Math" w:hAnsi="Cambria Math"/>
          <w:i/>
          <w:sz w:val="24"/>
          <w:lang w:val="it-IT"/>
        </w:rPr>
        <w:t xml:space="preserve"> </w:t>
      </w:r>
      <w:proofErr w:type="spellStart"/>
      <w:r w:rsidRPr="00D93F39">
        <w:rPr>
          <w:rFonts w:ascii="Cambria Math" w:hAnsi="Cambria Math"/>
          <w:i/>
          <w:sz w:val="24"/>
          <w:lang w:val="it-IT"/>
        </w:rPr>
        <w:t>publicum</w:t>
      </w:r>
      <w:proofErr w:type="spellEnd"/>
      <w:r w:rsidR="00E26607">
        <w:rPr>
          <w:rFonts w:ascii="Cambria Math" w:hAnsi="Cambria Math"/>
          <w:sz w:val="24"/>
          <w:lang w:val="it-IT"/>
        </w:rPr>
        <w:t xml:space="preserve">. L’amministrazione della giustizia europea è rimasta fedele fino ad oggi alla </w:t>
      </w:r>
      <w:r w:rsidR="00525FED">
        <w:rPr>
          <w:rFonts w:ascii="Cambria Math" w:hAnsi="Cambria Math"/>
          <w:sz w:val="24"/>
          <w:lang w:val="it-IT"/>
        </w:rPr>
        <w:t>distinzione</w:t>
      </w:r>
      <w:r w:rsidR="00E26607">
        <w:rPr>
          <w:rFonts w:ascii="Cambria Math" w:hAnsi="Cambria Math"/>
          <w:sz w:val="24"/>
          <w:lang w:val="it-IT"/>
        </w:rPr>
        <w:t xml:space="preserve"> fra diritto pubblico e privato.  A grandi linee la differenza può essere spiegata come</w:t>
      </w:r>
      <w:r w:rsidR="00525FED">
        <w:rPr>
          <w:rFonts w:ascii="Cambria Math" w:hAnsi="Cambria Math"/>
          <w:sz w:val="24"/>
          <w:lang w:val="it-IT"/>
        </w:rPr>
        <w:t xml:space="preserve"> segue: il diritto privato è l’</w:t>
      </w:r>
      <w:r w:rsidR="00E26607">
        <w:rPr>
          <w:rFonts w:ascii="Cambria Math" w:hAnsi="Cambria Math"/>
          <w:sz w:val="24"/>
          <w:lang w:val="it-IT"/>
        </w:rPr>
        <w:t xml:space="preserve">idea </w:t>
      </w:r>
      <w:r w:rsidR="00525FED">
        <w:rPr>
          <w:rFonts w:ascii="Cambria Math" w:hAnsi="Cambria Math"/>
          <w:sz w:val="24"/>
          <w:lang w:val="it-IT"/>
        </w:rPr>
        <w:t xml:space="preserve">europea </w:t>
      </w:r>
      <w:r w:rsidR="00E26607">
        <w:rPr>
          <w:rFonts w:ascii="Cambria Math" w:hAnsi="Cambria Math"/>
          <w:sz w:val="24"/>
          <w:lang w:val="it-IT"/>
        </w:rPr>
        <w:t xml:space="preserve">di quella parte del diritto che regola i rapporti </w:t>
      </w:r>
      <w:r w:rsidR="00034475">
        <w:rPr>
          <w:rFonts w:ascii="Cambria Math" w:hAnsi="Cambria Math"/>
          <w:sz w:val="24"/>
          <w:lang w:val="it-IT"/>
        </w:rPr>
        <w:t>fra gli individui sulla base dell’equiparazione e dell’autodeterminazione.</w:t>
      </w:r>
      <w:r w:rsidR="00E26607">
        <w:rPr>
          <w:rFonts w:ascii="Cambria Math" w:hAnsi="Cambria Math"/>
          <w:sz w:val="24"/>
          <w:lang w:val="it-IT"/>
        </w:rPr>
        <w:t xml:space="preserve"> </w:t>
      </w:r>
      <w:r w:rsidR="00034475">
        <w:rPr>
          <w:rFonts w:ascii="Cambria Math" w:hAnsi="Cambria Math"/>
          <w:sz w:val="24"/>
          <w:lang w:val="it-IT"/>
        </w:rPr>
        <w:t>Nel diritto pubblico v</w:t>
      </w:r>
      <w:r w:rsidR="00D843E2">
        <w:rPr>
          <w:rFonts w:ascii="Cambria Math" w:hAnsi="Cambria Math"/>
          <w:sz w:val="24"/>
          <w:lang w:val="it-IT"/>
        </w:rPr>
        <w:t>engono invece regolati i rapporti dell</w:t>
      </w:r>
      <w:r w:rsidR="00377D29">
        <w:rPr>
          <w:rFonts w:ascii="Cambria Math" w:hAnsi="Cambria Math"/>
          <w:sz w:val="24"/>
          <w:lang w:val="it-IT"/>
        </w:rPr>
        <w:t>o S</w:t>
      </w:r>
      <w:r w:rsidR="00D843E2">
        <w:rPr>
          <w:rFonts w:ascii="Cambria Math" w:hAnsi="Cambria Math"/>
          <w:sz w:val="24"/>
          <w:lang w:val="it-IT"/>
        </w:rPr>
        <w:t>tato e di altre formazioni</w:t>
      </w:r>
      <w:r w:rsidR="00764698">
        <w:rPr>
          <w:rFonts w:ascii="Cambria Math" w:hAnsi="Cambria Math"/>
          <w:sz w:val="24"/>
          <w:lang w:val="it-IT"/>
        </w:rPr>
        <w:t xml:space="preserve"> dotate di potere governativo</w:t>
      </w:r>
      <w:r w:rsidR="00D843E2">
        <w:rPr>
          <w:rFonts w:ascii="Cambria Math" w:hAnsi="Cambria Math"/>
          <w:sz w:val="24"/>
          <w:lang w:val="it-IT"/>
        </w:rPr>
        <w:t xml:space="preserve"> sia con i propri cittadini sia fra di loro</w:t>
      </w:r>
      <w:r w:rsidR="00034475">
        <w:rPr>
          <w:rFonts w:ascii="Cambria Math" w:hAnsi="Cambria Math"/>
          <w:sz w:val="24"/>
          <w:lang w:val="it-IT"/>
        </w:rPr>
        <w:t xml:space="preserve">. </w:t>
      </w:r>
      <w:r w:rsidR="001668E8">
        <w:rPr>
          <w:rFonts w:ascii="Cambria Math" w:hAnsi="Cambria Math"/>
          <w:sz w:val="24"/>
          <w:lang w:val="it-IT"/>
        </w:rPr>
        <w:t xml:space="preserve">Si potrebbe quindi dire che nel diritto privato in primo piano c’è </w:t>
      </w:r>
      <w:r w:rsidR="001668E8" w:rsidRPr="00764698">
        <w:rPr>
          <w:rFonts w:ascii="Cambria Math" w:hAnsi="Cambria Math"/>
          <w:sz w:val="24"/>
          <w:lang w:val="it-IT"/>
        </w:rPr>
        <w:t>l’uguaglianza</w:t>
      </w:r>
      <w:r w:rsidR="001668E8">
        <w:rPr>
          <w:rFonts w:ascii="Cambria Math" w:hAnsi="Cambria Math"/>
          <w:sz w:val="24"/>
          <w:lang w:val="it-IT"/>
        </w:rPr>
        <w:t xml:space="preserve"> mentre nel diritto pubblico, in primo piano ci sono supremazia e</w:t>
      </w:r>
      <w:r w:rsidR="00C3203E">
        <w:rPr>
          <w:rFonts w:ascii="Cambria Math" w:hAnsi="Cambria Math"/>
          <w:sz w:val="24"/>
          <w:lang w:val="it-IT"/>
        </w:rPr>
        <w:t xml:space="preserve"> subordinazione. Questa </w:t>
      </w:r>
      <w:r w:rsidR="00474CCD">
        <w:rPr>
          <w:rFonts w:ascii="Cambria Math" w:hAnsi="Cambria Math"/>
          <w:sz w:val="24"/>
          <w:lang w:val="it-IT"/>
        </w:rPr>
        <w:t>di</w:t>
      </w:r>
      <w:r w:rsidR="00764698">
        <w:rPr>
          <w:rFonts w:ascii="Cambria Math" w:hAnsi="Cambria Math"/>
          <w:sz w:val="24"/>
          <w:lang w:val="it-IT"/>
        </w:rPr>
        <w:t>stinzione guadagna ancora in forza di persuasione se paragonata</w:t>
      </w:r>
      <w:r w:rsidR="00474CCD">
        <w:rPr>
          <w:rFonts w:ascii="Cambria Math" w:hAnsi="Cambria Math"/>
          <w:sz w:val="24"/>
          <w:lang w:val="it-IT"/>
        </w:rPr>
        <w:t xml:space="preserve"> </w:t>
      </w:r>
      <w:r w:rsidR="00764698">
        <w:rPr>
          <w:rFonts w:ascii="Cambria Math" w:hAnsi="Cambria Math"/>
          <w:sz w:val="24"/>
          <w:lang w:val="it-IT"/>
        </w:rPr>
        <w:t>al</w:t>
      </w:r>
      <w:r w:rsidR="00474CCD">
        <w:rPr>
          <w:rFonts w:ascii="Cambria Math" w:hAnsi="Cambria Math"/>
          <w:sz w:val="24"/>
          <w:lang w:val="it-IT"/>
        </w:rPr>
        <w:t>la differenza fra legge e contratto</w:t>
      </w:r>
      <w:r w:rsidR="00C3203E">
        <w:rPr>
          <w:rFonts w:ascii="Cambria Math" w:hAnsi="Cambria Math"/>
          <w:sz w:val="24"/>
          <w:lang w:val="it-IT"/>
        </w:rPr>
        <w:t>: l</w:t>
      </w:r>
      <w:r w:rsidR="001668E8">
        <w:rPr>
          <w:rFonts w:ascii="Cambria Math" w:hAnsi="Cambria Math"/>
          <w:sz w:val="24"/>
          <w:lang w:val="it-IT"/>
        </w:rPr>
        <w:t>e leggi – o in senso più ampio le norme- si distinguono per la caratteristica dell’</w:t>
      </w:r>
      <w:r w:rsidR="00C3203E">
        <w:rPr>
          <w:rFonts w:ascii="Cambria Math" w:hAnsi="Cambria Math"/>
          <w:sz w:val="24"/>
          <w:lang w:val="it-IT"/>
        </w:rPr>
        <w:t xml:space="preserve">eteronomia o soggezione, secondo la quale un legislatore diverso dal destinatario della norma impone al destinatario stesso uno specifico atteggiamento sottomettendolo alla legge </w:t>
      </w:r>
      <w:r w:rsidR="00C3203E">
        <w:rPr>
          <w:rFonts w:ascii="Cambria Math" w:hAnsi="Cambria Math"/>
          <w:sz w:val="24"/>
          <w:lang w:val="it-IT"/>
        </w:rPr>
        <w:lastRenderedPageBreak/>
        <w:t>(</w:t>
      </w:r>
      <w:proofErr w:type="spellStart"/>
      <w:r w:rsidR="00C3203E" w:rsidRPr="00764698">
        <w:rPr>
          <w:rFonts w:ascii="Cambria Math" w:hAnsi="Cambria Math"/>
          <w:i/>
          <w:sz w:val="24"/>
          <w:lang w:val="it-IT"/>
        </w:rPr>
        <w:t>rechtsunterworfenen</w:t>
      </w:r>
      <w:proofErr w:type="spellEnd"/>
      <w:r w:rsidR="00C3203E">
        <w:rPr>
          <w:rFonts w:ascii="Cambria Math" w:hAnsi="Cambria Math"/>
          <w:sz w:val="24"/>
          <w:lang w:val="it-IT"/>
        </w:rPr>
        <w:t>). Al contrario,</w:t>
      </w:r>
      <w:r w:rsidR="00764698">
        <w:rPr>
          <w:rFonts w:ascii="Cambria Math" w:hAnsi="Cambria Math"/>
          <w:sz w:val="24"/>
          <w:lang w:val="it-IT"/>
        </w:rPr>
        <w:t xml:space="preserve"> idealmente</w:t>
      </w:r>
      <w:r w:rsidR="00C3203E">
        <w:rPr>
          <w:rFonts w:ascii="Cambria Math" w:hAnsi="Cambria Math"/>
          <w:sz w:val="24"/>
          <w:lang w:val="it-IT"/>
        </w:rPr>
        <w:t xml:space="preserve"> nel contratto non prevalgono né eteronomia né soggezione, bensì autodeterminazione e autonomia privata.</w:t>
      </w:r>
    </w:p>
    <w:p w:rsidR="0096365B" w:rsidRDefault="00E513E8" w:rsidP="008528E5">
      <w:pPr>
        <w:rPr>
          <w:rFonts w:ascii="Cambria Math" w:hAnsi="Cambria Math"/>
          <w:sz w:val="24"/>
          <w:lang w:val="it-IT"/>
        </w:rPr>
      </w:pPr>
      <w:r>
        <w:rPr>
          <w:rFonts w:ascii="Cambria Math" w:hAnsi="Cambria Math"/>
          <w:sz w:val="24"/>
          <w:lang w:val="it-IT"/>
        </w:rPr>
        <w:t>La delimitazione del diritto privato rispetto agli altri campi del diritto ha generato sempre più difficoltà negli ultimi tempi (a</w:t>
      </w:r>
      <w:r w:rsidR="00474CCD">
        <w:rPr>
          <w:rFonts w:ascii="Cambria Math" w:hAnsi="Cambria Math"/>
          <w:sz w:val="24"/>
          <w:lang w:val="it-IT"/>
        </w:rPr>
        <w:t>pprofondimenti in</w:t>
      </w:r>
      <w:r w:rsidR="00764698">
        <w:rPr>
          <w:rFonts w:ascii="Cambria Math" w:hAnsi="Cambria Math"/>
          <w:sz w:val="24"/>
          <w:lang w:val="it-IT"/>
        </w:rPr>
        <w:t xml:space="preserve"> materia da pagina 468 a 471). Essa n</w:t>
      </w:r>
      <w:r w:rsidR="00474CCD">
        <w:rPr>
          <w:rFonts w:ascii="Cambria Math" w:hAnsi="Cambria Math"/>
          <w:sz w:val="24"/>
          <w:lang w:val="it-IT"/>
        </w:rPr>
        <w:t>on è assolutamente di carattere meramente teoretico.</w:t>
      </w:r>
      <w:r>
        <w:rPr>
          <w:rFonts w:ascii="Cambria Math" w:hAnsi="Cambria Math"/>
          <w:sz w:val="24"/>
          <w:lang w:val="it-IT"/>
        </w:rPr>
        <w:t xml:space="preserve"> Nella prassi, infatti, l’attribuzione di una fattispecie ad una certa sfera del diritto decide quale magistratura ne è responsabile per la valutazione. </w:t>
      </w:r>
      <w:r w:rsidR="004A78EE">
        <w:rPr>
          <w:rFonts w:ascii="Cambria Math" w:hAnsi="Cambria Math"/>
          <w:sz w:val="24"/>
          <w:lang w:val="it-IT"/>
        </w:rPr>
        <w:t xml:space="preserve">Così tutte le controversie civili spettano ai tribunali ordinari, o meglio ai tribunali civili (S 13 GVG, legge sul sistema giudiziario). Al contrario, a tutte le controversie di diritto pubblico, purché in forza del loro rango costituzionale non sia già aperta una giurisdizione costituzionale, è concesso il ricorso amministrativo. Uno dei motivi di difficoltà nella distinzione fra diritto pubblico e privato sta nel fatto che </w:t>
      </w:r>
      <w:r w:rsidR="005D41EE">
        <w:rPr>
          <w:rFonts w:ascii="Cambria Math" w:hAnsi="Cambria Math"/>
          <w:sz w:val="24"/>
          <w:lang w:val="it-IT"/>
        </w:rPr>
        <w:t xml:space="preserve">la società moderna non si può più comprendere come </w:t>
      </w:r>
      <w:r w:rsidR="004A78EE">
        <w:rPr>
          <w:rFonts w:ascii="Cambria Math" w:hAnsi="Cambria Math"/>
          <w:sz w:val="24"/>
          <w:lang w:val="it-IT"/>
        </w:rPr>
        <w:t xml:space="preserve">destinataria di un messaggio condiviso trasmesso attraverso la legge dello Stato. </w:t>
      </w:r>
      <w:r w:rsidR="0031547A">
        <w:rPr>
          <w:rFonts w:ascii="Cambria Math" w:hAnsi="Cambria Math"/>
          <w:sz w:val="24"/>
          <w:lang w:val="it-IT"/>
        </w:rPr>
        <w:t>Oggi, in misura crescente, gruppi, associazioni, imprenditori e corp</w:t>
      </w:r>
      <w:r w:rsidR="005D41EE">
        <w:rPr>
          <w:rFonts w:ascii="Cambria Math" w:hAnsi="Cambria Math"/>
          <w:sz w:val="24"/>
          <w:lang w:val="it-IT"/>
        </w:rPr>
        <w:t xml:space="preserve">orazioni vengono autorizzati a stabilire delle norme, sia </w:t>
      </w:r>
      <w:r w:rsidR="005D41EE">
        <w:rPr>
          <w:rFonts w:ascii="Cambria Math" w:hAnsi="Cambria Math"/>
          <w:sz w:val="24"/>
          <w:lang w:val="it-IT"/>
        </w:rPr>
        <w:lastRenderedPageBreak/>
        <w:t>autonomamente</w:t>
      </w:r>
      <w:r w:rsidR="0031547A">
        <w:rPr>
          <w:rFonts w:ascii="Cambria Math" w:hAnsi="Cambria Math"/>
          <w:sz w:val="24"/>
          <w:lang w:val="it-IT"/>
        </w:rPr>
        <w:t xml:space="preserve"> che in collaborazione con lo Stato. Servono da esempio il di</w:t>
      </w:r>
      <w:r w:rsidR="005D41EE">
        <w:rPr>
          <w:rFonts w:ascii="Cambria Math" w:hAnsi="Cambria Math"/>
          <w:sz w:val="24"/>
          <w:lang w:val="it-IT"/>
        </w:rPr>
        <w:t>ritto societario, quello di associazione</w:t>
      </w:r>
      <w:r w:rsidR="00956A4F">
        <w:rPr>
          <w:rFonts w:ascii="Cambria Math" w:hAnsi="Cambria Math"/>
          <w:sz w:val="24"/>
          <w:lang w:val="it-IT"/>
        </w:rPr>
        <w:t xml:space="preserve"> o lo </w:t>
      </w:r>
      <w:proofErr w:type="spellStart"/>
      <w:r w:rsidR="00956A4F" w:rsidRPr="00956A4F">
        <w:rPr>
          <w:rFonts w:ascii="Cambria Math" w:hAnsi="Cambria Math"/>
          <w:i/>
          <w:sz w:val="24"/>
          <w:lang w:val="it-IT"/>
        </w:rPr>
        <w:t>Standersrecht</w:t>
      </w:r>
      <w:proofErr w:type="spellEnd"/>
      <w:r w:rsidR="0031547A">
        <w:rPr>
          <w:rFonts w:ascii="Cambria Math" w:hAnsi="Cambria Math"/>
          <w:sz w:val="24"/>
          <w:lang w:val="it-IT"/>
        </w:rPr>
        <w:t xml:space="preserve"> </w:t>
      </w:r>
      <w:r w:rsidR="00956A4F">
        <w:rPr>
          <w:rFonts w:ascii="Cambria Math" w:hAnsi="Cambria Math"/>
          <w:sz w:val="24"/>
          <w:lang w:val="it-IT"/>
        </w:rPr>
        <w:t>(l’insieme di tutti i diritti</w:t>
      </w:r>
      <w:r w:rsidR="00377D29">
        <w:rPr>
          <w:rFonts w:ascii="Cambria Math" w:hAnsi="Cambria Math"/>
          <w:sz w:val="24"/>
          <w:lang w:val="it-IT"/>
        </w:rPr>
        <w:t xml:space="preserve"> che regolano</w:t>
      </w:r>
      <w:r w:rsidR="00956A4F">
        <w:rPr>
          <w:rFonts w:ascii="Cambria Math" w:hAnsi="Cambria Math"/>
          <w:sz w:val="24"/>
          <w:lang w:val="it-IT"/>
        </w:rPr>
        <w:t xml:space="preserve"> un certo stato civile) </w:t>
      </w:r>
      <w:r w:rsidR="0031547A">
        <w:rPr>
          <w:rFonts w:ascii="Cambria Math" w:hAnsi="Cambria Math"/>
          <w:sz w:val="24"/>
          <w:lang w:val="it-IT"/>
        </w:rPr>
        <w:t>come anche creazioni come gli accordi aziendali, la convenzione tariffaria, le condizioni gener</w:t>
      </w:r>
      <w:r w:rsidR="00956A4F">
        <w:rPr>
          <w:rFonts w:ascii="Cambria Math" w:hAnsi="Cambria Math"/>
          <w:sz w:val="24"/>
          <w:lang w:val="it-IT"/>
        </w:rPr>
        <w:t>ali del contratto o anche certi ordinamenti giuridici</w:t>
      </w:r>
      <w:r w:rsidR="0031547A">
        <w:rPr>
          <w:rFonts w:ascii="Cambria Math" w:hAnsi="Cambria Math"/>
          <w:sz w:val="24"/>
          <w:lang w:val="it-IT"/>
        </w:rPr>
        <w:t xml:space="preserve"> sovra- o transnazionali</w:t>
      </w:r>
      <w:r w:rsidR="00956A4F">
        <w:rPr>
          <w:rFonts w:ascii="Cambria Math" w:hAnsi="Cambria Math"/>
          <w:sz w:val="24"/>
          <w:lang w:val="it-IT"/>
        </w:rPr>
        <w:t xml:space="preserve"> </w:t>
      </w:r>
      <w:r w:rsidR="0031547A">
        <w:rPr>
          <w:rFonts w:ascii="Cambria Math" w:hAnsi="Cambria Math"/>
          <w:sz w:val="24"/>
          <w:lang w:val="it-IT"/>
        </w:rPr>
        <w:t xml:space="preserve">(per esempio la </w:t>
      </w:r>
      <w:proofErr w:type="spellStart"/>
      <w:r w:rsidR="0031547A" w:rsidRPr="00956A4F">
        <w:rPr>
          <w:rFonts w:ascii="Cambria Math" w:hAnsi="Cambria Math"/>
          <w:i/>
          <w:sz w:val="24"/>
          <w:lang w:val="it-IT"/>
        </w:rPr>
        <w:t>lex</w:t>
      </w:r>
      <w:proofErr w:type="spellEnd"/>
      <w:r w:rsidR="0031547A" w:rsidRPr="00956A4F">
        <w:rPr>
          <w:rFonts w:ascii="Cambria Math" w:hAnsi="Cambria Math"/>
          <w:i/>
          <w:sz w:val="24"/>
          <w:lang w:val="it-IT"/>
        </w:rPr>
        <w:t xml:space="preserve"> mercatoria</w:t>
      </w:r>
      <w:r w:rsidR="0031547A">
        <w:rPr>
          <w:rFonts w:ascii="Cambria Math" w:hAnsi="Cambria Math"/>
          <w:sz w:val="24"/>
          <w:lang w:val="it-IT"/>
        </w:rPr>
        <w:t xml:space="preserve">). </w:t>
      </w:r>
      <w:r w:rsidR="0096365B">
        <w:rPr>
          <w:rFonts w:ascii="Cambria Math" w:hAnsi="Cambria Math"/>
          <w:sz w:val="24"/>
          <w:lang w:val="it-IT"/>
        </w:rPr>
        <w:t>Queste norme sono accomunate dal fatto di non essere state formulate da un legislatore statale, bensì da privati. Per molti di questi regolamenti, ad esempio le condizioni commerciali</w:t>
      </w:r>
      <w:r w:rsidR="00956A4F" w:rsidRPr="00956A4F">
        <w:rPr>
          <w:rFonts w:ascii="Cambria Math" w:hAnsi="Cambria Math"/>
          <w:sz w:val="24"/>
          <w:lang w:val="it-IT"/>
        </w:rPr>
        <w:t xml:space="preserve"> </w:t>
      </w:r>
      <w:r w:rsidR="00956A4F">
        <w:rPr>
          <w:rFonts w:ascii="Cambria Math" w:hAnsi="Cambria Math"/>
          <w:sz w:val="24"/>
          <w:lang w:val="it-IT"/>
        </w:rPr>
        <w:t>generali</w:t>
      </w:r>
      <w:r w:rsidR="0096365B">
        <w:rPr>
          <w:rFonts w:ascii="Cambria Math" w:hAnsi="Cambria Math"/>
          <w:sz w:val="24"/>
          <w:lang w:val="it-IT"/>
        </w:rPr>
        <w:t>,</w:t>
      </w:r>
      <w:r w:rsidR="0096365B">
        <w:rPr>
          <w:rFonts w:ascii="Cambria Math" w:hAnsi="Cambria Math"/>
          <w:sz w:val="24"/>
          <w:lang w:val="it-IT"/>
        </w:rPr>
        <w:t xml:space="preserve"> è </w:t>
      </w:r>
      <w:r w:rsidR="0019537B">
        <w:rPr>
          <w:rFonts w:ascii="Cambria Math" w:hAnsi="Cambria Math"/>
          <w:sz w:val="24"/>
          <w:lang w:val="it-IT"/>
        </w:rPr>
        <w:t>controverso</w:t>
      </w:r>
      <w:r w:rsidR="0096365B">
        <w:rPr>
          <w:rFonts w:ascii="Cambria Math" w:hAnsi="Cambria Math"/>
          <w:sz w:val="24"/>
          <w:lang w:val="it-IT"/>
        </w:rPr>
        <w:t xml:space="preserve"> capire se si tratta di norme o di accordi. Il dilemma deriva dal fatt</w:t>
      </w:r>
      <w:r w:rsidR="0019537B">
        <w:rPr>
          <w:rFonts w:ascii="Cambria Math" w:hAnsi="Cambria Math"/>
          <w:sz w:val="24"/>
          <w:lang w:val="it-IT"/>
        </w:rPr>
        <w:t>o che le parti, in questo caso, vengono più spesso trattate dal punto di vista della supremazia e della subordinazione rispetto a quello dell’uguaglianza</w:t>
      </w:r>
      <w:r w:rsidR="0096365B">
        <w:rPr>
          <w:rFonts w:ascii="Cambria Math" w:hAnsi="Cambria Math"/>
          <w:sz w:val="24"/>
          <w:lang w:val="it-IT"/>
        </w:rPr>
        <w:t xml:space="preserve">. </w:t>
      </w:r>
      <w:r w:rsidR="00B06590">
        <w:rPr>
          <w:rFonts w:ascii="Cambria Math" w:hAnsi="Cambria Math"/>
          <w:sz w:val="24"/>
          <w:lang w:val="it-IT"/>
        </w:rPr>
        <w:t>Nel diritto privato rientrano, perciò sempre di più anche rapporti giuridici che sono caratterizzati più dall’eteronomia e dalla soggezione rispetto all’autodeterminazione e all’autonomia (privata). Al contrario, nel diritto pubblico, nel momento in cui strutture cooperative o consensuali prendono il sopravvento nella formulazione di una norma, non si potrebbe più parl</w:t>
      </w:r>
      <w:bookmarkStart w:id="0" w:name="_GoBack"/>
      <w:bookmarkEnd w:id="0"/>
      <w:r w:rsidR="00B06590">
        <w:rPr>
          <w:rFonts w:ascii="Cambria Math" w:hAnsi="Cambria Math"/>
          <w:sz w:val="24"/>
          <w:lang w:val="it-IT"/>
        </w:rPr>
        <w:t>are di non più che un rapporto di supremazia o subordinazione.</w:t>
      </w:r>
    </w:p>
    <w:p w:rsidR="00BB5102" w:rsidRDefault="00BB5102" w:rsidP="008528E5">
      <w:pPr>
        <w:rPr>
          <w:rFonts w:ascii="Cambria Math" w:hAnsi="Cambria Math"/>
          <w:sz w:val="24"/>
          <w:lang w:val="it-IT"/>
        </w:rPr>
        <w:sectPr w:rsidR="00BB5102" w:rsidSect="00BB510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93F39" w:rsidRPr="008528E5" w:rsidRDefault="00C3203E" w:rsidP="008528E5">
      <w:pPr>
        <w:rPr>
          <w:rFonts w:ascii="Cambria Math" w:hAnsi="Cambria Math"/>
          <w:sz w:val="24"/>
          <w:lang w:val="it-IT"/>
        </w:rPr>
      </w:pPr>
      <w:r>
        <w:rPr>
          <w:rFonts w:ascii="Cambria Math" w:hAnsi="Cambria Math"/>
          <w:sz w:val="24"/>
          <w:lang w:val="it-IT"/>
        </w:rPr>
        <w:lastRenderedPageBreak/>
        <w:t xml:space="preserve">  </w:t>
      </w:r>
    </w:p>
    <w:sectPr w:rsidR="00D93F39" w:rsidRPr="008528E5" w:rsidSect="00BB510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91B"/>
    <w:multiLevelType w:val="hybridMultilevel"/>
    <w:tmpl w:val="370AD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1A"/>
    <w:rsid w:val="00004EAB"/>
    <w:rsid w:val="00034475"/>
    <w:rsid w:val="001668E8"/>
    <w:rsid w:val="0019537B"/>
    <w:rsid w:val="00230B18"/>
    <w:rsid w:val="002D6923"/>
    <w:rsid w:val="0031547A"/>
    <w:rsid w:val="0035563F"/>
    <w:rsid w:val="00377D29"/>
    <w:rsid w:val="00474CCD"/>
    <w:rsid w:val="004A78EE"/>
    <w:rsid w:val="00525FED"/>
    <w:rsid w:val="00581349"/>
    <w:rsid w:val="005D41EE"/>
    <w:rsid w:val="00764698"/>
    <w:rsid w:val="00836C85"/>
    <w:rsid w:val="008528E5"/>
    <w:rsid w:val="00894C96"/>
    <w:rsid w:val="00906A1A"/>
    <w:rsid w:val="00931217"/>
    <w:rsid w:val="00956A4F"/>
    <w:rsid w:val="0096365B"/>
    <w:rsid w:val="00B06590"/>
    <w:rsid w:val="00B94105"/>
    <w:rsid w:val="00BB5102"/>
    <w:rsid w:val="00C3203E"/>
    <w:rsid w:val="00D843E2"/>
    <w:rsid w:val="00D93F39"/>
    <w:rsid w:val="00DF36FB"/>
    <w:rsid w:val="00E26607"/>
    <w:rsid w:val="00E513E8"/>
    <w:rsid w:val="00EF39F4"/>
    <w:rsid w:val="00F24DC4"/>
    <w:rsid w:val="00F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E499"/>
  <w15:chartTrackingRefBased/>
  <w15:docId w15:val="{3FED8D12-0534-49C8-B863-7823E0C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Catano</dc:creator>
  <cp:keywords/>
  <dc:description/>
  <cp:lastModifiedBy>Alessandro Catano</cp:lastModifiedBy>
  <cp:revision>9</cp:revision>
  <dcterms:created xsi:type="dcterms:W3CDTF">2017-12-28T09:52:00Z</dcterms:created>
  <dcterms:modified xsi:type="dcterms:W3CDTF">2018-01-08T18:06:00Z</dcterms:modified>
</cp:coreProperties>
</file>