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43" w:rsidRDefault="00910843" w:rsidP="00910843">
      <w:pPr>
        <w:pStyle w:val="NormaleWeb"/>
        <w:spacing w:before="0" w:beforeAutospacing="0" w:after="0" w:afterAutospacing="0" w:line="360" w:lineRule="auto"/>
        <w:ind w:firstLine="567"/>
        <w:jc w:val="both"/>
      </w:pPr>
    </w:p>
    <w:p w:rsidR="00910843" w:rsidRDefault="00910843" w:rsidP="00910843">
      <w:pPr>
        <w:pStyle w:val="NormaleWeb"/>
        <w:spacing w:before="0" w:beforeAutospacing="0" w:after="0" w:afterAutospacing="0" w:line="360" w:lineRule="auto"/>
        <w:ind w:firstLine="567"/>
        <w:jc w:val="center"/>
      </w:pPr>
      <w:r>
        <w:t>SENTENZA N. 1</w:t>
      </w:r>
    </w:p>
    <w:p w:rsidR="00910843" w:rsidRDefault="00910843" w:rsidP="00910843">
      <w:pPr>
        <w:pStyle w:val="NormaleWeb"/>
        <w:spacing w:before="0" w:beforeAutospacing="0" w:after="0" w:afterAutospacing="0" w:line="360" w:lineRule="auto"/>
        <w:ind w:firstLine="567"/>
        <w:jc w:val="center"/>
      </w:pPr>
      <w:r>
        <w:rPr>
          <w:rStyle w:val="grame"/>
        </w:rPr>
        <w:t>ANNO 1956</w:t>
      </w:r>
    </w:p>
    <w:p w:rsidR="00910843" w:rsidRDefault="00910843" w:rsidP="00910843">
      <w:pPr>
        <w:pStyle w:val="NormaleWeb"/>
        <w:spacing w:before="0" w:beforeAutospacing="0" w:after="0" w:afterAutospacing="0" w:line="360" w:lineRule="auto"/>
        <w:ind w:firstLine="567"/>
        <w:jc w:val="center"/>
      </w:pPr>
    </w:p>
    <w:p w:rsidR="00910843" w:rsidRDefault="00910843" w:rsidP="00910843">
      <w:pPr>
        <w:pStyle w:val="NormaleWeb"/>
        <w:spacing w:before="0" w:beforeAutospacing="0" w:after="0" w:afterAutospacing="0" w:line="360" w:lineRule="auto"/>
        <w:ind w:firstLine="567"/>
        <w:jc w:val="center"/>
      </w:pPr>
      <w:r>
        <w:t>REPUBBLICA ITALIANA</w:t>
      </w:r>
    </w:p>
    <w:p w:rsidR="00910843" w:rsidRDefault="00910843" w:rsidP="00910843">
      <w:pPr>
        <w:pStyle w:val="NormaleWeb"/>
        <w:spacing w:before="0" w:beforeAutospacing="0" w:after="0" w:afterAutospacing="0" w:line="360" w:lineRule="auto"/>
        <w:ind w:firstLine="567"/>
        <w:jc w:val="center"/>
      </w:pPr>
      <w:r>
        <w:t>IN</w:t>
      </w:r>
      <w:r>
        <w:rPr>
          <w:rStyle w:val="grame"/>
        </w:rPr>
        <w:t xml:space="preserve">  </w:t>
      </w:r>
      <w:r>
        <w:t>NOME  DEL  POPOLO  ITALIANO</w:t>
      </w:r>
    </w:p>
    <w:p w:rsidR="00910843" w:rsidRDefault="00910843" w:rsidP="00910843">
      <w:pPr>
        <w:pStyle w:val="NormaleWeb"/>
        <w:spacing w:before="0" w:beforeAutospacing="0" w:after="0" w:afterAutospacing="0" w:line="360" w:lineRule="auto"/>
        <w:ind w:firstLine="567"/>
        <w:jc w:val="center"/>
      </w:pPr>
      <w:r>
        <w:t>LA CORTE COSTITUZIONALE</w:t>
      </w:r>
    </w:p>
    <w:p w:rsidR="00910843" w:rsidRDefault="00910843" w:rsidP="00910843">
      <w:pPr>
        <w:pStyle w:val="NormaleWeb"/>
        <w:spacing w:before="0" w:beforeAutospacing="0" w:after="0" w:afterAutospacing="0" w:line="360" w:lineRule="auto"/>
        <w:ind w:firstLine="567"/>
        <w:jc w:val="both"/>
      </w:pPr>
      <w:r>
        <w:t> </w:t>
      </w:r>
    </w:p>
    <w:p w:rsidR="00910843" w:rsidRDefault="00910843" w:rsidP="00910843">
      <w:pPr>
        <w:pStyle w:val="NormaleWeb"/>
        <w:spacing w:before="0" w:beforeAutospacing="0" w:after="0" w:afterAutospacing="0" w:line="360" w:lineRule="auto"/>
        <w:jc w:val="both"/>
      </w:pPr>
      <w:r>
        <w:rPr>
          <w:rStyle w:val="grame"/>
        </w:rPr>
        <w:t>composta</w:t>
      </w:r>
      <w:r>
        <w:t xml:space="preserve"> dai signori Giudici: </w:t>
      </w:r>
    </w:p>
    <w:p w:rsidR="00910843" w:rsidRDefault="00910843" w:rsidP="00910843">
      <w:pPr>
        <w:pStyle w:val="NormaleWeb"/>
        <w:spacing w:before="0" w:beforeAutospacing="0" w:after="0" w:afterAutospacing="0" w:line="360" w:lineRule="auto"/>
        <w:jc w:val="both"/>
      </w:pPr>
    </w:p>
    <w:p w:rsidR="00910843" w:rsidRDefault="00910843" w:rsidP="00910843">
      <w:pPr>
        <w:pStyle w:val="NormaleWeb"/>
        <w:spacing w:before="0" w:beforeAutospacing="0" w:after="0" w:afterAutospacing="0" w:line="360" w:lineRule="auto"/>
        <w:jc w:val="both"/>
      </w:pPr>
      <w:r>
        <w:rPr>
          <w:rStyle w:val="grame"/>
        </w:rPr>
        <w:t>ha</w:t>
      </w:r>
      <w:r>
        <w:t xml:space="preserve"> pronunciato la seguente </w:t>
      </w:r>
    </w:p>
    <w:p w:rsidR="00910843" w:rsidRDefault="00910843" w:rsidP="00910843">
      <w:pPr>
        <w:pStyle w:val="NormaleWeb"/>
        <w:spacing w:before="0" w:beforeAutospacing="0" w:after="0" w:afterAutospacing="0" w:line="360" w:lineRule="auto"/>
        <w:jc w:val="center"/>
      </w:pPr>
      <w:bookmarkStart w:id="0" w:name="_GoBack"/>
      <w:bookmarkEnd w:id="0"/>
      <w:r>
        <w:t>SENTENZA</w:t>
      </w:r>
    </w:p>
    <w:p w:rsidR="00910843" w:rsidRDefault="00910843" w:rsidP="00910843">
      <w:pPr>
        <w:pStyle w:val="NormaleWeb"/>
        <w:spacing w:before="0" w:beforeAutospacing="0" w:after="0" w:afterAutospacing="0" w:line="360" w:lineRule="auto"/>
        <w:jc w:val="center"/>
      </w:pPr>
    </w:p>
    <w:p w:rsidR="00910843" w:rsidRDefault="00910843" w:rsidP="00910843">
      <w:pPr>
        <w:pStyle w:val="NormaleWeb"/>
        <w:spacing w:before="0" w:beforeAutospacing="0" w:after="0" w:afterAutospacing="0" w:line="360" w:lineRule="auto"/>
        <w:jc w:val="both"/>
      </w:pPr>
      <w:r>
        <w:rPr>
          <w:rStyle w:val="grame"/>
        </w:rPr>
        <w:t>nei</w:t>
      </w:r>
      <w:r>
        <w:t xml:space="preserve"> giudizi riuniti di legittimità costituzionale dell'art. 113 T.U. delle leggi di </w:t>
      </w:r>
      <w:proofErr w:type="spellStart"/>
      <w:r>
        <w:rPr>
          <w:rStyle w:val="spelle"/>
        </w:rPr>
        <w:t>p.s.</w:t>
      </w:r>
      <w:proofErr w:type="spellEnd"/>
      <w:r>
        <w:t xml:space="preserve"> approvato con R.D. 18 giugno 1931, n. 773, promossi con le seguenti ordinanze: </w:t>
      </w:r>
    </w:p>
    <w:p w:rsidR="00910843" w:rsidRDefault="00910843" w:rsidP="00910843">
      <w:pPr>
        <w:pStyle w:val="NormaleWeb"/>
        <w:spacing w:before="0" w:beforeAutospacing="0" w:after="0" w:afterAutospacing="0" w:line="360" w:lineRule="auto"/>
        <w:ind w:firstLine="567"/>
        <w:jc w:val="both"/>
      </w:pPr>
      <w:r>
        <w:t xml:space="preserve">1) ordinanza 27 dicembre 1955 del Pretore di Prato nel procedimento penale a carico di </w:t>
      </w:r>
      <w:r>
        <w:rPr>
          <w:rStyle w:val="spelle"/>
        </w:rPr>
        <w:t>……..</w:t>
      </w:r>
    </w:p>
    <w:p w:rsidR="00910843" w:rsidRDefault="00910843" w:rsidP="00910843">
      <w:pPr>
        <w:pStyle w:val="NormaleWeb"/>
        <w:spacing w:before="0" w:beforeAutospacing="0" w:after="0" w:afterAutospacing="0" w:line="360" w:lineRule="auto"/>
        <w:ind w:firstLine="567"/>
        <w:jc w:val="both"/>
      </w:pPr>
      <w:r>
        <w:rPr>
          <w:i/>
        </w:rPr>
        <w:t xml:space="preserve">Viste </w:t>
      </w:r>
      <w:r>
        <w:t xml:space="preserve">le dichiarazioni </w:t>
      </w:r>
      <w:r>
        <w:rPr>
          <w:rStyle w:val="grame"/>
        </w:rPr>
        <w:t xml:space="preserve">di </w:t>
      </w:r>
      <w:r>
        <w:t xml:space="preserve">intervento del Presidente del Consiglio dei Ministri; </w:t>
      </w:r>
    </w:p>
    <w:p w:rsidR="00910843" w:rsidRDefault="00910843" w:rsidP="00910843">
      <w:pPr>
        <w:pStyle w:val="NormaleWeb"/>
        <w:spacing w:before="0" w:beforeAutospacing="0" w:after="0" w:afterAutospacing="0" w:line="360" w:lineRule="auto"/>
        <w:ind w:firstLine="567"/>
        <w:jc w:val="both"/>
      </w:pPr>
      <w:r>
        <w:rPr>
          <w:i/>
        </w:rPr>
        <w:t>Udita</w:t>
      </w:r>
      <w:r>
        <w:t xml:space="preserve"> nell'udienza pubblica del 23 aprile 1956 la relazione del Giudice dott. Gaetano </w:t>
      </w:r>
      <w:proofErr w:type="spellStart"/>
      <w:r>
        <w:rPr>
          <w:rStyle w:val="spelle"/>
        </w:rPr>
        <w:t>Azzariti</w:t>
      </w:r>
      <w:proofErr w:type="spellEnd"/>
      <w:r>
        <w:t xml:space="preserve">; </w:t>
      </w:r>
    </w:p>
    <w:p w:rsidR="00910843" w:rsidRDefault="00910843" w:rsidP="00910843">
      <w:pPr>
        <w:pStyle w:val="NormaleWeb"/>
        <w:spacing w:before="0" w:beforeAutospacing="0" w:after="0" w:afterAutospacing="0" w:line="360" w:lineRule="auto"/>
        <w:ind w:firstLine="567"/>
        <w:jc w:val="both"/>
      </w:pPr>
      <w:r>
        <w:rPr>
          <w:i/>
        </w:rPr>
        <w:t xml:space="preserve">Uditi </w:t>
      </w:r>
      <w:r>
        <w:t xml:space="preserve">gli avvocati Costantino Mortati, Francesco </w:t>
      </w:r>
      <w:proofErr w:type="spellStart"/>
      <w:r>
        <w:rPr>
          <w:rStyle w:val="spelle"/>
        </w:rPr>
        <w:t>Mazzei</w:t>
      </w:r>
      <w:proofErr w:type="spellEnd"/>
      <w:r>
        <w:t xml:space="preserve">, Massimo Severo </w:t>
      </w:r>
      <w:r>
        <w:rPr>
          <w:rStyle w:val="spelle"/>
        </w:rPr>
        <w:t>Giannini</w:t>
      </w:r>
      <w:r>
        <w:t xml:space="preserve">, Vezio </w:t>
      </w:r>
      <w:proofErr w:type="spellStart"/>
      <w:r>
        <w:rPr>
          <w:rStyle w:val="spelle"/>
        </w:rPr>
        <w:t>Crisafulli</w:t>
      </w:r>
      <w:proofErr w:type="spellEnd"/>
      <w:r>
        <w:t xml:space="preserve">, Giuliano Vassalli, Achille Battaglia, Federico </w:t>
      </w:r>
      <w:proofErr w:type="spellStart"/>
      <w:r>
        <w:rPr>
          <w:rStyle w:val="spelle"/>
        </w:rPr>
        <w:t>Comandini</w:t>
      </w:r>
      <w:proofErr w:type="spellEnd"/>
      <w:r>
        <w:t xml:space="preserve">, Piero </w:t>
      </w:r>
      <w:proofErr w:type="spellStart"/>
      <w:r>
        <w:rPr>
          <w:rStyle w:val="spelle"/>
        </w:rPr>
        <w:t>Calamandrei</w:t>
      </w:r>
      <w:proofErr w:type="spellEnd"/>
      <w:r>
        <w:t xml:space="preserve"> ed infine il vice avvocato generale dello Stato Marcello </w:t>
      </w:r>
      <w:r>
        <w:rPr>
          <w:rStyle w:val="spelle"/>
        </w:rPr>
        <w:t>Frattini</w:t>
      </w:r>
      <w:r>
        <w:t xml:space="preserve">. </w:t>
      </w:r>
    </w:p>
    <w:p w:rsidR="00910843" w:rsidRDefault="00910843" w:rsidP="00910843">
      <w:pPr>
        <w:pStyle w:val="NormaleWeb"/>
        <w:spacing w:before="0" w:beforeAutospacing="0" w:after="0" w:afterAutospacing="0" w:line="360" w:lineRule="auto"/>
        <w:ind w:firstLine="567"/>
        <w:jc w:val="both"/>
      </w:pPr>
    </w:p>
    <w:p w:rsidR="00910843" w:rsidRDefault="00910843" w:rsidP="00910843">
      <w:pPr>
        <w:pStyle w:val="NormaleWeb"/>
        <w:spacing w:before="0" w:beforeAutospacing="0" w:after="0" w:afterAutospacing="0" w:line="360" w:lineRule="auto"/>
        <w:ind w:firstLine="567"/>
        <w:jc w:val="center"/>
        <w:rPr>
          <w:i/>
          <w:iCs/>
        </w:rPr>
      </w:pPr>
      <w:r>
        <w:rPr>
          <w:i/>
          <w:iCs/>
        </w:rPr>
        <w:t>Ritenuto in fatto</w:t>
      </w:r>
    </w:p>
    <w:p w:rsidR="00910843" w:rsidRDefault="00910843" w:rsidP="00910843">
      <w:pPr>
        <w:pStyle w:val="NormaleWeb"/>
        <w:spacing w:before="0" w:beforeAutospacing="0" w:after="0" w:afterAutospacing="0" w:line="360" w:lineRule="auto"/>
        <w:ind w:firstLine="567"/>
        <w:jc w:val="center"/>
        <w:rPr>
          <w:i/>
          <w:iCs/>
        </w:rPr>
      </w:pPr>
    </w:p>
    <w:p w:rsidR="00910843" w:rsidRDefault="00910843" w:rsidP="00910843">
      <w:pPr>
        <w:pStyle w:val="NormaleWeb"/>
        <w:spacing w:before="0" w:beforeAutospacing="0" w:after="0" w:afterAutospacing="0" w:line="360" w:lineRule="auto"/>
        <w:ind w:firstLine="567"/>
        <w:jc w:val="both"/>
      </w:pPr>
      <w:r>
        <w:t xml:space="preserve">La questione di legittimità costituzionale, che forma oggetto dei trenta giudizi promossi con le ordinanze sopra elencate, é unica e fu sollevata nel corso di vari procedimenti penali (alcuni in primo grado, altri in appello) che si svolgevano a carico di persone alle quali erano imputate trasgressioni al precetto dell'art. 113 del T.U. delle leggi di </w:t>
      </w:r>
      <w:proofErr w:type="spellStart"/>
      <w:r>
        <w:rPr>
          <w:rStyle w:val="spelle"/>
        </w:rPr>
        <w:t>p.s.</w:t>
      </w:r>
      <w:proofErr w:type="spellEnd"/>
      <w:r>
        <w:t xml:space="preserve"> per avere o </w:t>
      </w:r>
      <w:r>
        <w:rPr>
          <w:rStyle w:val="grame"/>
        </w:rPr>
        <w:t>distribuito avvisi</w:t>
      </w:r>
      <w:r>
        <w:t xml:space="preserve"> o stampati nella pubblica strada, o affisso manifesti o giornali, ovvero usato alto parlanti per comunicazioni al pubblico, senza autorizzazione dell’ autorità di pubblica sicurezza, com'é prescritto nel detto articolo, o anche, nonostante il divieto espresso di tale autorità. A tutti perciò era contestata contravvenzione punibile a norma dell'articolo 663 </w:t>
      </w:r>
      <w:r>
        <w:rPr>
          <w:rStyle w:val="spelle"/>
        </w:rPr>
        <w:t>Cod.</w:t>
      </w:r>
      <w:r>
        <w:t xml:space="preserve"> </w:t>
      </w:r>
      <w:proofErr w:type="spellStart"/>
      <w:r>
        <w:rPr>
          <w:rStyle w:val="spelle"/>
        </w:rPr>
        <w:t>pen</w:t>
      </w:r>
      <w:proofErr w:type="spellEnd"/>
      <w:r>
        <w:rPr>
          <w:rStyle w:val="spelle"/>
        </w:rPr>
        <w:t>.</w:t>
      </w:r>
      <w:r>
        <w:t xml:space="preserve"> </w:t>
      </w:r>
      <w:r>
        <w:rPr>
          <w:rStyle w:val="grame"/>
        </w:rPr>
        <w:t>modificato</w:t>
      </w:r>
      <w:r>
        <w:t xml:space="preserve"> con D.L. 8 novembre 1947, n. 1382. ………………</w:t>
      </w:r>
    </w:p>
    <w:p w:rsidR="00910843" w:rsidRDefault="00910843" w:rsidP="00910843">
      <w:pPr>
        <w:pStyle w:val="NormaleWeb"/>
        <w:spacing w:before="0" w:beforeAutospacing="0" w:after="0" w:afterAutospacing="0" w:line="360" w:lineRule="auto"/>
        <w:ind w:firstLine="567"/>
        <w:jc w:val="both"/>
      </w:pPr>
    </w:p>
    <w:p w:rsidR="00910843" w:rsidRDefault="00910843" w:rsidP="00910843">
      <w:pPr>
        <w:pStyle w:val="NormaleWeb"/>
        <w:spacing w:before="0" w:beforeAutospacing="0" w:after="0" w:afterAutospacing="0" w:line="360" w:lineRule="auto"/>
        <w:ind w:firstLine="567"/>
        <w:jc w:val="both"/>
      </w:pPr>
    </w:p>
    <w:p w:rsidR="00910843" w:rsidRDefault="00910843" w:rsidP="00910843">
      <w:pPr>
        <w:pStyle w:val="NormaleWeb"/>
        <w:spacing w:before="0" w:beforeAutospacing="0" w:after="0" w:afterAutospacing="0" w:line="360" w:lineRule="auto"/>
        <w:ind w:firstLine="567"/>
        <w:jc w:val="center"/>
      </w:pPr>
      <w:r>
        <w:rPr>
          <w:i/>
          <w:iCs/>
        </w:rPr>
        <w:t>Considerato in diritto</w:t>
      </w:r>
      <w:r>
        <w:t> </w:t>
      </w:r>
    </w:p>
    <w:p w:rsidR="00910843" w:rsidRDefault="00910843" w:rsidP="00910843">
      <w:pPr>
        <w:pStyle w:val="NormaleWeb"/>
        <w:spacing w:before="0" w:beforeAutospacing="0" w:after="0" w:afterAutospacing="0" w:line="360" w:lineRule="auto"/>
        <w:ind w:firstLine="567"/>
        <w:jc w:val="center"/>
        <w:rPr>
          <w:i/>
          <w:iCs/>
        </w:rPr>
      </w:pPr>
    </w:p>
    <w:p w:rsidR="00910843" w:rsidRDefault="00910843" w:rsidP="00910843">
      <w:pPr>
        <w:pStyle w:val="NormaleWeb"/>
        <w:spacing w:before="0" w:beforeAutospacing="0" w:after="0" w:afterAutospacing="0" w:line="360" w:lineRule="auto"/>
        <w:ind w:firstLine="567"/>
        <w:jc w:val="both"/>
      </w:pPr>
      <w:r>
        <w:t xml:space="preserve">Poiché, come si é </w:t>
      </w:r>
      <w:r>
        <w:rPr>
          <w:rStyle w:val="grame"/>
        </w:rPr>
        <w:t>detto, unica</w:t>
      </w:r>
      <w:r>
        <w:t xml:space="preserve"> é la questione di legittimità costituzionale che forma oggetto dei trenta giudizi proposti con altrettante ordinanze, la Corte ravvisa opportuno che la decisione nei giudizi riuniti abbia luogo con unica sentenza. </w:t>
      </w:r>
    </w:p>
    <w:p w:rsidR="00910843" w:rsidRDefault="00910843" w:rsidP="00910843">
      <w:pPr>
        <w:pStyle w:val="NormaleWeb"/>
        <w:spacing w:before="0" w:beforeAutospacing="0" w:after="0" w:afterAutospacing="0" w:line="360" w:lineRule="auto"/>
        <w:ind w:firstLine="567"/>
        <w:jc w:val="both"/>
      </w:pPr>
      <w:r>
        <w:rPr>
          <w:rStyle w:val="grame"/>
        </w:rPr>
        <w:t>É superfluo fermarsi sulle argomentazioni fatte durante la discussione orale per contestare l'intervento del Presidente del Consiglio dei Mi</w:t>
      </w:r>
      <w:r>
        <w:t xml:space="preserve">nistri. Le disposizioni della legge 11 marzo 1953, n. 87 sono chiarissime nel prescrivere che i giudizi di legittimità costituzionale promossi con ordinanza si </w:t>
      </w:r>
      <w:r>
        <w:rPr>
          <w:rStyle w:val="grame"/>
        </w:rPr>
        <w:t>svolgano</w:t>
      </w:r>
      <w:r>
        <w:t xml:space="preserve"> in contraddittorio non solo di coloro che sono parti nella causa che ha dato origine alla questione di legittimità, ma anche   del Presidente del Consiglio, in relazione al duplice effetto che la pronuncia della Corte costituzionale é destinata ad avere, sia specificamente per la causa in corso, sia generalmente erga </w:t>
      </w:r>
      <w:proofErr w:type="spellStart"/>
      <w:r>
        <w:rPr>
          <w:rStyle w:val="spelle"/>
        </w:rPr>
        <w:t>omnes</w:t>
      </w:r>
      <w:proofErr w:type="spellEnd"/>
      <w:r>
        <w:t xml:space="preserve">. Appunto per questo l'art. 23 della stessa legge impone la notificazione dell'ordinanza che promuove il giudizio così alle dette parti come al Presidente del Consiglio dei Ministri e gli </w:t>
      </w:r>
      <w:r>
        <w:rPr>
          <w:rStyle w:val="spelle"/>
        </w:rPr>
        <w:t>artt</w:t>
      </w:r>
      <w:r>
        <w:t xml:space="preserve">. 20 e 25 regolano, insieme con la rappresentanza e la costituzione delle parti, anche la rappresentanza e l'intervento del Presidente del Consiglio </w:t>
      </w:r>
      <w:r>
        <w:rPr>
          <w:rStyle w:val="grame"/>
        </w:rPr>
        <w:t>dei</w:t>
      </w:r>
      <w:r>
        <w:t xml:space="preserve"> Ministri. Questo intervento ha quindi un carattere </w:t>
      </w:r>
      <w:r>
        <w:rPr>
          <w:rStyle w:val="grame"/>
        </w:rPr>
        <w:t>suo proprio</w:t>
      </w:r>
      <w:r>
        <w:t xml:space="preserve">, come mezzo di integrazione del contraddittorio prescritto dalla legge, e si distingue nettamente dall'istituto dell'intervento regolato dal codice di procedura e dalle norme processuali della giustizia amministrativa. </w:t>
      </w:r>
      <w:r>
        <w:rPr>
          <w:rStyle w:val="grame"/>
        </w:rPr>
        <w:t>Né dall'uno né dalle altre é lecito perciò dedurre qualsiasi elemento che possa valere per l'intervento del Presidente del Consiglio nei giudizi davanti alla Corte costituzionale e vano riesce qualsiasi sforzo dialettico in senso contrario</w:t>
      </w:r>
      <w:r>
        <w:t xml:space="preserve">. </w:t>
      </w:r>
    </w:p>
    <w:p w:rsidR="00910843" w:rsidRDefault="00910843" w:rsidP="00910843">
      <w:pPr>
        <w:pStyle w:val="NormaleWeb"/>
        <w:spacing w:before="0" w:beforeAutospacing="0" w:after="0" w:afterAutospacing="0" w:line="360" w:lineRule="auto"/>
        <w:ind w:firstLine="567"/>
        <w:jc w:val="both"/>
      </w:pPr>
      <w:r>
        <w:rPr>
          <w:rStyle w:val="grame"/>
        </w:rPr>
        <w:t>In ordine alla</w:t>
      </w:r>
      <w:r>
        <w:t xml:space="preserve"> questione di competenza sollevata dall'Avvocatura dello Stato, é innanzi tutto da considerare fuori di discussione la competenza esclusiva della Corte costituzionale a giudicare sulle controversie relative alla legittimità costituzionale delle leggi e degli atti aventi forza di legge, come é stabilito nell'art. 134 della Costituzione. La dichiarazione </w:t>
      </w:r>
      <w:r>
        <w:rPr>
          <w:rStyle w:val="grame"/>
        </w:rPr>
        <w:t xml:space="preserve">di </w:t>
      </w:r>
      <w:r>
        <w:t xml:space="preserve">illegittimità costituzionale di una legge non può essere fatta che dalla Corte costituzionale in conformità dell'art. 136 della stessa Costituzione. </w:t>
      </w:r>
    </w:p>
    <w:p w:rsidR="00910843" w:rsidRDefault="00910843" w:rsidP="00910843">
      <w:pPr>
        <w:pStyle w:val="NormaleWeb"/>
        <w:spacing w:before="0" w:beforeAutospacing="0" w:after="0" w:afterAutospacing="0" w:line="360" w:lineRule="auto"/>
        <w:ind w:firstLine="567"/>
        <w:jc w:val="both"/>
      </w:pPr>
      <w:r>
        <w:t xml:space="preserve">L'assunto che il nuovo istituto della "illegittimità costituzionale" si </w:t>
      </w:r>
      <w:r>
        <w:rPr>
          <w:rStyle w:val="grame"/>
        </w:rPr>
        <w:t>riferisca</w:t>
      </w:r>
      <w:r>
        <w:t xml:space="preserve"> solo alle leggi posteriori alla Costituzione e non anche a quelle anteriori non può essere accolto, sia perché, dal lato testuale, tanto l'art. 134 della Costituzione quanto l'art. 1 della legge costituzionale 9 febbraio 1948, n. 1, parlano di questioni di legittimità costituzionale delle leggi, senza fare alcuna distinzione, sia perché, dal lato logico, é innegabile che il rapporto tra leggi ordinarie e leggi costituzionali e il grado che ad esse rispettivamente spetta nella gerarchia delle fonti non mutano </w:t>
      </w:r>
      <w:r>
        <w:lastRenderedPageBreak/>
        <w:t>affatto, siano le leggi ordinarie</w:t>
      </w:r>
      <w:r w:rsidRPr="00910843">
        <w:rPr>
          <w:b/>
        </w:rPr>
        <w:t xml:space="preserve"> anteriori</w:t>
      </w:r>
      <w:r>
        <w:t xml:space="preserve">, siano posteriori a quelle costituzionali. </w:t>
      </w:r>
      <w:r>
        <w:rPr>
          <w:rStyle w:val="grame"/>
        </w:rPr>
        <w:t>Tanto nell'uno quanto nell'altro caso la legge costituzionale, per la sua intrinseca natura nel sistema di Costituzione rigida, deve prevalere sulla legge ordinaria</w:t>
      </w:r>
      <w:r>
        <w:t xml:space="preserve">. </w:t>
      </w:r>
    </w:p>
    <w:p w:rsidR="00910843" w:rsidRDefault="00910843" w:rsidP="00910843">
      <w:pPr>
        <w:pStyle w:val="NormaleWeb"/>
        <w:spacing w:before="0" w:beforeAutospacing="0" w:after="0" w:afterAutospacing="0" w:line="360" w:lineRule="auto"/>
        <w:ind w:firstLine="567"/>
        <w:jc w:val="both"/>
      </w:pPr>
      <w:r>
        <w:t xml:space="preserve">Non occorre poi fermarsi ad esaminare se e in quali casi, per le leggi anteriori, il contrasto con norme della Costituzione sopravvenuta </w:t>
      </w:r>
      <w:r>
        <w:rPr>
          <w:rStyle w:val="grame"/>
        </w:rPr>
        <w:t>possa</w:t>
      </w:r>
      <w:r>
        <w:t xml:space="preserve"> configurare un problema di abrogazione da risolvere alla stregua dei principi generali fermati nell'art. 15 delle </w:t>
      </w:r>
      <w:proofErr w:type="spellStart"/>
      <w:r>
        <w:rPr>
          <w:rStyle w:val="spelle"/>
        </w:rPr>
        <w:t>Disp</w:t>
      </w:r>
      <w:proofErr w:type="spellEnd"/>
      <w:r>
        <w:t xml:space="preserve">. </w:t>
      </w:r>
      <w:r>
        <w:rPr>
          <w:rStyle w:val="grame"/>
        </w:rPr>
        <w:t>prel.</w:t>
      </w:r>
      <w:r>
        <w:t xml:space="preserve"> al </w:t>
      </w:r>
      <w:r>
        <w:rPr>
          <w:rStyle w:val="spelle"/>
        </w:rPr>
        <w:t>Cod.</w:t>
      </w:r>
      <w:r>
        <w:t xml:space="preserve"> civ. I due istituti giuridici dell'</w:t>
      </w:r>
      <w:r w:rsidRPr="00910843">
        <w:rPr>
          <w:b/>
        </w:rPr>
        <w:t xml:space="preserve">abrogazione </w:t>
      </w:r>
      <w:r>
        <w:t xml:space="preserve">e </w:t>
      </w:r>
      <w:r>
        <w:rPr>
          <w:rStyle w:val="grame"/>
        </w:rPr>
        <w:t xml:space="preserve">della </w:t>
      </w:r>
      <w:r w:rsidRPr="00910843">
        <w:rPr>
          <w:b/>
        </w:rPr>
        <w:t>illegittimità costituzionale</w:t>
      </w:r>
      <w:r>
        <w:t xml:space="preserve"> delle leggi non sono identici fra loro, si muovono su </w:t>
      </w:r>
      <w:r w:rsidRPr="00910843">
        <w:rPr>
          <w:b/>
        </w:rPr>
        <w:t>piani diversi</w:t>
      </w:r>
      <w:r>
        <w:t xml:space="preserve">, con </w:t>
      </w:r>
      <w:r w:rsidRPr="00910843">
        <w:rPr>
          <w:b/>
        </w:rPr>
        <w:t>effetti diversi</w:t>
      </w:r>
      <w:r>
        <w:t xml:space="preserve"> e con </w:t>
      </w:r>
      <w:r w:rsidRPr="00910843">
        <w:rPr>
          <w:b/>
        </w:rPr>
        <w:t>competenze diverse</w:t>
      </w:r>
      <w:r>
        <w:t xml:space="preserve">. </w:t>
      </w:r>
    </w:p>
    <w:p w:rsidR="00910843" w:rsidRPr="00910843" w:rsidRDefault="00910843" w:rsidP="00910843">
      <w:pPr>
        <w:pStyle w:val="NormaleWeb"/>
        <w:spacing w:before="0" w:beforeAutospacing="0" w:after="0" w:afterAutospacing="0" w:line="360" w:lineRule="auto"/>
        <w:ind w:firstLine="567"/>
        <w:jc w:val="both"/>
        <w:rPr>
          <w:u w:val="single"/>
        </w:rPr>
      </w:pPr>
      <w:r w:rsidRPr="00910843">
        <w:rPr>
          <w:u w:val="single"/>
        </w:rPr>
        <w:t xml:space="preserve">Il campo dell'abrogazione inoltre é più ristretto, in confronto di quello </w:t>
      </w:r>
      <w:r w:rsidRPr="00910843">
        <w:rPr>
          <w:rStyle w:val="grame"/>
          <w:u w:val="single"/>
        </w:rPr>
        <w:t xml:space="preserve">della </w:t>
      </w:r>
      <w:r w:rsidRPr="00910843">
        <w:rPr>
          <w:u w:val="single"/>
        </w:rPr>
        <w:t xml:space="preserve">illegittimità costituzionale, e i requisiti richiesti perché si abbia abrogazione per incompatibilità secondo i principi generali sono assai più limitati di quelli che possano consentire la dichiarazione di illegittimità costituzionale di una legge. </w:t>
      </w:r>
    </w:p>
    <w:p w:rsidR="00910843" w:rsidRDefault="00910843" w:rsidP="00910843">
      <w:pPr>
        <w:pStyle w:val="NormaleWeb"/>
        <w:spacing w:before="0" w:beforeAutospacing="0" w:after="0" w:afterAutospacing="0" w:line="360" w:lineRule="auto"/>
        <w:ind w:firstLine="567"/>
        <w:jc w:val="both"/>
      </w:pPr>
      <w:r>
        <w:t xml:space="preserve">Affermata la competenza di questa Corte, si può passare all'esame della questione di legittimità costituzionale proposta con le ordinanze sopra indicate. </w:t>
      </w:r>
    </w:p>
    <w:p w:rsidR="00910843" w:rsidRDefault="00910843" w:rsidP="00910843">
      <w:pPr>
        <w:pStyle w:val="NormaleWeb"/>
        <w:spacing w:before="0" w:beforeAutospacing="0" w:after="0" w:afterAutospacing="0" w:line="360" w:lineRule="auto"/>
        <w:ind w:firstLine="567"/>
        <w:jc w:val="both"/>
        <w:rPr>
          <w:rStyle w:val="grame"/>
        </w:rPr>
      </w:pPr>
    </w:p>
    <w:p w:rsidR="00910843" w:rsidRDefault="00910843" w:rsidP="00910843">
      <w:pPr>
        <w:pStyle w:val="NormaleWeb"/>
        <w:spacing w:before="0" w:beforeAutospacing="0" w:after="0" w:afterAutospacing="0" w:line="360" w:lineRule="auto"/>
        <w:ind w:firstLine="567"/>
        <w:jc w:val="both"/>
      </w:pPr>
      <w:r>
        <w:rPr>
          <w:rStyle w:val="grame"/>
        </w:rPr>
        <w:t xml:space="preserve">Se le disposizioni dell'art. 113 della legge di </w:t>
      </w:r>
      <w:proofErr w:type="spellStart"/>
      <w:r>
        <w:rPr>
          <w:rStyle w:val="spelle"/>
        </w:rPr>
        <w:t>p.s.</w:t>
      </w:r>
      <w:proofErr w:type="spellEnd"/>
      <w:r>
        <w:rPr>
          <w:rStyle w:val="grame"/>
        </w:rPr>
        <w:t xml:space="preserve"> possano coesistere con le dichiarazioni dell'art. 21 della Costituzione é questione che ha già formato oggetto di moltissime pronunce della Magistratura ordinaria e di numerosi scritti di studiosi</w:t>
      </w:r>
      <w:r>
        <w:t xml:space="preserve">. </w:t>
      </w:r>
    </w:p>
    <w:p w:rsidR="00910843" w:rsidRDefault="00910843" w:rsidP="00910843">
      <w:pPr>
        <w:pStyle w:val="NormaleWeb"/>
        <w:spacing w:before="0" w:beforeAutospacing="0" w:after="0" w:afterAutospacing="0" w:line="360" w:lineRule="auto"/>
        <w:ind w:firstLine="567"/>
        <w:jc w:val="both"/>
      </w:pPr>
      <w:r>
        <w:t xml:space="preserve">Ma la questione é stata posta, quasi esclusivamente, sotto il profilo </w:t>
      </w:r>
      <w:r>
        <w:rPr>
          <w:rStyle w:val="grame"/>
        </w:rPr>
        <w:t xml:space="preserve">della </w:t>
      </w:r>
      <w:r>
        <w:t xml:space="preserve">abrogazione dell'art. 113 per incompatibilità con l'articolo 21 della Costituzione e le discussioni si sono svolte principalmente sul punto se le norme dettate in questo ultimo articolo fossero da ritenere </w:t>
      </w:r>
      <w:r>
        <w:rPr>
          <w:rStyle w:val="spelle"/>
        </w:rPr>
        <w:t>precettive</w:t>
      </w:r>
      <w:r>
        <w:t xml:space="preserve"> di immediata attuazione o programmatiche. </w:t>
      </w:r>
    </w:p>
    <w:p w:rsidR="00910843" w:rsidRDefault="00910843" w:rsidP="00910843">
      <w:pPr>
        <w:pStyle w:val="NormaleWeb"/>
        <w:spacing w:before="0" w:beforeAutospacing="0" w:after="0" w:afterAutospacing="0" w:line="360" w:lineRule="auto"/>
        <w:ind w:firstLine="567"/>
        <w:jc w:val="both"/>
      </w:pPr>
      <w:r>
        <w:rPr>
          <w:rStyle w:val="grame"/>
        </w:rPr>
        <w:t>Anche</w:t>
      </w:r>
      <w:r>
        <w:t xml:space="preserve"> nel presente giudizio queste discussioni sono state riprese dalle parti. Ma non occorre fermarsi su di </w:t>
      </w:r>
      <w:r>
        <w:rPr>
          <w:rStyle w:val="grame"/>
        </w:rPr>
        <w:t>esse</w:t>
      </w:r>
      <w:r>
        <w:t xml:space="preserve"> né ricordare la giurisprudenza formatasi in proposito, perché la nota distinzione fra</w:t>
      </w:r>
      <w:r w:rsidRPr="00910843">
        <w:rPr>
          <w:b/>
        </w:rPr>
        <w:t xml:space="preserve"> norme </w:t>
      </w:r>
      <w:r w:rsidRPr="00910843">
        <w:rPr>
          <w:rStyle w:val="spelle"/>
          <w:b/>
        </w:rPr>
        <w:t>precettive</w:t>
      </w:r>
      <w:r w:rsidRPr="00910843">
        <w:rPr>
          <w:b/>
        </w:rPr>
        <w:t xml:space="preserve"> </w:t>
      </w:r>
      <w:r>
        <w:t xml:space="preserve">e </w:t>
      </w:r>
      <w:r w:rsidRPr="00910843">
        <w:rPr>
          <w:b/>
        </w:rPr>
        <w:t>norme programmatiche</w:t>
      </w:r>
      <w:r>
        <w:t xml:space="preserve"> </w:t>
      </w:r>
      <w:r w:rsidRPr="00CC3E11">
        <w:rPr>
          <w:u w:val="single"/>
        </w:rPr>
        <w:t>può essere bensì determinante per decidere della abrogazione o meno di una legge, ma non é decisiva nei giudizi di legittimità costituzionale</w:t>
      </w:r>
      <w:r>
        <w:t xml:space="preserve">, </w:t>
      </w:r>
      <w:r w:rsidRPr="00910843">
        <w:rPr>
          <w:u w:val="single"/>
        </w:rPr>
        <w:t>potendo la illegittimità costituzionale di una legge derivare, in determinati casi, anche dalla sua non conciliabilità con norme che si dicono programmatiche</w:t>
      </w:r>
      <w:r>
        <w:t xml:space="preserve">, </w:t>
      </w:r>
      <w:r w:rsidRPr="00910843">
        <w:rPr>
          <w:u w:val="single"/>
        </w:rPr>
        <w:t>tanto più che in questa categoria vogliono essere comprese norme costituzionali di contenuto diverso: da quelle che si limitano a tracciare programmi generici di futura ed incerta attuazione, a norme dove il programma</w:t>
      </w:r>
      <w:r>
        <w:rPr>
          <w:u w:val="single"/>
        </w:rPr>
        <w:t xml:space="preserve"> </w:t>
      </w:r>
      <w:r w:rsidRPr="00910843">
        <w:rPr>
          <w:u w:val="single"/>
        </w:rPr>
        <w:t xml:space="preserve"> ha concretezza che non può non vincolare immediatamente il legislatore, ripercuotersi sulla interpretazione della legislazione precedente e sulla perdurante efficacia di alcune parti di questa; vi sono pure norme le quali fissano principi fondamentali, che anche essi si riverberano sull'intera legislazione</w:t>
      </w:r>
      <w:r>
        <w:t xml:space="preserve">. </w:t>
      </w:r>
    </w:p>
    <w:p w:rsidR="00910843" w:rsidRDefault="00910843" w:rsidP="00910843">
      <w:pPr>
        <w:pStyle w:val="NormaleWeb"/>
        <w:spacing w:before="0" w:beforeAutospacing="0" w:after="0" w:afterAutospacing="0" w:line="360" w:lineRule="auto"/>
        <w:ind w:firstLine="567"/>
        <w:jc w:val="both"/>
      </w:pPr>
      <w:r>
        <w:lastRenderedPageBreak/>
        <w:t xml:space="preserve">Pertanto é il contenuto concreto delle norme dettate nell'articolo 21 della Costituzione e il loro rapporto con le disposizioni dell'art. 113 della legge di </w:t>
      </w:r>
      <w:proofErr w:type="spellStart"/>
      <w:r>
        <w:rPr>
          <w:rStyle w:val="spelle"/>
        </w:rPr>
        <w:t>p.s.</w:t>
      </w:r>
      <w:proofErr w:type="spellEnd"/>
      <w:r>
        <w:t xml:space="preserve"> che </w:t>
      </w:r>
      <w:r>
        <w:rPr>
          <w:rStyle w:val="grame"/>
        </w:rPr>
        <w:t>dovranno</w:t>
      </w:r>
      <w:r>
        <w:t xml:space="preserve"> essere presi direttamente in esame, per accertare se vi sia contrasto dal quale derivi la illegittimità costituzionale di queste ultime disposizioni. </w:t>
      </w:r>
    </w:p>
    <w:p w:rsidR="00910843" w:rsidRDefault="00910843" w:rsidP="00910843">
      <w:pPr>
        <w:pStyle w:val="NormaleWeb"/>
        <w:spacing w:before="0" w:beforeAutospacing="0" w:after="0" w:afterAutospacing="0" w:line="360" w:lineRule="auto"/>
        <w:ind w:firstLine="567"/>
        <w:jc w:val="both"/>
      </w:pPr>
      <w:r>
        <w:rPr>
          <w:rStyle w:val="grame"/>
        </w:rPr>
        <w:t>Per escludere che contrasto vi sia, é stato da qualcuno asserito che bisogna distinguere tra manifestazione del pensiero, la quale deve essere libera, e la divulgazione del pensiero dichiarato, della quale non é menzione nella Costituzione</w:t>
      </w:r>
      <w:r>
        <w:t xml:space="preserve">. </w:t>
      </w:r>
      <w:r>
        <w:rPr>
          <w:rStyle w:val="grame"/>
        </w:rPr>
        <w:t>Ma</w:t>
      </w:r>
      <w:r>
        <w:t xml:space="preserve"> tale distinzione non é consentita da alcuna norma costituzionale. </w:t>
      </w:r>
    </w:p>
    <w:p w:rsidR="00910843" w:rsidRPr="00910843" w:rsidRDefault="00910843" w:rsidP="00910843">
      <w:pPr>
        <w:pStyle w:val="NormaleWeb"/>
        <w:spacing w:before="0" w:beforeAutospacing="0" w:after="0" w:afterAutospacing="0" w:line="360" w:lineRule="auto"/>
        <w:ind w:firstLine="567"/>
        <w:jc w:val="both"/>
        <w:rPr>
          <w:b/>
        </w:rPr>
      </w:pPr>
      <w:r w:rsidRPr="00910843">
        <w:rPr>
          <w:b/>
        </w:rPr>
        <w:t xml:space="preserve">Tuttavia é da rilevare, in via generale, che la norma la quale attribuisce un diritto non escluda il regolamento dell'esercizio di </w:t>
      </w:r>
      <w:r w:rsidRPr="00910843">
        <w:rPr>
          <w:rStyle w:val="grame"/>
          <w:b/>
        </w:rPr>
        <w:t>esso</w:t>
      </w:r>
      <w:r w:rsidRPr="00910843">
        <w:rPr>
          <w:b/>
        </w:rPr>
        <w:t xml:space="preserve">. </w:t>
      </w:r>
    </w:p>
    <w:p w:rsidR="00910843" w:rsidRPr="00910843" w:rsidRDefault="00910843" w:rsidP="00910843">
      <w:pPr>
        <w:pStyle w:val="NormaleWeb"/>
        <w:spacing w:before="0" w:beforeAutospacing="0" w:after="0" w:afterAutospacing="0" w:line="360" w:lineRule="auto"/>
        <w:ind w:firstLine="567"/>
        <w:jc w:val="both"/>
        <w:rPr>
          <w:u w:val="single"/>
        </w:rPr>
      </w:pPr>
      <w:r w:rsidRPr="00910843">
        <w:rPr>
          <w:u w:val="single"/>
        </w:rPr>
        <w:t xml:space="preserve">Una disciplina delle modalità </w:t>
      </w:r>
      <w:r w:rsidRPr="00910843">
        <w:rPr>
          <w:rStyle w:val="grame"/>
          <w:u w:val="single"/>
        </w:rPr>
        <w:t xml:space="preserve">di </w:t>
      </w:r>
      <w:r w:rsidRPr="00910843">
        <w:rPr>
          <w:u w:val="single"/>
        </w:rPr>
        <w:t>esercizio di un diritto, in modo che l'attività di un individuo rivolta al perseguimento dei propri fini si concili con il perseguimento dei fini degli altri, non sarebbe perciò da considerare di per sé violazione o negazione del diritto</w:t>
      </w:r>
      <w:r>
        <w:t xml:space="preserve">. </w:t>
      </w:r>
      <w:r>
        <w:rPr>
          <w:rStyle w:val="grame"/>
        </w:rPr>
        <w:t xml:space="preserve">E se pure si pensasse che dalla disciplina dell'esercizio può anche derivare indirettamente un certo limite al diritto stesso, bisognerebbe ricordare che </w:t>
      </w:r>
      <w:r w:rsidRPr="00910843">
        <w:rPr>
          <w:rStyle w:val="grame"/>
          <w:b/>
        </w:rPr>
        <w:t xml:space="preserve">il concetto di limite é insito nel concetto di diritto </w:t>
      </w:r>
      <w:r>
        <w:rPr>
          <w:rStyle w:val="grame"/>
        </w:rPr>
        <w:t xml:space="preserve">e che </w:t>
      </w:r>
      <w:r w:rsidRPr="00910843">
        <w:rPr>
          <w:rStyle w:val="grame"/>
          <w:u w:val="single"/>
        </w:rPr>
        <w:t>nell'ambito dell'ordinamento le varie sfere giuridiche devono di necessità limitarsi reciprocamente, perché possano coesistere nell'</w:t>
      </w:r>
      <w:r w:rsidRPr="006D40CD">
        <w:rPr>
          <w:rStyle w:val="grame"/>
          <w:b/>
          <w:u w:val="single"/>
        </w:rPr>
        <w:t>ordinata convivenza civile</w:t>
      </w:r>
      <w:r w:rsidRPr="00910843">
        <w:rPr>
          <w:u w:val="single"/>
        </w:rPr>
        <w:t xml:space="preserve">. </w:t>
      </w:r>
    </w:p>
    <w:p w:rsidR="00910843" w:rsidRPr="00910843" w:rsidRDefault="00910843" w:rsidP="00910843">
      <w:pPr>
        <w:pStyle w:val="NormaleWeb"/>
        <w:spacing w:before="0" w:beforeAutospacing="0" w:after="0" w:afterAutospacing="0" w:line="360" w:lineRule="auto"/>
        <w:ind w:firstLine="567"/>
        <w:jc w:val="both"/>
        <w:rPr>
          <w:u w:val="single"/>
        </w:rPr>
      </w:pPr>
      <w:r w:rsidRPr="00910843">
        <w:rPr>
          <w:u w:val="single"/>
        </w:rPr>
        <w:t xml:space="preserve">É evidentemente da escludere che con </w:t>
      </w:r>
      <w:r w:rsidRPr="00910843">
        <w:rPr>
          <w:rStyle w:val="grame"/>
          <w:u w:val="single"/>
        </w:rPr>
        <w:t xml:space="preserve">la </w:t>
      </w:r>
      <w:r w:rsidRPr="00910843">
        <w:rPr>
          <w:u w:val="single"/>
        </w:rPr>
        <w:t xml:space="preserve">enunciazione del diritto di libera manifestazione del pensiero la Costituzione abbia consentite attività le quali turbino la </w:t>
      </w:r>
      <w:r w:rsidRPr="006D40CD">
        <w:rPr>
          <w:b/>
          <w:u w:val="single"/>
        </w:rPr>
        <w:t>tranquillità pubblica</w:t>
      </w:r>
      <w:r w:rsidRPr="00910843">
        <w:rPr>
          <w:u w:val="single"/>
        </w:rPr>
        <w:t xml:space="preserve">, ovvero abbia sottratta alla </w:t>
      </w:r>
      <w:r w:rsidRPr="006D40CD">
        <w:rPr>
          <w:b/>
          <w:u w:val="single"/>
        </w:rPr>
        <w:t>polizia di sicurezza</w:t>
      </w:r>
      <w:r w:rsidRPr="00910843">
        <w:rPr>
          <w:u w:val="single"/>
        </w:rPr>
        <w:t xml:space="preserve"> la </w:t>
      </w:r>
      <w:r w:rsidRPr="006D40CD">
        <w:rPr>
          <w:b/>
          <w:u w:val="single"/>
        </w:rPr>
        <w:t>funzione di prevenzione dei reati</w:t>
      </w:r>
      <w:r w:rsidRPr="00910843">
        <w:rPr>
          <w:u w:val="single"/>
        </w:rPr>
        <w:t xml:space="preserve">. </w:t>
      </w:r>
    </w:p>
    <w:p w:rsidR="00910843" w:rsidRDefault="00910843" w:rsidP="00910843">
      <w:pPr>
        <w:pStyle w:val="NormaleWeb"/>
        <w:spacing w:before="0" w:beforeAutospacing="0" w:after="0" w:afterAutospacing="0" w:line="360" w:lineRule="auto"/>
        <w:ind w:firstLine="567"/>
        <w:jc w:val="both"/>
      </w:pPr>
      <w:r>
        <w:t xml:space="preserve">Sotto </w:t>
      </w:r>
      <w:r>
        <w:rPr>
          <w:rStyle w:val="grame"/>
        </w:rPr>
        <w:t xml:space="preserve">questo </w:t>
      </w:r>
      <w:r>
        <w:t xml:space="preserve">aspetto bisognerebbe non dubitare della legittimità costituzionale dell'art. 113, se il conferimento del potere ivi indicato all'Autorità di pubblica sicurezza risultasse vincolato al fine di impedire fatti che siano costitutivi di reati o che, secondo ragionevoli previsioni, potrebbero provocarli. </w:t>
      </w:r>
    </w:p>
    <w:p w:rsidR="00910843" w:rsidRDefault="00910843" w:rsidP="00910843">
      <w:pPr>
        <w:pStyle w:val="NormaleWeb"/>
        <w:spacing w:before="0" w:beforeAutospacing="0" w:after="0" w:afterAutospacing="0" w:line="360" w:lineRule="auto"/>
        <w:ind w:firstLine="567"/>
        <w:jc w:val="both"/>
      </w:pPr>
      <w:r>
        <w:t xml:space="preserve">Ma é innegabile che nessuna determinazione in tale senso vi é nel detto articolo, il quale, col prescrivere l'autorizzazione, sembra far dipendere quasi da una concessione dell'autorità di pubblica sicurezza il diritto, che l'art. 21 della Costituzione conferisce a tutti, attribuendo alla detta autorità poteri discrezionali illimitati, tali </w:t>
      </w:r>
      <w:r>
        <w:rPr>
          <w:rStyle w:val="grame"/>
        </w:rPr>
        <w:t>cioè</w:t>
      </w:r>
      <w:r>
        <w:t xml:space="preserve"> che, indipendentemente dal fine </w:t>
      </w:r>
      <w:proofErr w:type="spellStart"/>
      <w:r>
        <w:t>sp</w:t>
      </w:r>
      <w:proofErr w:type="spellEnd"/>
      <w:r w:rsidR="00CD4CBA">
        <w:t xml:space="preserve"> </w:t>
      </w:r>
      <w:proofErr w:type="spellStart"/>
      <w:r>
        <w:t>ecifico</w:t>
      </w:r>
      <w:proofErr w:type="spellEnd"/>
      <w:r>
        <w:t xml:space="preserve"> di tutela di tranquillità e di prevenzione di reati, il concedere o il negare l'autorizzazione può significare praticamente consentire o impedire caso per caso la manifestazione del pensiero. </w:t>
      </w:r>
    </w:p>
    <w:p w:rsidR="00910843" w:rsidRDefault="00910843" w:rsidP="00910843">
      <w:pPr>
        <w:pStyle w:val="NormaleWeb"/>
        <w:spacing w:before="0" w:beforeAutospacing="0" w:after="0" w:afterAutospacing="0" w:line="360" w:lineRule="auto"/>
        <w:ind w:firstLine="567"/>
        <w:jc w:val="both"/>
      </w:pPr>
      <w:r>
        <w:t xml:space="preserve">É vero che </w:t>
      </w:r>
      <w:r>
        <w:rPr>
          <w:rStyle w:val="grame"/>
        </w:rPr>
        <w:t xml:space="preserve">questa </w:t>
      </w:r>
      <w:r>
        <w:t xml:space="preserve">ampiezza di poteri discrezionali é stata notevolmente ridotta dal successivo decreto legislativo 8 novembre 1947, n. 1382, il quale consente ricorso al Procuratore della Repubblica contro i provvedimenti dell'Autorità di pubblica sicurezza che abbiano negata </w:t>
      </w:r>
      <w:r>
        <w:lastRenderedPageBreak/>
        <w:t xml:space="preserve">l'autorizzazione, disponendo che la decisione del Procuratore della Repubblica sostituisca a tutti gli effetti l'autorizzazione predetta. </w:t>
      </w:r>
    </w:p>
    <w:p w:rsidR="00910843" w:rsidRPr="00910843" w:rsidRDefault="00910843" w:rsidP="00910843">
      <w:pPr>
        <w:pStyle w:val="NormaleWeb"/>
        <w:spacing w:before="0" w:beforeAutospacing="0" w:after="0" w:afterAutospacing="0" w:line="360" w:lineRule="auto"/>
        <w:ind w:firstLine="567"/>
        <w:jc w:val="both"/>
        <w:rPr>
          <w:u w:val="single"/>
        </w:rPr>
      </w:pPr>
      <w:r w:rsidRPr="00910843">
        <w:rPr>
          <w:u w:val="single"/>
        </w:rPr>
        <w:t xml:space="preserve">Ma, ciò nonostante, </w:t>
      </w:r>
      <w:r w:rsidRPr="00910843">
        <w:rPr>
          <w:rStyle w:val="grame"/>
          <w:u w:val="single"/>
        </w:rPr>
        <w:t xml:space="preserve">la </w:t>
      </w:r>
      <w:r w:rsidRPr="00910843">
        <w:rPr>
          <w:u w:val="single"/>
        </w:rPr>
        <w:t>indeterminatezza originaria rimane e quindi così per l'autorità di pubblica sicurezza come per l'organo chiamato a controllarne l'attività a seguito di ricorso continua a sussistere</w:t>
      </w:r>
      <w:r w:rsidRPr="006D40CD">
        <w:rPr>
          <w:b/>
          <w:u w:val="single"/>
        </w:rPr>
        <w:t xml:space="preserve"> una eccessiva estensione di poteri discrezionali</w:t>
      </w:r>
      <w:r w:rsidRPr="00910843">
        <w:rPr>
          <w:u w:val="single"/>
        </w:rPr>
        <w:t xml:space="preserve">, non essendo in alcun modo delineata la sfera entro la quale debbano essere contenuti l'attività di polizia e l'uso dei poteri di questa. </w:t>
      </w:r>
    </w:p>
    <w:p w:rsidR="00910843" w:rsidRPr="005748A5" w:rsidRDefault="00910843" w:rsidP="00910843">
      <w:pPr>
        <w:pStyle w:val="NormaleWeb"/>
        <w:spacing w:before="0" w:beforeAutospacing="0" w:after="0" w:afterAutospacing="0" w:line="360" w:lineRule="auto"/>
        <w:ind w:firstLine="567"/>
        <w:jc w:val="both"/>
        <w:rPr>
          <w:u w:val="single"/>
        </w:rPr>
      </w:pPr>
      <w:r w:rsidRPr="005748A5">
        <w:rPr>
          <w:u w:val="single"/>
        </w:rPr>
        <w:t xml:space="preserve">La Corte costituzionale deve perciò dichiarare </w:t>
      </w:r>
      <w:r w:rsidRPr="005748A5">
        <w:rPr>
          <w:rStyle w:val="grame"/>
          <w:u w:val="single"/>
        </w:rPr>
        <w:t xml:space="preserve">la </w:t>
      </w:r>
      <w:r w:rsidRPr="005748A5">
        <w:rPr>
          <w:u w:val="single"/>
        </w:rPr>
        <w:t xml:space="preserve">illegittimità costituzionale dell'art. 113 del T.U. delle leggi di </w:t>
      </w:r>
      <w:proofErr w:type="spellStart"/>
      <w:r w:rsidRPr="005748A5">
        <w:rPr>
          <w:rStyle w:val="spelle"/>
          <w:u w:val="single"/>
        </w:rPr>
        <w:t>p.s</w:t>
      </w:r>
      <w:r w:rsidRPr="005748A5">
        <w:rPr>
          <w:u w:val="single"/>
        </w:rPr>
        <w:t>.</w:t>
      </w:r>
      <w:proofErr w:type="spellEnd"/>
      <w:r w:rsidRPr="005748A5">
        <w:rPr>
          <w:u w:val="single"/>
        </w:rPr>
        <w:t xml:space="preserve">, fatta eccezione per il comma 5), dove é disposto che "le affissioni non possono farsi fuori dei luoghi destinati dall'autorità competente" la quale ultima disposizione non é comunque in contrasto con alcuna norma costituzionale e può mantenere la sua efficacia. </w:t>
      </w:r>
    </w:p>
    <w:p w:rsidR="00910843" w:rsidRDefault="00910843" w:rsidP="00910843">
      <w:pPr>
        <w:pStyle w:val="NormaleWeb"/>
        <w:spacing w:before="0" w:beforeAutospacing="0" w:after="0" w:afterAutospacing="0" w:line="360" w:lineRule="auto"/>
        <w:ind w:firstLine="567"/>
        <w:jc w:val="both"/>
      </w:pPr>
      <w:r w:rsidRPr="005748A5">
        <w:rPr>
          <w:u w:val="single"/>
        </w:rPr>
        <w:t xml:space="preserve">Quanto alle altre disposizioni dettate nel ricordato articolo, la dichiarazione </w:t>
      </w:r>
      <w:r w:rsidRPr="005748A5">
        <w:rPr>
          <w:rStyle w:val="grame"/>
          <w:u w:val="single"/>
        </w:rPr>
        <w:t xml:space="preserve">di </w:t>
      </w:r>
      <w:r w:rsidRPr="005748A5">
        <w:rPr>
          <w:u w:val="single"/>
        </w:rPr>
        <w:t xml:space="preserve">illegittimità non implica che esse non possano essere sostituite da altre più adeguate le quali, senza lesione del diritto di libera manifestazione del pensiero enunciato nell'art. 21 della Costituzione, ne regolino l'esercizio in modo da evitarne gli abusi, anche in relazione alla espressa disposizione dettata nell'ultimo comma dello stesso art. 21 e, in generale, per la prevenzione dei reati. É stato già osservato che la disciplina dell'esercizio di un diritto non é per </w:t>
      </w:r>
      <w:r w:rsidRPr="005748A5">
        <w:rPr>
          <w:rStyle w:val="grame"/>
          <w:u w:val="single"/>
        </w:rPr>
        <w:t>sé</w:t>
      </w:r>
      <w:r w:rsidRPr="005748A5">
        <w:rPr>
          <w:u w:val="single"/>
        </w:rPr>
        <w:t xml:space="preserve"> stessa lesione del diritto medesimo.</w:t>
      </w:r>
      <w:r>
        <w:t xml:space="preserve"> Del resto, </w:t>
      </w:r>
      <w:r w:rsidRPr="005748A5">
        <w:rPr>
          <w:u w:val="single"/>
        </w:rPr>
        <w:t xml:space="preserve">la scarsa aderenza </w:t>
      </w:r>
      <w:r w:rsidRPr="005748A5">
        <w:rPr>
          <w:rStyle w:val="grame"/>
          <w:u w:val="single"/>
        </w:rPr>
        <w:t xml:space="preserve">di </w:t>
      </w:r>
      <w:r w:rsidRPr="005748A5">
        <w:rPr>
          <w:u w:val="single"/>
        </w:rPr>
        <w:t xml:space="preserve">alcune disposizioni della legge di </w:t>
      </w:r>
      <w:proofErr w:type="spellStart"/>
      <w:r w:rsidRPr="005748A5">
        <w:rPr>
          <w:rStyle w:val="spelle"/>
          <w:u w:val="single"/>
        </w:rPr>
        <w:t>p.s.</w:t>
      </w:r>
      <w:proofErr w:type="spellEnd"/>
      <w:r w:rsidRPr="005748A5">
        <w:rPr>
          <w:u w:val="single"/>
        </w:rPr>
        <w:t xml:space="preserve"> ai principi e alle norme della Costituzione sopravvenuta ha già da molto tempo indotto gli organi competenti a studiare una conveniente revisione della legge di </w:t>
      </w:r>
      <w:proofErr w:type="spellStart"/>
      <w:r w:rsidRPr="005748A5">
        <w:rPr>
          <w:rStyle w:val="spelle"/>
          <w:u w:val="single"/>
        </w:rPr>
        <w:t>p.s</w:t>
      </w:r>
      <w:r w:rsidRPr="005748A5">
        <w:rPr>
          <w:u w:val="single"/>
        </w:rPr>
        <w:t>.</w:t>
      </w:r>
      <w:proofErr w:type="spellEnd"/>
      <w:r w:rsidRPr="005748A5">
        <w:rPr>
          <w:u w:val="single"/>
        </w:rPr>
        <w:t xml:space="preserve">; e parecchi disegni di legge sono stati a questo scopo presentati così alla Camera dei Deputati come al Senato della Repubblica, l'ultimo dei quali ha pure recentemente avuto l'esame della competente Commissione senatoria. </w:t>
      </w:r>
      <w:r w:rsidRPr="005748A5">
        <w:rPr>
          <w:rStyle w:val="grame"/>
          <w:u w:val="single"/>
        </w:rPr>
        <w:t>É quindi desiderabile che una materia così delicata sia presto regolata in modo soddisfacente con una disciplina adeguata alle nuove norme della Costituzione</w:t>
      </w:r>
      <w:r w:rsidRPr="005748A5">
        <w:rPr>
          <w:u w:val="single"/>
        </w:rPr>
        <w:t xml:space="preserve">. </w:t>
      </w:r>
    </w:p>
    <w:p w:rsidR="00910843" w:rsidRDefault="00910843" w:rsidP="00910843">
      <w:pPr>
        <w:pStyle w:val="NormaleWeb"/>
        <w:spacing w:before="0" w:beforeAutospacing="0" w:after="0" w:afterAutospacing="0" w:line="360" w:lineRule="auto"/>
        <w:ind w:firstLine="567"/>
        <w:jc w:val="both"/>
      </w:pPr>
      <w:r>
        <w:t xml:space="preserve">La dichiarazione </w:t>
      </w:r>
      <w:r>
        <w:rPr>
          <w:rStyle w:val="grame"/>
        </w:rPr>
        <w:t xml:space="preserve">di </w:t>
      </w:r>
      <w:r>
        <w:t xml:space="preserve">illegittimità costituzionale dell'art. 113 della legge di </w:t>
      </w:r>
      <w:proofErr w:type="spellStart"/>
      <w:r>
        <w:rPr>
          <w:rStyle w:val="spelle"/>
        </w:rPr>
        <w:t>p.s.</w:t>
      </w:r>
      <w:proofErr w:type="spellEnd"/>
      <w:r>
        <w:t xml:space="preserve"> si ripercuote naturalmente sull'art. 1 del decreto legislativo 8 novembre 1947, n. 1382, che é con esso strettamente collegato; mentre non può essere dichiarata altresì l'illegittimità costituzionale dell'art. 663 del </w:t>
      </w:r>
      <w:r>
        <w:rPr>
          <w:rStyle w:val="spelle"/>
        </w:rPr>
        <w:t>Cod.</w:t>
      </w:r>
      <w:r>
        <w:t xml:space="preserve"> </w:t>
      </w:r>
      <w:proofErr w:type="spellStart"/>
      <w:r>
        <w:rPr>
          <w:rStyle w:val="spelle"/>
        </w:rPr>
        <w:t>pen</w:t>
      </w:r>
      <w:proofErr w:type="spellEnd"/>
      <w:r>
        <w:rPr>
          <w:rStyle w:val="spelle"/>
        </w:rPr>
        <w:t>.</w:t>
      </w:r>
      <w:r>
        <w:t xml:space="preserve"> </w:t>
      </w:r>
      <w:r>
        <w:rPr>
          <w:rStyle w:val="grame"/>
        </w:rPr>
        <w:t>e</w:t>
      </w:r>
      <w:r>
        <w:t xml:space="preserve"> dell'art. 2 del menzionato decreto legislativo 8 novembre 1947, che lo ha modificato, perché le sanzioni stabilite nel detto art. 663 </w:t>
      </w:r>
      <w:r>
        <w:rPr>
          <w:rStyle w:val="spelle"/>
        </w:rPr>
        <w:t>Cod.</w:t>
      </w:r>
      <w:r>
        <w:t xml:space="preserve"> </w:t>
      </w:r>
      <w:proofErr w:type="spellStart"/>
      <w:r>
        <w:rPr>
          <w:rStyle w:val="spelle"/>
        </w:rPr>
        <w:t>pen</w:t>
      </w:r>
      <w:proofErr w:type="spellEnd"/>
      <w:r>
        <w:rPr>
          <w:rStyle w:val="spelle"/>
        </w:rPr>
        <w:t>.</w:t>
      </w:r>
      <w:r>
        <w:t xml:space="preserve"> </w:t>
      </w:r>
      <w:r>
        <w:rPr>
          <w:rStyle w:val="grame"/>
        </w:rPr>
        <w:t>si</w:t>
      </w:r>
      <w:r>
        <w:t xml:space="preserve"> riferiscono non già esclusivamente al caso di fatti compiuti senza l'autorizzazione richiesta dall'art. 113 della legge di </w:t>
      </w:r>
      <w:proofErr w:type="spellStart"/>
      <w:r>
        <w:rPr>
          <w:rStyle w:val="spelle"/>
        </w:rPr>
        <w:t>p.s</w:t>
      </w:r>
      <w:r>
        <w:t>.</w:t>
      </w:r>
      <w:proofErr w:type="spellEnd"/>
      <w:r>
        <w:t xml:space="preserve">, ma in generale alla inosservanza delle varie leggi che espressamente lo richiamano. </w:t>
      </w:r>
    </w:p>
    <w:p w:rsidR="00910843" w:rsidRDefault="00910843" w:rsidP="00910843">
      <w:pPr>
        <w:pStyle w:val="NormaleWeb"/>
        <w:spacing w:before="0" w:beforeAutospacing="0" w:after="0" w:afterAutospacing="0" w:line="360" w:lineRule="auto"/>
        <w:ind w:firstLine="567"/>
        <w:jc w:val="both"/>
      </w:pPr>
      <w:r>
        <w:t xml:space="preserve">É, peraltro, chiarissimo che le disposizioni del detto art. 663 </w:t>
      </w:r>
      <w:r>
        <w:rPr>
          <w:rStyle w:val="spelle"/>
        </w:rPr>
        <w:t>Cod.</w:t>
      </w:r>
      <w:r>
        <w:t xml:space="preserve"> </w:t>
      </w:r>
      <w:proofErr w:type="spellStart"/>
      <w:r>
        <w:rPr>
          <w:rStyle w:val="spelle"/>
        </w:rPr>
        <w:t>pen</w:t>
      </w:r>
      <w:proofErr w:type="spellEnd"/>
      <w:r>
        <w:rPr>
          <w:rStyle w:val="grame"/>
        </w:rPr>
        <w:t>.,</w:t>
      </w:r>
      <w:r>
        <w:t xml:space="preserve"> in quanto sono riferibili al precetto dell'art. 113 della legge di </w:t>
      </w:r>
      <w:proofErr w:type="spellStart"/>
      <w:r>
        <w:rPr>
          <w:rStyle w:val="spelle"/>
        </w:rPr>
        <w:t>p.s</w:t>
      </w:r>
      <w:r>
        <w:t>.</w:t>
      </w:r>
      <w:proofErr w:type="spellEnd"/>
      <w:r>
        <w:t xml:space="preserve">, non solo diventeranno inoperanti, ma dovranno essere considerate anche esse travolte dalla dichiarazione di incostituzionalità delle disposizioni del </w:t>
      </w:r>
      <w:r>
        <w:lastRenderedPageBreak/>
        <w:t xml:space="preserve">medesimo articolo, anche agli effetti particolari indicati nell'ultimo comma dell'art. 30 della legge 11 marzo 1953, n. 87. </w:t>
      </w:r>
    </w:p>
    <w:p w:rsidR="00910843" w:rsidRDefault="00910843" w:rsidP="00910843">
      <w:pPr>
        <w:pStyle w:val="NormaleWeb"/>
        <w:spacing w:before="0" w:beforeAutospacing="0" w:after="0" w:afterAutospacing="0" w:line="360" w:lineRule="auto"/>
        <w:ind w:firstLine="567"/>
        <w:jc w:val="both"/>
      </w:pPr>
      <w:r>
        <w:t> </w:t>
      </w:r>
    </w:p>
    <w:p w:rsidR="00910843" w:rsidRDefault="00910843" w:rsidP="00910843">
      <w:pPr>
        <w:pStyle w:val="NormaleWeb"/>
        <w:spacing w:before="0" w:beforeAutospacing="0" w:after="0" w:afterAutospacing="0" w:line="360" w:lineRule="auto"/>
        <w:ind w:firstLine="567"/>
        <w:jc w:val="center"/>
      </w:pPr>
      <w:r>
        <w:t>PER QUESTI MOTIVI</w:t>
      </w:r>
    </w:p>
    <w:p w:rsidR="00910843" w:rsidRDefault="00910843" w:rsidP="00910843">
      <w:pPr>
        <w:pStyle w:val="NormaleWeb"/>
        <w:spacing w:before="0" w:beforeAutospacing="0" w:after="0" w:afterAutospacing="0" w:line="360" w:lineRule="auto"/>
        <w:ind w:firstLine="567"/>
        <w:jc w:val="center"/>
      </w:pPr>
      <w:r>
        <w:t>LA CORTE COSTITUZIONALE</w:t>
      </w:r>
    </w:p>
    <w:p w:rsidR="00910843" w:rsidRDefault="00910843" w:rsidP="00910843">
      <w:pPr>
        <w:pStyle w:val="NormaleWeb"/>
        <w:spacing w:before="0" w:beforeAutospacing="0" w:after="0" w:afterAutospacing="0" w:line="360" w:lineRule="auto"/>
        <w:ind w:firstLine="567"/>
        <w:jc w:val="both"/>
      </w:pPr>
      <w:r>
        <w:t> </w:t>
      </w:r>
    </w:p>
    <w:p w:rsidR="00910843" w:rsidRDefault="00910843" w:rsidP="00910843">
      <w:pPr>
        <w:pStyle w:val="NormaleWeb"/>
        <w:spacing w:before="0" w:beforeAutospacing="0" w:after="0" w:afterAutospacing="0" w:line="360" w:lineRule="auto"/>
        <w:ind w:firstLine="567"/>
        <w:jc w:val="both"/>
      </w:pPr>
      <w:r>
        <w:rPr>
          <w:rStyle w:val="grame"/>
        </w:rPr>
        <w:t>pronunciando</w:t>
      </w:r>
      <w:r>
        <w:t xml:space="preserve"> con unica sentenza nei giudizi riuniti indicati in epigrafe: </w:t>
      </w:r>
    </w:p>
    <w:p w:rsidR="00910843" w:rsidRDefault="00910843" w:rsidP="00910843">
      <w:pPr>
        <w:pStyle w:val="NormaleWeb"/>
        <w:spacing w:before="0" w:beforeAutospacing="0" w:after="0" w:afterAutospacing="0" w:line="360" w:lineRule="auto"/>
        <w:ind w:firstLine="567"/>
        <w:jc w:val="both"/>
      </w:pPr>
      <w:r>
        <w:t xml:space="preserve">1. - Afferma la propria competenza a giudicare sulle controversie </w:t>
      </w:r>
      <w:r>
        <w:rPr>
          <w:rStyle w:val="grame"/>
        </w:rPr>
        <w:t>relative alla</w:t>
      </w:r>
      <w:r>
        <w:t xml:space="preserve"> legittimità costituzionale delle leggi e degli atti aventi forza di legge anche se anteriori alla entrata in vigore della Costituzione; </w:t>
      </w:r>
    </w:p>
    <w:p w:rsidR="00910843" w:rsidRPr="005748A5" w:rsidRDefault="00910843" w:rsidP="00910843">
      <w:pPr>
        <w:pStyle w:val="NormaleWeb"/>
        <w:spacing w:before="0" w:beforeAutospacing="0" w:after="0" w:afterAutospacing="0" w:line="360" w:lineRule="auto"/>
        <w:ind w:firstLine="567"/>
        <w:jc w:val="both"/>
        <w:rPr>
          <w:u w:val="single"/>
        </w:rPr>
      </w:pPr>
      <w:r>
        <w:t xml:space="preserve">2. - </w:t>
      </w:r>
      <w:r w:rsidRPr="005748A5">
        <w:rPr>
          <w:u w:val="single"/>
        </w:rPr>
        <w:t xml:space="preserve">Dichiara l'illegittimità costituzionale delle norme contenute </w:t>
      </w:r>
      <w:r w:rsidRPr="005748A5">
        <w:rPr>
          <w:rStyle w:val="grame"/>
          <w:u w:val="single"/>
        </w:rPr>
        <w:t>nei commi 1, 2, 3, 4, 6 e 7</w:t>
      </w:r>
      <w:r w:rsidRPr="005748A5">
        <w:rPr>
          <w:u w:val="single"/>
        </w:rPr>
        <w:t xml:space="preserve"> dell'art. 113 del T.U. delle leggi di </w:t>
      </w:r>
      <w:proofErr w:type="spellStart"/>
      <w:r w:rsidRPr="005748A5">
        <w:rPr>
          <w:rStyle w:val="spelle"/>
          <w:u w:val="single"/>
        </w:rPr>
        <w:t>p.s.</w:t>
      </w:r>
      <w:proofErr w:type="spellEnd"/>
      <w:r w:rsidRPr="005748A5">
        <w:rPr>
          <w:u w:val="single"/>
        </w:rPr>
        <w:t xml:space="preserve"> approvato con decreto 18 giugno 1931, n. 773 - per la violazione delle quali la sanzione penale </w:t>
      </w:r>
      <w:proofErr w:type="spellStart"/>
      <w:r w:rsidRPr="005748A5">
        <w:rPr>
          <w:u w:val="single"/>
        </w:rPr>
        <w:t>é</w:t>
      </w:r>
      <w:proofErr w:type="spellEnd"/>
      <w:r w:rsidRPr="005748A5">
        <w:rPr>
          <w:u w:val="single"/>
        </w:rPr>
        <w:t xml:space="preserve"> </w:t>
      </w:r>
      <w:r w:rsidRPr="005748A5">
        <w:rPr>
          <w:rStyle w:val="spelle"/>
          <w:u w:val="single"/>
        </w:rPr>
        <w:t>preveduta</w:t>
      </w:r>
      <w:r w:rsidRPr="005748A5">
        <w:rPr>
          <w:u w:val="single"/>
        </w:rPr>
        <w:t xml:space="preserve"> dall'art. 663 </w:t>
      </w:r>
      <w:r w:rsidRPr="005748A5">
        <w:rPr>
          <w:rStyle w:val="spelle"/>
          <w:u w:val="single"/>
        </w:rPr>
        <w:t>Cod.</w:t>
      </w:r>
      <w:r w:rsidRPr="005748A5">
        <w:rPr>
          <w:u w:val="single"/>
        </w:rPr>
        <w:t xml:space="preserve"> </w:t>
      </w:r>
      <w:proofErr w:type="spellStart"/>
      <w:r w:rsidRPr="005748A5">
        <w:rPr>
          <w:rStyle w:val="spelle"/>
          <w:u w:val="single"/>
        </w:rPr>
        <w:t>pen</w:t>
      </w:r>
      <w:proofErr w:type="spellEnd"/>
      <w:r w:rsidRPr="005748A5">
        <w:rPr>
          <w:rStyle w:val="spelle"/>
          <w:u w:val="single"/>
        </w:rPr>
        <w:t>.</w:t>
      </w:r>
      <w:r w:rsidRPr="005748A5">
        <w:rPr>
          <w:u w:val="single"/>
        </w:rPr>
        <w:t xml:space="preserve"> </w:t>
      </w:r>
      <w:r w:rsidRPr="005748A5">
        <w:rPr>
          <w:rStyle w:val="grame"/>
          <w:u w:val="single"/>
        </w:rPr>
        <w:t>modificato</w:t>
      </w:r>
      <w:r w:rsidRPr="005748A5">
        <w:rPr>
          <w:u w:val="single"/>
        </w:rPr>
        <w:t xml:space="preserve"> con l'art. 2 del decreto legislativo 8 novembre 1947, n. 1382 - e di conseguenza dell'art. 1 del decreto legislativo 8 novembre 1947, n. 1382, salva la ulteriore disciplina per l'esercizio del diritto riconosciuto dall'art. 21 della Costituzione. </w:t>
      </w:r>
    </w:p>
    <w:p w:rsidR="00910843" w:rsidRDefault="00910843" w:rsidP="00910843">
      <w:pPr>
        <w:pStyle w:val="NormaleWeb"/>
        <w:spacing w:before="0" w:beforeAutospacing="0" w:after="0" w:afterAutospacing="0" w:line="360" w:lineRule="auto"/>
        <w:ind w:firstLine="567"/>
        <w:jc w:val="both"/>
      </w:pPr>
      <w:r>
        <w:t> Così deciso in Roma,</w:t>
      </w:r>
      <w:r>
        <w:rPr>
          <w:rStyle w:val="grame"/>
        </w:rPr>
        <w:t xml:space="preserve">  </w:t>
      </w:r>
      <w:r>
        <w:t xml:space="preserve">nella sede della Corte costituzionale,  Palazzo della Consulta,  il 5 giugno 1956. </w:t>
      </w:r>
    </w:p>
    <w:p w:rsidR="00910843" w:rsidRDefault="00910843" w:rsidP="00910843">
      <w:pPr>
        <w:pStyle w:val="NormaleWeb"/>
        <w:spacing w:before="0" w:beforeAutospacing="0" w:after="0" w:afterAutospacing="0" w:line="360" w:lineRule="auto"/>
        <w:ind w:firstLine="567"/>
        <w:jc w:val="both"/>
      </w:pPr>
    </w:p>
    <w:p w:rsidR="00910843" w:rsidRDefault="00910843" w:rsidP="00910843">
      <w:pPr>
        <w:pStyle w:val="NormaleWeb"/>
        <w:spacing w:before="0" w:beforeAutospacing="0" w:after="0" w:afterAutospacing="0" w:line="360" w:lineRule="auto"/>
        <w:ind w:firstLine="567"/>
        <w:jc w:val="both"/>
      </w:pPr>
      <w:r>
        <w:t xml:space="preserve"> Enrico DE NICOLA - Gaetano AZZARITI - Giuseppe CAPPI - Tomaso PERASSI - Gaspare AMBROSINI - Francesco PANTALEO GABRIELI - Ernesto BATTAGLINI - Mario COSATTI - Giuseppe CASTELLI AVOLIO - Antonino PAPALDO - Mario BRACCI - Nicola</w:t>
      </w:r>
      <w:r>
        <w:rPr>
          <w:rStyle w:val="grame"/>
        </w:rPr>
        <w:t xml:space="preserve">   </w:t>
      </w:r>
      <w:r>
        <w:t xml:space="preserve">JAEGER - Giovanni CASSANDRO.  </w:t>
      </w:r>
    </w:p>
    <w:p w:rsidR="00910843" w:rsidRDefault="00910843" w:rsidP="00910843">
      <w:pPr>
        <w:pStyle w:val="NormaleWeb"/>
        <w:spacing w:before="0" w:beforeAutospacing="0" w:after="0" w:afterAutospacing="0" w:line="360" w:lineRule="auto"/>
        <w:jc w:val="both"/>
      </w:pPr>
    </w:p>
    <w:p w:rsidR="00910843" w:rsidRDefault="00910843" w:rsidP="00910843">
      <w:pPr>
        <w:pStyle w:val="NormaleWeb"/>
        <w:spacing w:before="0" w:beforeAutospacing="0" w:after="0" w:afterAutospacing="0" w:line="360" w:lineRule="auto"/>
        <w:ind w:firstLine="567"/>
        <w:jc w:val="both"/>
      </w:pPr>
      <w:r>
        <w:t xml:space="preserve">Depositata in cancelleria il 14 giugno 1956. </w:t>
      </w:r>
    </w:p>
    <w:p w:rsidR="00910843" w:rsidRDefault="00910843" w:rsidP="00910843">
      <w:pPr>
        <w:pStyle w:val="NormaleWeb"/>
        <w:spacing w:before="0" w:beforeAutospacing="0" w:after="0" w:afterAutospacing="0" w:line="360" w:lineRule="auto"/>
        <w:ind w:firstLine="567"/>
        <w:jc w:val="both"/>
        <w:rPr>
          <w:i/>
          <w:iCs/>
        </w:rPr>
      </w:pPr>
    </w:p>
    <w:p w:rsidR="00910843" w:rsidRDefault="00910843" w:rsidP="00910843">
      <w:pPr>
        <w:pStyle w:val="NormaleWeb"/>
        <w:spacing w:before="0" w:beforeAutospacing="0" w:after="0" w:afterAutospacing="0" w:line="360" w:lineRule="auto"/>
        <w:ind w:firstLine="567"/>
        <w:jc w:val="both"/>
      </w:pPr>
    </w:p>
    <w:p w:rsidR="008F033B" w:rsidRDefault="008F033B"/>
    <w:sectPr w:rsidR="008F033B" w:rsidSect="008F03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proofState w:spelling="clean"/>
  <w:defaultTabStop w:val="708"/>
  <w:hyphenationZone w:val="283"/>
  <w:characterSpacingControl w:val="doNotCompress"/>
  <w:compat>
    <w:compatSetting w:name="compatibilityMode" w:uri="http://schemas.microsoft.com/office/word" w:val="12"/>
  </w:compat>
  <w:rsids>
    <w:rsidRoot w:val="00910843"/>
    <w:rsid w:val="005748A5"/>
    <w:rsid w:val="006D40CD"/>
    <w:rsid w:val="00722245"/>
    <w:rsid w:val="00787F84"/>
    <w:rsid w:val="008F033B"/>
    <w:rsid w:val="00910843"/>
    <w:rsid w:val="00CC3E11"/>
    <w:rsid w:val="00CD4CBA"/>
    <w:rsid w:val="00EF1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3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1084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me">
    <w:name w:val="grame"/>
    <w:basedOn w:val="Carpredefinitoparagrafo"/>
    <w:rsid w:val="00910843"/>
  </w:style>
  <w:style w:type="character" w:customStyle="1" w:styleId="spelle">
    <w:name w:val="spelle"/>
    <w:basedOn w:val="Carpredefinitoparagrafo"/>
    <w:rsid w:val="00910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81499">
      <w:bodyDiv w:val="1"/>
      <w:marLeft w:val="0"/>
      <w:marRight w:val="0"/>
      <w:marTop w:val="0"/>
      <w:marBottom w:val="0"/>
      <w:divBdr>
        <w:top w:val="none" w:sz="0" w:space="0" w:color="auto"/>
        <w:left w:val="none" w:sz="0" w:space="0" w:color="auto"/>
        <w:bottom w:val="none" w:sz="0" w:space="0" w:color="auto"/>
        <w:right w:val="none" w:sz="0" w:space="0" w:color="auto"/>
      </w:divBdr>
      <w:divsChild>
        <w:div w:id="183752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2217</Words>
  <Characters>12639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2909</dc:creator>
  <cp:lastModifiedBy>Utente</cp:lastModifiedBy>
  <cp:revision>2</cp:revision>
  <dcterms:created xsi:type="dcterms:W3CDTF">2017-11-13T18:40:00Z</dcterms:created>
  <dcterms:modified xsi:type="dcterms:W3CDTF">2017-11-13T18:40:00Z</dcterms:modified>
</cp:coreProperties>
</file>