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51" w:rsidRPr="00021F51" w:rsidRDefault="00021F51" w:rsidP="00021F51">
      <w:pPr>
        <w:tabs>
          <w:tab w:val="left" w:pos="446"/>
        </w:tabs>
        <w:spacing w:after="0" w:line="240" w:lineRule="auto"/>
        <w:ind w:left="540" w:hanging="540"/>
        <w:rPr>
          <w:rFonts w:ascii="Times New Roman" w:eastAsia="Times New Roman" w:hAnsi="Times New Roman" w:cs="Times New Roman"/>
        </w:rPr>
      </w:pPr>
      <w:r w:rsidRPr="00021F51">
        <w:rPr>
          <w:rFonts w:ascii="Times New Roman" w:eastAsia="Times New Roman" w:hAnsi="Times New Roman" w:cs="Times New Roman"/>
          <w:b/>
        </w:rPr>
        <w:t>1.</w:t>
      </w:r>
      <w:r w:rsidRPr="00021F51">
        <w:rPr>
          <w:rFonts w:ascii="Times New Roman" w:eastAsia="Times New Roman" w:hAnsi="Times New Roman" w:cs="Times New Roman"/>
        </w:rPr>
        <w:tab/>
        <w:t>To calculate the internal growth rate, we first need to find the ROA and the retention ratio, so:</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t xml:space="preserve">ROA = NI / TA </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t xml:space="preserve">ROA = $2,029,766 / $19,986,170 </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t>ROA = .1016, or 10.16%</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r>
      <w:r w:rsidRPr="00021F51">
        <w:rPr>
          <w:rFonts w:ascii="Times New Roman" w:eastAsia="Times New Roman" w:hAnsi="Times New Roman" w:cs="Times New Roman"/>
          <w:i/>
        </w:rPr>
        <w:t>b</w:t>
      </w:r>
      <w:r w:rsidRPr="00021F51">
        <w:rPr>
          <w:rFonts w:ascii="Times New Roman" w:eastAsia="Times New Roman" w:hAnsi="Times New Roman" w:cs="Times New Roman"/>
        </w:rPr>
        <w:t xml:space="preserve"> = Addition to RE / NI </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r>
      <w:r w:rsidRPr="00021F51">
        <w:rPr>
          <w:rFonts w:ascii="Times New Roman" w:eastAsia="Times New Roman" w:hAnsi="Times New Roman" w:cs="Times New Roman"/>
          <w:i/>
        </w:rPr>
        <w:t>b</w:t>
      </w:r>
      <w:r w:rsidRPr="00021F51">
        <w:rPr>
          <w:rFonts w:ascii="Times New Roman" w:eastAsia="Times New Roman" w:hAnsi="Times New Roman" w:cs="Times New Roman"/>
        </w:rPr>
        <w:t xml:space="preserve"> = $1,419,766 / $2,029,766 </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r>
      <w:r w:rsidRPr="00021F51">
        <w:rPr>
          <w:rFonts w:ascii="Times New Roman" w:eastAsia="Times New Roman" w:hAnsi="Times New Roman" w:cs="Times New Roman"/>
          <w:i/>
        </w:rPr>
        <w:t>b</w:t>
      </w:r>
      <w:r w:rsidRPr="00021F51">
        <w:rPr>
          <w:rFonts w:ascii="Times New Roman" w:eastAsia="Times New Roman" w:hAnsi="Times New Roman" w:cs="Times New Roman"/>
        </w:rPr>
        <w:t xml:space="preserve"> = .70</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t>Now we can use the internal growth rate equation to get:</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t xml:space="preserve">Internal growth rate = (ROA × </w:t>
      </w:r>
      <w:r w:rsidRPr="00021F51">
        <w:rPr>
          <w:rFonts w:ascii="Times New Roman" w:eastAsia="Times New Roman" w:hAnsi="Times New Roman" w:cs="Times New Roman"/>
          <w:i/>
        </w:rPr>
        <w:t>b</w:t>
      </w:r>
      <w:r w:rsidRPr="00021F51">
        <w:rPr>
          <w:rFonts w:ascii="Times New Roman" w:eastAsia="Times New Roman" w:hAnsi="Times New Roman" w:cs="Times New Roman"/>
        </w:rPr>
        <w:t xml:space="preserve">) / [1 – (ROA × </w:t>
      </w:r>
      <w:r w:rsidRPr="00021F51">
        <w:rPr>
          <w:rFonts w:ascii="Times New Roman" w:eastAsia="Times New Roman" w:hAnsi="Times New Roman" w:cs="Times New Roman"/>
          <w:i/>
        </w:rPr>
        <w:t>b</w:t>
      </w:r>
      <w:r w:rsidRPr="00021F51">
        <w:rPr>
          <w:rFonts w:ascii="Times New Roman" w:eastAsia="Times New Roman" w:hAnsi="Times New Roman" w:cs="Times New Roman"/>
        </w:rPr>
        <w:t>)]</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t xml:space="preserve">Internal growth rate = [.1016(.70)] / [1 – .1016(.70)] </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t>Internal growth rate = .0765, or 7.65%</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t>To find the sustainable growth rate, we need the ROE, which is:</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lang w:val="fr-FR"/>
        </w:rPr>
      </w:pPr>
      <w:r w:rsidRPr="00021F51">
        <w:rPr>
          <w:rFonts w:ascii="Times New Roman" w:eastAsia="Times New Roman" w:hAnsi="Times New Roman" w:cs="Times New Roman"/>
        </w:rPr>
        <w:tab/>
      </w:r>
      <w:r w:rsidRPr="00021F51">
        <w:rPr>
          <w:rFonts w:ascii="Times New Roman" w:eastAsia="Times New Roman" w:hAnsi="Times New Roman" w:cs="Times New Roman"/>
          <w:lang w:val="fr-FR"/>
        </w:rPr>
        <w:t xml:space="preserve">ROE = NI / TE </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lang w:val="fr-FR"/>
        </w:rPr>
      </w:pPr>
      <w:r w:rsidRPr="00021F51">
        <w:rPr>
          <w:rFonts w:ascii="Times New Roman" w:eastAsia="Times New Roman" w:hAnsi="Times New Roman" w:cs="Times New Roman"/>
          <w:lang w:val="fr-FR"/>
        </w:rPr>
        <w:tab/>
      </w:r>
      <w:r w:rsidRPr="00021F51">
        <w:rPr>
          <w:rFonts w:ascii="Times New Roman" w:eastAsia="Times New Roman" w:hAnsi="Times New Roman" w:cs="Times New Roman"/>
        </w:rPr>
        <w:t xml:space="preserve">ROE = $2,029,766 / $11,435,815 </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lang w:val="fr-FR"/>
        </w:rPr>
      </w:pPr>
      <w:r w:rsidRPr="00021F51">
        <w:rPr>
          <w:rFonts w:ascii="Times New Roman" w:eastAsia="Times New Roman" w:hAnsi="Times New Roman" w:cs="Times New Roman"/>
          <w:lang w:val="fr-FR"/>
        </w:rPr>
        <w:tab/>
        <w:t>ROE = .1775, or 17.75%</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lang w:val="fr-FR"/>
        </w:rPr>
      </w:pP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lang w:val="fr-FR"/>
        </w:rPr>
        <w:tab/>
      </w:r>
      <w:r w:rsidRPr="00021F51">
        <w:rPr>
          <w:rFonts w:ascii="Times New Roman" w:eastAsia="Times New Roman" w:hAnsi="Times New Roman" w:cs="Times New Roman"/>
        </w:rPr>
        <w:t>Using the retention ratio we previously calculated, the sustainable growth rate is:</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t xml:space="preserve">Sustainable growth rate = (ROE × </w:t>
      </w:r>
      <w:r w:rsidRPr="00021F51">
        <w:rPr>
          <w:rFonts w:ascii="Times New Roman" w:eastAsia="Times New Roman" w:hAnsi="Times New Roman" w:cs="Times New Roman"/>
          <w:i/>
        </w:rPr>
        <w:t>b</w:t>
      </w:r>
      <w:r w:rsidRPr="00021F51">
        <w:rPr>
          <w:rFonts w:ascii="Times New Roman" w:eastAsia="Times New Roman" w:hAnsi="Times New Roman" w:cs="Times New Roman"/>
        </w:rPr>
        <w:t xml:space="preserve">) / [1 – (ROE × </w:t>
      </w:r>
      <w:r w:rsidRPr="00021F51">
        <w:rPr>
          <w:rFonts w:ascii="Times New Roman" w:eastAsia="Times New Roman" w:hAnsi="Times New Roman" w:cs="Times New Roman"/>
          <w:i/>
        </w:rPr>
        <w:t>b</w:t>
      </w:r>
      <w:r w:rsidRPr="00021F51">
        <w:rPr>
          <w:rFonts w:ascii="Times New Roman" w:eastAsia="Times New Roman" w:hAnsi="Times New Roman" w:cs="Times New Roman"/>
        </w:rPr>
        <w:t>)]</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t xml:space="preserve">Sustainable growth rate = [.1775(.70)] / [1 – .1775(.70)] </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t>Sustainable growth rate = .1417, or 14.17%</w:t>
      </w: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p>
    <w:p w:rsidR="00021F51" w:rsidRPr="00021F51" w:rsidRDefault="00021F51" w:rsidP="00021F51">
      <w:pPr>
        <w:tabs>
          <w:tab w:val="left" w:pos="440"/>
          <w:tab w:val="left" w:pos="2340"/>
        </w:tabs>
        <w:spacing w:after="0" w:line="240" w:lineRule="auto"/>
        <w:ind w:left="440" w:hanging="440"/>
        <w:jc w:val="both"/>
        <w:rPr>
          <w:rFonts w:ascii="Times New Roman" w:eastAsia="Times New Roman" w:hAnsi="Times New Roman" w:cs="Times New Roman"/>
        </w:rPr>
      </w:pPr>
      <w:r w:rsidRPr="00021F51">
        <w:rPr>
          <w:rFonts w:ascii="Times New Roman" w:eastAsia="Times New Roman" w:hAnsi="Times New Roman" w:cs="Times New Roman"/>
        </w:rPr>
        <w:tab/>
        <w:t>The internal growth rate is the growth rate the company can achieve with no outside financing of any sort. The sustainable growth rate is the growth rate the company can achieve by raising outside debt based on its retained earnings and current capital structure.</w:t>
      </w:r>
    </w:p>
    <w:p w:rsidR="00021F51" w:rsidRPr="00021F51" w:rsidRDefault="00021F51" w:rsidP="00021F51">
      <w:pPr>
        <w:tabs>
          <w:tab w:val="left" w:pos="446"/>
        </w:tabs>
        <w:spacing w:after="0" w:line="240" w:lineRule="auto"/>
        <w:ind w:left="540" w:hanging="540"/>
        <w:rPr>
          <w:rFonts w:ascii="Times New Roman" w:eastAsia="Times New Roman" w:hAnsi="Times New Roman" w:cs="Times New Roman"/>
        </w:rPr>
      </w:pPr>
    </w:p>
    <w:p w:rsidR="00021F51" w:rsidRPr="00021F51" w:rsidRDefault="00021F51" w:rsidP="00021F51">
      <w:pPr>
        <w:tabs>
          <w:tab w:val="left" w:pos="446"/>
        </w:tabs>
        <w:spacing w:after="0" w:line="240" w:lineRule="auto"/>
        <w:ind w:left="540" w:hanging="540"/>
        <w:rPr>
          <w:rFonts w:ascii="Times New Roman" w:eastAsia="Times New Roman" w:hAnsi="Times New Roman" w:cs="Times New Roman"/>
        </w:rPr>
      </w:pPr>
      <w:r w:rsidRPr="00021F51">
        <w:rPr>
          <w:rFonts w:ascii="Times New Roman" w:eastAsia="Times New Roman" w:hAnsi="Times New Roman" w:cs="Times New Roman"/>
          <w:b/>
        </w:rPr>
        <w:br w:type="page"/>
      </w:r>
      <w:r w:rsidRPr="00021F51">
        <w:rPr>
          <w:rFonts w:ascii="Times New Roman" w:eastAsia="Times New Roman" w:hAnsi="Times New Roman" w:cs="Times New Roman"/>
          <w:b/>
        </w:rPr>
        <w:lastRenderedPageBreak/>
        <w:t>2.</w:t>
      </w:r>
      <w:r w:rsidRPr="00021F51">
        <w:rPr>
          <w:rFonts w:ascii="Times New Roman" w:eastAsia="Times New Roman" w:hAnsi="Times New Roman" w:cs="Times New Roman"/>
        </w:rPr>
        <w:tab/>
        <w:t>Pro forma financial statements for next year at a 12 percent growth rate are:</w:t>
      </w:r>
    </w:p>
    <w:p w:rsidR="00021F51" w:rsidRPr="00021F51" w:rsidRDefault="00021F51" w:rsidP="00021F51">
      <w:pPr>
        <w:tabs>
          <w:tab w:val="left" w:pos="446"/>
        </w:tabs>
        <w:spacing w:after="0" w:line="240" w:lineRule="auto"/>
        <w:ind w:left="540" w:hanging="540"/>
        <w:rPr>
          <w:rFonts w:ascii="Times New Roman" w:eastAsia="Times New Roman" w:hAnsi="Times New Roman" w:cs="Times New Roman"/>
        </w:rPr>
      </w:pPr>
    </w:p>
    <w:tbl>
      <w:tblPr>
        <w:tblW w:w="9755" w:type="dxa"/>
        <w:tblInd w:w="93" w:type="dxa"/>
        <w:tblLook w:val="0000" w:firstRow="0" w:lastRow="0" w:firstColumn="0" w:lastColumn="0" w:noHBand="0" w:noVBand="0"/>
      </w:tblPr>
      <w:tblGrid>
        <w:gridCol w:w="555"/>
        <w:gridCol w:w="2620"/>
        <w:gridCol w:w="1640"/>
        <w:gridCol w:w="420"/>
        <w:gridCol w:w="2260"/>
        <w:gridCol w:w="2260"/>
      </w:tblGrid>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4260" w:type="dxa"/>
            <w:gridSpan w:val="2"/>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center"/>
              <w:rPr>
                <w:rFonts w:ascii="Times New Roman" w:eastAsia="Times New Roman" w:hAnsi="Times New Roman" w:cs="Times New Roman"/>
                <w:i/>
              </w:rPr>
            </w:pPr>
            <w:r w:rsidRPr="00021F51">
              <w:rPr>
                <w:rFonts w:ascii="Times New Roman" w:eastAsia="Times New Roman" w:hAnsi="Times New Roman" w:cs="Times New Roman"/>
                <w:i/>
              </w:rPr>
              <w:t>Income Statement</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single" w:sz="4" w:space="0" w:color="auto"/>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Sales</w:t>
            </w:r>
          </w:p>
        </w:tc>
        <w:tc>
          <w:tcPr>
            <w:tcW w:w="1640" w:type="dxa"/>
            <w:tcBorders>
              <w:top w:val="single" w:sz="4" w:space="0" w:color="auto"/>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rPr>
            </w:pPr>
            <w:r w:rsidRPr="00021F51">
              <w:rPr>
                <w:rFonts w:ascii="Times New Roman" w:eastAsia="Times New Roman" w:hAnsi="Times New Roman" w:cs="Times New Roman"/>
              </w:rPr>
              <w:t xml:space="preserve"> $ 45,090,338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COGS</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rPr>
            </w:pPr>
            <w:r w:rsidRPr="00021F51">
              <w:rPr>
                <w:rFonts w:ascii="Times New Roman" w:eastAsia="Times New Roman" w:hAnsi="Times New Roman" w:cs="Times New Roman"/>
              </w:rPr>
              <w:t xml:space="preserve">    32,856,820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Other expenses</w:t>
            </w:r>
          </w:p>
        </w:tc>
        <w:tc>
          <w:tcPr>
            <w:tcW w:w="1640" w:type="dxa"/>
            <w:tcBorders>
              <w:top w:val="nil"/>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rPr>
            </w:pPr>
            <w:r w:rsidRPr="00021F51">
              <w:rPr>
                <w:rFonts w:ascii="Times New Roman" w:eastAsia="Times New Roman" w:hAnsi="Times New Roman" w:cs="Times New Roman"/>
              </w:rPr>
              <w:t xml:space="preserve">      5,717,712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Depreciation</w:t>
            </w:r>
          </w:p>
        </w:tc>
        <w:tc>
          <w:tcPr>
            <w:tcW w:w="1640" w:type="dxa"/>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rPr>
            </w:pPr>
            <w:r w:rsidRPr="00021F51">
              <w:rPr>
                <w:rFonts w:ascii="Times New Roman" w:eastAsia="Times New Roman" w:hAnsi="Times New Roman" w:cs="Times New Roman"/>
              </w:rPr>
              <w:t xml:space="preserve">      1,804,220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EBIT</w:t>
            </w:r>
          </w:p>
        </w:tc>
        <w:tc>
          <w:tcPr>
            <w:tcW w:w="1640" w:type="dxa"/>
            <w:tcBorders>
              <w:top w:val="single" w:sz="4" w:space="0" w:color="auto"/>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rPr>
            </w:pPr>
            <w:r w:rsidRPr="00021F51">
              <w:rPr>
                <w:rFonts w:ascii="Times New Roman" w:eastAsia="Times New Roman" w:hAnsi="Times New Roman" w:cs="Times New Roman"/>
              </w:rPr>
              <w:t xml:space="preserve"> $   4,711,586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Interest</w:t>
            </w:r>
          </w:p>
        </w:tc>
        <w:tc>
          <w:tcPr>
            <w:tcW w:w="1640" w:type="dxa"/>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rPr>
            </w:pPr>
            <w:r w:rsidRPr="00021F51">
              <w:rPr>
                <w:rFonts w:ascii="Times New Roman" w:eastAsia="Times New Roman" w:hAnsi="Times New Roman" w:cs="Times New Roman"/>
              </w:rPr>
              <w:t xml:space="preserve">          630,520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Taxable income</w:t>
            </w:r>
          </w:p>
        </w:tc>
        <w:tc>
          <w:tcPr>
            <w:tcW w:w="1640" w:type="dxa"/>
            <w:tcBorders>
              <w:top w:val="single" w:sz="4" w:space="0" w:color="auto"/>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rPr>
            </w:pPr>
            <w:r w:rsidRPr="00021F51">
              <w:rPr>
                <w:rFonts w:ascii="Times New Roman" w:eastAsia="Times New Roman" w:hAnsi="Times New Roman" w:cs="Times New Roman"/>
              </w:rPr>
              <w:t xml:space="preserve"> $   4,081,066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Taxes (40%)</w:t>
            </w:r>
          </w:p>
        </w:tc>
        <w:tc>
          <w:tcPr>
            <w:tcW w:w="1640" w:type="dxa"/>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rPr>
            </w:pPr>
            <w:r w:rsidRPr="00021F51">
              <w:rPr>
                <w:rFonts w:ascii="Times New Roman" w:eastAsia="Times New Roman" w:hAnsi="Times New Roman" w:cs="Times New Roman"/>
              </w:rPr>
              <w:t xml:space="preserve">      1,632,426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15"/>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Net income</w:t>
            </w:r>
          </w:p>
        </w:tc>
        <w:tc>
          <w:tcPr>
            <w:tcW w:w="1640" w:type="dxa"/>
            <w:tcBorders>
              <w:top w:val="single" w:sz="4" w:space="0" w:color="auto"/>
              <w:left w:val="nil"/>
              <w:bottom w:val="doub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rPr>
            </w:pPr>
            <w:r w:rsidRPr="00021F51">
              <w:rPr>
                <w:rFonts w:ascii="Times New Roman" w:eastAsia="Times New Roman" w:hAnsi="Times New Roman" w:cs="Times New Roman"/>
              </w:rPr>
              <w:t xml:space="preserve"> $   2,448,640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15"/>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1640" w:type="dxa"/>
            <w:tcBorders>
              <w:top w:val="double" w:sz="4" w:space="0" w:color="auto"/>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rPr>
            </w:pPr>
            <w:r w:rsidRPr="00021F51">
              <w:rPr>
                <w:rFonts w:ascii="Times New Roman" w:eastAsia="Times New Roman" w:hAnsi="Times New Roman" w:cs="Times New Roman"/>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Dividends</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rPr>
            </w:pPr>
            <w:r w:rsidRPr="00021F51">
              <w:rPr>
                <w:rFonts w:ascii="Times New Roman" w:eastAsia="Times New Roman" w:hAnsi="Times New Roman" w:cs="Times New Roman"/>
              </w:rPr>
              <w:t xml:space="preserve"> $      735,883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Add to RE</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rPr>
            </w:pPr>
            <w:r w:rsidRPr="00021F51">
              <w:rPr>
                <w:rFonts w:ascii="Times New Roman" w:eastAsia="Times New Roman" w:hAnsi="Times New Roman" w:cs="Times New Roman"/>
              </w:rPr>
              <w:t xml:space="preserve">      1,712,757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bl>
    <w:p w:rsidR="00021F51" w:rsidRPr="00021F51" w:rsidRDefault="00021F51" w:rsidP="00021F51">
      <w:pPr>
        <w:tabs>
          <w:tab w:val="left" w:pos="446"/>
        </w:tabs>
        <w:spacing w:after="0" w:line="240" w:lineRule="auto"/>
        <w:ind w:left="540" w:hanging="540"/>
        <w:rPr>
          <w:rFonts w:ascii="Times New Roman" w:eastAsia="Times New Roman" w:hAnsi="Times New Roman" w:cs="Times New Roman"/>
        </w:rPr>
      </w:pPr>
    </w:p>
    <w:tbl>
      <w:tblPr>
        <w:tblW w:w="9755" w:type="dxa"/>
        <w:tblInd w:w="93" w:type="dxa"/>
        <w:tblLook w:val="0000" w:firstRow="0" w:lastRow="0" w:firstColumn="0" w:lastColumn="0" w:noHBand="0" w:noVBand="0"/>
      </w:tblPr>
      <w:tblGrid>
        <w:gridCol w:w="555"/>
        <w:gridCol w:w="2620"/>
        <w:gridCol w:w="1640"/>
        <w:gridCol w:w="420"/>
        <w:gridCol w:w="2260"/>
        <w:gridCol w:w="2260"/>
      </w:tblGrid>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9200" w:type="dxa"/>
            <w:gridSpan w:val="5"/>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center"/>
              <w:rPr>
                <w:rFonts w:ascii="Times New Roman" w:eastAsia="Times New Roman" w:hAnsi="Times New Roman" w:cs="Times New Roman"/>
                <w:i/>
              </w:rPr>
            </w:pPr>
            <w:r w:rsidRPr="00021F51">
              <w:rPr>
                <w:rFonts w:ascii="Times New Roman" w:eastAsia="Times New Roman" w:hAnsi="Times New Roman" w:cs="Times New Roman"/>
                <w:i/>
              </w:rPr>
              <w:t>Balance Sheet</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4260" w:type="dxa"/>
            <w:gridSpan w:val="2"/>
            <w:tcBorders>
              <w:top w:val="single" w:sz="4" w:space="0" w:color="auto"/>
              <w:left w:val="nil"/>
              <w:bottom w:val="nil"/>
              <w:right w:val="nil"/>
            </w:tcBorders>
            <w:shd w:val="clear" w:color="auto" w:fill="auto"/>
            <w:noWrap/>
            <w:vAlign w:val="bottom"/>
          </w:tcPr>
          <w:p w:rsidR="00021F51" w:rsidRPr="00021F51" w:rsidRDefault="00021F51" w:rsidP="00021F51">
            <w:pPr>
              <w:spacing w:after="0" w:line="240" w:lineRule="auto"/>
              <w:jc w:val="center"/>
              <w:rPr>
                <w:rFonts w:ascii="Times New Roman" w:eastAsia="Times New Roman" w:hAnsi="Times New Roman" w:cs="Times New Roman"/>
              </w:rPr>
            </w:pPr>
            <w:r w:rsidRPr="00021F51">
              <w:rPr>
                <w:rFonts w:ascii="Times New Roman" w:eastAsia="Times New Roman" w:hAnsi="Times New Roman" w:cs="Times New Roman"/>
              </w:rPr>
              <w:t>Assets</w:t>
            </w:r>
          </w:p>
        </w:tc>
        <w:tc>
          <w:tcPr>
            <w:tcW w:w="420" w:type="dxa"/>
            <w:tcBorders>
              <w:top w:val="single" w:sz="4" w:space="0" w:color="auto"/>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4520" w:type="dxa"/>
            <w:gridSpan w:val="2"/>
            <w:tcBorders>
              <w:top w:val="single" w:sz="4" w:space="0" w:color="auto"/>
              <w:left w:val="nil"/>
              <w:bottom w:val="nil"/>
              <w:right w:val="nil"/>
            </w:tcBorders>
            <w:shd w:val="clear" w:color="auto" w:fill="auto"/>
            <w:noWrap/>
            <w:vAlign w:val="bottom"/>
          </w:tcPr>
          <w:p w:rsidR="00021F51" w:rsidRPr="00021F51" w:rsidRDefault="00021F51" w:rsidP="00021F51">
            <w:pPr>
              <w:spacing w:after="0" w:line="240" w:lineRule="auto"/>
              <w:jc w:val="center"/>
              <w:rPr>
                <w:rFonts w:ascii="Times New Roman" w:eastAsia="Times New Roman" w:hAnsi="Times New Roman" w:cs="Times New Roman"/>
              </w:rPr>
            </w:pPr>
            <w:r w:rsidRPr="00021F51">
              <w:rPr>
                <w:rFonts w:ascii="Times New Roman" w:eastAsia="Times New Roman" w:hAnsi="Times New Roman" w:cs="Times New Roman"/>
              </w:rPr>
              <w:t>Liabilities and Equity</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Current assets</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Current liabilities</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Cash</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511,207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Accounts payable</w:t>
            </w:r>
          </w:p>
        </w:tc>
        <w:tc>
          <w:tcPr>
            <w:tcW w:w="2260" w:type="dxa"/>
            <w:tcBorders>
              <w:top w:val="nil"/>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1,040,486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Accounts rec.</w:t>
            </w:r>
          </w:p>
        </w:tc>
        <w:tc>
          <w:tcPr>
            <w:tcW w:w="1640" w:type="dxa"/>
            <w:tcBorders>
              <w:top w:val="nil"/>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821,100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Notes payable</w:t>
            </w:r>
          </w:p>
        </w:tc>
        <w:tc>
          <w:tcPr>
            <w:tcW w:w="2260" w:type="dxa"/>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2,121,350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Inventory</w:t>
            </w:r>
          </w:p>
        </w:tc>
        <w:tc>
          <w:tcPr>
            <w:tcW w:w="1640" w:type="dxa"/>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1,201,962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Total CL</w:t>
            </w:r>
          </w:p>
        </w:tc>
        <w:tc>
          <w:tcPr>
            <w:tcW w:w="2260" w:type="dxa"/>
            <w:tcBorders>
              <w:top w:val="single" w:sz="4" w:space="0" w:color="auto"/>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3,161,836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Total CA</w:t>
            </w:r>
          </w:p>
        </w:tc>
        <w:tc>
          <w:tcPr>
            <w:tcW w:w="1640" w:type="dxa"/>
            <w:tcBorders>
              <w:top w:val="single" w:sz="4" w:space="0" w:color="auto"/>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2,534,269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Long-term debt</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5,500,000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Fixed assets</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Net PP&amp;E</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$ 19,850,242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Shareholder equity</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Common stock</w:t>
            </w:r>
          </w:p>
        </w:tc>
        <w:tc>
          <w:tcPr>
            <w:tcW w:w="2260" w:type="dxa"/>
            <w:tcBorders>
              <w:top w:val="nil"/>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400,000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p>
        </w:tc>
        <w:tc>
          <w:tcPr>
            <w:tcW w:w="1640" w:type="dxa"/>
            <w:tcBorders>
              <w:top w:val="nil"/>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Retained earnings</w:t>
            </w:r>
          </w:p>
        </w:tc>
        <w:tc>
          <w:tcPr>
            <w:tcW w:w="2260" w:type="dxa"/>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12,748,572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p>
        </w:tc>
        <w:tc>
          <w:tcPr>
            <w:tcW w:w="1640" w:type="dxa"/>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Total equity</w:t>
            </w:r>
          </w:p>
        </w:tc>
        <w:tc>
          <w:tcPr>
            <w:tcW w:w="2260" w:type="dxa"/>
            <w:tcBorders>
              <w:top w:val="single" w:sz="4" w:space="0" w:color="auto"/>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$ 13,148,572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1640" w:type="dxa"/>
            <w:tcBorders>
              <w:top w:val="single" w:sz="4" w:space="0" w:color="auto"/>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single" w:sz="4" w:space="0" w:color="auto"/>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r>
      <w:tr w:rsidR="00021F51" w:rsidRPr="00021F51" w:rsidTr="00D018D6">
        <w:trPr>
          <w:trHeight w:val="315"/>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Total Assets</w:t>
            </w:r>
          </w:p>
        </w:tc>
        <w:tc>
          <w:tcPr>
            <w:tcW w:w="1640" w:type="dxa"/>
            <w:tcBorders>
              <w:left w:val="nil"/>
              <w:bottom w:val="doub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$ 22,384,510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Total L&amp;E</w:t>
            </w:r>
          </w:p>
        </w:tc>
        <w:tc>
          <w:tcPr>
            <w:tcW w:w="2260" w:type="dxa"/>
            <w:tcBorders>
              <w:left w:val="nil"/>
              <w:bottom w:val="doub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$ 21,810,407 </w:t>
            </w:r>
          </w:p>
        </w:tc>
      </w:tr>
    </w:tbl>
    <w:p w:rsidR="00021F51" w:rsidRPr="00021F51" w:rsidRDefault="00021F51" w:rsidP="00021F51">
      <w:pPr>
        <w:tabs>
          <w:tab w:val="left" w:pos="446"/>
        </w:tabs>
        <w:spacing w:after="0" w:line="240" w:lineRule="auto"/>
        <w:ind w:left="540" w:hanging="540"/>
        <w:rPr>
          <w:rFonts w:ascii="Times New Roman" w:eastAsia="Times New Roman" w:hAnsi="Times New Roman" w:cs="Times New Roman"/>
        </w:rPr>
      </w:pPr>
    </w:p>
    <w:p w:rsidR="00021F51" w:rsidRPr="00021F51" w:rsidRDefault="00021F51" w:rsidP="00021F51">
      <w:pPr>
        <w:tabs>
          <w:tab w:val="left" w:pos="446"/>
        </w:tabs>
        <w:spacing w:after="0" w:line="240" w:lineRule="auto"/>
        <w:ind w:left="540" w:hanging="446"/>
        <w:rPr>
          <w:rFonts w:ascii="Times New Roman" w:eastAsia="Times New Roman" w:hAnsi="Times New Roman" w:cs="Times New Roman"/>
        </w:rPr>
      </w:pPr>
      <w:r w:rsidRPr="00021F51">
        <w:rPr>
          <w:rFonts w:ascii="Times New Roman" w:eastAsia="Times New Roman" w:hAnsi="Times New Roman" w:cs="Times New Roman"/>
        </w:rPr>
        <w:tab/>
        <w:t>So, the EFN is:</w:t>
      </w:r>
    </w:p>
    <w:p w:rsidR="00021F51" w:rsidRPr="00021F51" w:rsidRDefault="00021F51" w:rsidP="00021F51">
      <w:pPr>
        <w:tabs>
          <w:tab w:val="left" w:pos="446"/>
        </w:tabs>
        <w:spacing w:after="0" w:line="240" w:lineRule="auto"/>
        <w:ind w:left="540" w:hanging="446"/>
        <w:rPr>
          <w:rFonts w:ascii="Times New Roman" w:eastAsia="Times New Roman" w:hAnsi="Times New Roman" w:cs="Times New Roman"/>
        </w:rPr>
      </w:pPr>
    </w:p>
    <w:p w:rsidR="00021F51" w:rsidRPr="00021F51" w:rsidRDefault="00021F51" w:rsidP="00021F51">
      <w:pPr>
        <w:tabs>
          <w:tab w:val="left" w:pos="440"/>
        </w:tabs>
        <w:spacing w:after="0" w:line="240" w:lineRule="auto"/>
        <w:ind w:left="440" w:hanging="446"/>
        <w:jc w:val="both"/>
        <w:rPr>
          <w:rFonts w:ascii="Times New Roman" w:eastAsia="Times New Roman" w:hAnsi="Times New Roman" w:cs="Times New Roman"/>
        </w:rPr>
      </w:pPr>
      <w:r w:rsidRPr="00021F51">
        <w:rPr>
          <w:rFonts w:ascii="Times New Roman" w:eastAsia="Times New Roman" w:hAnsi="Times New Roman" w:cs="Times New Roman"/>
        </w:rPr>
        <w:tab/>
        <w:t>EFN = Total assets – Total liabilities and equity</w:t>
      </w:r>
    </w:p>
    <w:p w:rsidR="00021F51" w:rsidRPr="00021F51" w:rsidRDefault="00021F51" w:rsidP="00021F51">
      <w:pPr>
        <w:tabs>
          <w:tab w:val="left" w:pos="446"/>
        </w:tabs>
        <w:spacing w:after="0" w:line="240" w:lineRule="auto"/>
        <w:ind w:left="540" w:hanging="446"/>
        <w:rPr>
          <w:rFonts w:ascii="Times New Roman" w:eastAsia="Times New Roman" w:hAnsi="Times New Roman" w:cs="Times New Roman"/>
        </w:rPr>
      </w:pPr>
      <w:r w:rsidRPr="00021F51">
        <w:rPr>
          <w:rFonts w:ascii="Times New Roman" w:eastAsia="Times New Roman" w:hAnsi="Times New Roman" w:cs="Times New Roman"/>
        </w:rPr>
        <w:tab/>
        <w:t xml:space="preserve">EFN = $22,384,510 – 21,810,407 </w:t>
      </w:r>
    </w:p>
    <w:p w:rsidR="00021F51" w:rsidRPr="00021F51" w:rsidRDefault="00021F51" w:rsidP="00021F51">
      <w:pPr>
        <w:tabs>
          <w:tab w:val="left" w:pos="446"/>
        </w:tabs>
        <w:spacing w:after="0" w:line="240" w:lineRule="auto"/>
        <w:ind w:left="540" w:hanging="446"/>
        <w:rPr>
          <w:rFonts w:ascii="Times New Roman" w:eastAsia="Times New Roman" w:hAnsi="Times New Roman" w:cs="Times New Roman"/>
        </w:rPr>
      </w:pPr>
      <w:r w:rsidRPr="00021F51">
        <w:rPr>
          <w:rFonts w:ascii="Times New Roman" w:eastAsia="Times New Roman" w:hAnsi="Times New Roman" w:cs="Times New Roman"/>
        </w:rPr>
        <w:tab/>
        <w:t>EFN = $574,103</w:t>
      </w:r>
    </w:p>
    <w:p w:rsidR="00021F51" w:rsidRPr="00021F51" w:rsidRDefault="00021F51" w:rsidP="00021F51">
      <w:pPr>
        <w:tabs>
          <w:tab w:val="left" w:pos="446"/>
        </w:tabs>
        <w:spacing w:after="0" w:line="240" w:lineRule="auto"/>
        <w:ind w:left="540" w:hanging="540"/>
        <w:jc w:val="both"/>
        <w:rPr>
          <w:rFonts w:ascii="Times New Roman" w:eastAsia="Times New Roman" w:hAnsi="Times New Roman" w:cs="Times New Roman"/>
          <w:b/>
        </w:rPr>
      </w:pP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b/>
        </w:rPr>
      </w:pPr>
      <w:r w:rsidRPr="00021F51">
        <w:rPr>
          <w:rFonts w:ascii="Times New Roman" w:eastAsia="Times New Roman" w:hAnsi="Times New Roman" w:cs="Times New Roman"/>
          <w:b/>
        </w:rPr>
        <w:tab/>
      </w:r>
      <w:r w:rsidRPr="00021F51">
        <w:rPr>
          <w:rFonts w:ascii="Times New Roman" w:eastAsia="Times New Roman" w:hAnsi="Times New Roman" w:cs="Times New Roman"/>
          <w:bCs/>
        </w:rPr>
        <w:t>The company can grow at this rate by changing the way it operates. For example, if profit margin increases, say by reducing costs, the ROE increases, thereby increasing the sustainable growth rate. In general, as long as the company increases the profit margin, total asset turnover, or equity multiplier, the higher growth rate is possible. Note however, that changing any one of these will have the effect of changing the pro forma financial statements.</w:t>
      </w: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r w:rsidRPr="00021F51">
        <w:rPr>
          <w:rFonts w:ascii="Times New Roman" w:eastAsia="Times New Roman" w:hAnsi="Times New Roman" w:cs="Times New Roman"/>
          <w:b/>
        </w:rPr>
        <w:br w:type="page"/>
      </w:r>
      <w:r w:rsidRPr="00021F51">
        <w:rPr>
          <w:rFonts w:ascii="Times New Roman" w:eastAsia="Times New Roman" w:hAnsi="Times New Roman" w:cs="Times New Roman"/>
          <w:b/>
        </w:rPr>
        <w:lastRenderedPageBreak/>
        <w:t>3.</w:t>
      </w:r>
      <w:r w:rsidRPr="00021F51">
        <w:rPr>
          <w:rFonts w:ascii="Times New Roman" w:eastAsia="Times New Roman" w:hAnsi="Times New Roman" w:cs="Times New Roman"/>
        </w:rPr>
        <w:tab/>
        <w:t>Now we are assuming the company can only build in amounts of $5 million. We will assume that the company will go ahead with the fixed asset acquisition. To estimate the new depreciation charge, we will find the current depreciation as a percentage of fixed assets, then, apply this percentage to the new fixed assets. The depreciation as a percentage of assets this year was:</w:t>
      </w: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r w:rsidRPr="00021F51">
        <w:rPr>
          <w:rFonts w:ascii="Times New Roman" w:eastAsia="Times New Roman" w:hAnsi="Times New Roman" w:cs="Times New Roman"/>
        </w:rPr>
        <w:tab/>
        <w:t>Depreciation percentage = $1,804,220 / $17,723,430</w:t>
      </w: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r w:rsidRPr="00021F51">
        <w:rPr>
          <w:rFonts w:ascii="Times New Roman" w:eastAsia="Times New Roman" w:hAnsi="Times New Roman" w:cs="Times New Roman"/>
        </w:rPr>
        <w:tab/>
        <w:t>Depreciation percentage = .1018, or 10.18%</w:t>
      </w: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r w:rsidRPr="00021F51">
        <w:rPr>
          <w:rFonts w:ascii="Times New Roman" w:eastAsia="Times New Roman" w:hAnsi="Times New Roman" w:cs="Times New Roman"/>
        </w:rPr>
        <w:tab/>
        <w:t>The new level of fixed assets with the $5 million purchase will be:</w:t>
      </w: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r w:rsidRPr="00021F51">
        <w:rPr>
          <w:rFonts w:ascii="Times New Roman" w:eastAsia="Times New Roman" w:hAnsi="Times New Roman" w:cs="Times New Roman"/>
        </w:rPr>
        <w:tab/>
        <w:t>New fixed assets = $17,723,430 + 5,000,000 = $22,723,430</w:t>
      </w: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r w:rsidRPr="00021F51">
        <w:rPr>
          <w:rFonts w:ascii="Times New Roman" w:eastAsia="Times New Roman" w:hAnsi="Times New Roman" w:cs="Times New Roman"/>
        </w:rPr>
        <w:tab/>
        <w:t>So, the pro forma depreciation will be:</w:t>
      </w: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r w:rsidRPr="00021F51">
        <w:rPr>
          <w:rFonts w:ascii="Times New Roman" w:eastAsia="Times New Roman" w:hAnsi="Times New Roman" w:cs="Times New Roman"/>
        </w:rPr>
        <w:tab/>
        <w:t xml:space="preserve">Pro forma depreciation = .1018($22,723,430) </w:t>
      </w: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r w:rsidRPr="00021F51">
        <w:rPr>
          <w:rFonts w:ascii="Times New Roman" w:eastAsia="Times New Roman" w:hAnsi="Times New Roman" w:cs="Times New Roman"/>
        </w:rPr>
        <w:tab/>
        <w:t xml:space="preserve">Pro forma depreciation = $2,313,213 </w:t>
      </w: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r w:rsidRPr="00021F51">
        <w:rPr>
          <w:rFonts w:ascii="Times New Roman" w:eastAsia="Times New Roman" w:hAnsi="Times New Roman" w:cs="Times New Roman"/>
        </w:rPr>
        <w:tab/>
        <w:t xml:space="preserve"> </w:t>
      </w: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r w:rsidRPr="00021F51">
        <w:rPr>
          <w:rFonts w:ascii="Times New Roman" w:eastAsia="Times New Roman" w:hAnsi="Times New Roman" w:cs="Times New Roman"/>
        </w:rPr>
        <w:tab/>
        <w:t>We will use this amount in the pro forma income statement. So, the pro forma income statement will be:</w:t>
      </w: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p>
    <w:tbl>
      <w:tblPr>
        <w:tblW w:w="9755" w:type="dxa"/>
        <w:tblInd w:w="93" w:type="dxa"/>
        <w:tblLook w:val="0000" w:firstRow="0" w:lastRow="0" w:firstColumn="0" w:lastColumn="0" w:noHBand="0" w:noVBand="0"/>
      </w:tblPr>
      <w:tblGrid>
        <w:gridCol w:w="555"/>
        <w:gridCol w:w="2620"/>
        <w:gridCol w:w="1640"/>
        <w:gridCol w:w="420"/>
        <w:gridCol w:w="2260"/>
        <w:gridCol w:w="2260"/>
      </w:tblGrid>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4260" w:type="dxa"/>
            <w:gridSpan w:val="2"/>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center"/>
              <w:rPr>
                <w:rFonts w:ascii="Times New Roman" w:eastAsia="Times New Roman" w:hAnsi="Times New Roman" w:cs="Times New Roman"/>
                <w:i/>
              </w:rPr>
            </w:pPr>
            <w:r w:rsidRPr="00021F51">
              <w:rPr>
                <w:rFonts w:ascii="Times New Roman" w:eastAsia="Times New Roman" w:hAnsi="Times New Roman" w:cs="Times New Roman"/>
                <w:i/>
              </w:rPr>
              <w:t>Income Statement</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single" w:sz="4" w:space="0" w:color="auto"/>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Sales</w:t>
            </w:r>
          </w:p>
        </w:tc>
        <w:tc>
          <w:tcPr>
            <w:tcW w:w="1640" w:type="dxa"/>
            <w:tcBorders>
              <w:top w:val="single" w:sz="4" w:space="0" w:color="auto"/>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$ 45,090,338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COGS</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32,856,820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Other expenses</w:t>
            </w:r>
          </w:p>
        </w:tc>
        <w:tc>
          <w:tcPr>
            <w:tcW w:w="1640" w:type="dxa"/>
            <w:tcBorders>
              <w:top w:val="nil"/>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5,717,712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Depreciation</w:t>
            </w:r>
          </w:p>
        </w:tc>
        <w:tc>
          <w:tcPr>
            <w:tcW w:w="1640" w:type="dxa"/>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2,313,213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EBIT</w:t>
            </w:r>
          </w:p>
        </w:tc>
        <w:tc>
          <w:tcPr>
            <w:tcW w:w="1640" w:type="dxa"/>
            <w:tcBorders>
              <w:top w:val="single" w:sz="4" w:space="0" w:color="auto"/>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4,202,593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Interest</w:t>
            </w:r>
          </w:p>
        </w:tc>
        <w:tc>
          <w:tcPr>
            <w:tcW w:w="1640" w:type="dxa"/>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630,520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Taxable income</w:t>
            </w:r>
          </w:p>
        </w:tc>
        <w:tc>
          <w:tcPr>
            <w:tcW w:w="1640" w:type="dxa"/>
            <w:tcBorders>
              <w:top w:val="single" w:sz="4" w:space="0" w:color="auto"/>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3,572,073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Taxes (40%)</w:t>
            </w:r>
          </w:p>
        </w:tc>
        <w:tc>
          <w:tcPr>
            <w:tcW w:w="1640" w:type="dxa"/>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1,428,829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15"/>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Net income</w:t>
            </w:r>
          </w:p>
        </w:tc>
        <w:tc>
          <w:tcPr>
            <w:tcW w:w="1640" w:type="dxa"/>
            <w:tcBorders>
              <w:top w:val="single" w:sz="4" w:space="0" w:color="auto"/>
              <w:left w:val="nil"/>
              <w:bottom w:val="doub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2,143,244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15"/>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1640" w:type="dxa"/>
            <w:tcBorders>
              <w:top w:val="double" w:sz="4" w:space="0" w:color="auto"/>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Dividends</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644,103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Add to RE</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1,499,141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r>
    </w:tbl>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r w:rsidRPr="00021F51">
        <w:rPr>
          <w:rFonts w:ascii="Times New Roman" w:eastAsia="Times New Roman" w:hAnsi="Times New Roman" w:cs="Times New Roman"/>
        </w:rPr>
        <w:br w:type="page"/>
      </w:r>
      <w:r w:rsidRPr="00021F51">
        <w:rPr>
          <w:rFonts w:ascii="Times New Roman" w:eastAsia="Times New Roman" w:hAnsi="Times New Roman" w:cs="Times New Roman"/>
        </w:rPr>
        <w:lastRenderedPageBreak/>
        <w:tab/>
        <w:t xml:space="preserve">The pro forma balance sheet will remain the same except for the fixed asset and equity accounts. The fixed asset account will increase by $5 million, rather than the growth rate of sales. </w:t>
      </w: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p>
    <w:tbl>
      <w:tblPr>
        <w:tblW w:w="9755" w:type="dxa"/>
        <w:tblInd w:w="93" w:type="dxa"/>
        <w:tblLook w:val="0000" w:firstRow="0" w:lastRow="0" w:firstColumn="0" w:lastColumn="0" w:noHBand="0" w:noVBand="0"/>
      </w:tblPr>
      <w:tblGrid>
        <w:gridCol w:w="555"/>
        <w:gridCol w:w="2620"/>
        <w:gridCol w:w="1640"/>
        <w:gridCol w:w="420"/>
        <w:gridCol w:w="2260"/>
        <w:gridCol w:w="2260"/>
      </w:tblGrid>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9200" w:type="dxa"/>
            <w:gridSpan w:val="5"/>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center"/>
              <w:rPr>
                <w:rFonts w:ascii="Times New Roman" w:eastAsia="Times New Roman" w:hAnsi="Times New Roman" w:cs="Times New Roman"/>
                <w:i/>
              </w:rPr>
            </w:pPr>
            <w:r w:rsidRPr="00021F51">
              <w:rPr>
                <w:rFonts w:ascii="Times New Roman" w:eastAsia="Times New Roman" w:hAnsi="Times New Roman" w:cs="Times New Roman"/>
                <w:i/>
              </w:rPr>
              <w:t>Balance Sheet</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4260" w:type="dxa"/>
            <w:gridSpan w:val="2"/>
            <w:tcBorders>
              <w:top w:val="nil"/>
              <w:left w:val="nil"/>
              <w:bottom w:val="nil"/>
              <w:right w:val="nil"/>
            </w:tcBorders>
            <w:shd w:val="clear" w:color="auto" w:fill="auto"/>
            <w:noWrap/>
            <w:vAlign w:val="bottom"/>
          </w:tcPr>
          <w:p w:rsidR="00021F51" w:rsidRPr="00021F51" w:rsidRDefault="00021F51" w:rsidP="00021F51">
            <w:pPr>
              <w:spacing w:after="0" w:line="240" w:lineRule="auto"/>
              <w:jc w:val="center"/>
              <w:rPr>
                <w:rFonts w:ascii="Times New Roman" w:eastAsia="Times New Roman" w:hAnsi="Times New Roman" w:cs="Times New Roman"/>
              </w:rPr>
            </w:pPr>
            <w:r w:rsidRPr="00021F51">
              <w:rPr>
                <w:rFonts w:ascii="Times New Roman" w:eastAsia="Times New Roman" w:hAnsi="Times New Roman" w:cs="Times New Roman"/>
              </w:rPr>
              <w:t>Assets</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4520" w:type="dxa"/>
            <w:gridSpan w:val="2"/>
            <w:tcBorders>
              <w:top w:val="nil"/>
              <w:left w:val="nil"/>
              <w:bottom w:val="nil"/>
              <w:right w:val="nil"/>
            </w:tcBorders>
            <w:shd w:val="clear" w:color="auto" w:fill="auto"/>
            <w:noWrap/>
            <w:vAlign w:val="bottom"/>
          </w:tcPr>
          <w:p w:rsidR="00021F51" w:rsidRPr="00021F51" w:rsidRDefault="00021F51" w:rsidP="00021F51">
            <w:pPr>
              <w:spacing w:after="0" w:line="240" w:lineRule="auto"/>
              <w:jc w:val="center"/>
              <w:rPr>
                <w:rFonts w:ascii="Times New Roman" w:eastAsia="Times New Roman" w:hAnsi="Times New Roman" w:cs="Times New Roman"/>
              </w:rPr>
            </w:pPr>
            <w:r w:rsidRPr="00021F51">
              <w:rPr>
                <w:rFonts w:ascii="Times New Roman" w:eastAsia="Times New Roman" w:hAnsi="Times New Roman" w:cs="Times New Roman"/>
              </w:rPr>
              <w:t>Liabilities and Equity</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Current assets</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rPr>
            </w:pPr>
            <w:r w:rsidRPr="00021F51">
              <w:rPr>
                <w:rFonts w:ascii="Times New Roman" w:eastAsia="Times New Roman" w:hAnsi="Times New Roman" w:cs="Times New Roman"/>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Current liabilities</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rPr>
            </w:pPr>
            <w:r w:rsidRPr="00021F51">
              <w:rPr>
                <w:rFonts w:ascii="Times New Roman" w:eastAsia="Times New Roman" w:hAnsi="Times New Roman" w:cs="Times New Roman"/>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Cash</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511,207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Accounts payable</w:t>
            </w:r>
          </w:p>
        </w:tc>
        <w:tc>
          <w:tcPr>
            <w:tcW w:w="2260" w:type="dxa"/>
            <w:tcBorders>
              <w:top w:val="nil"/>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1,040,486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Accounts rec.</w:t>
            </w:r>
          </w:p>
        </w:tc>
        <w:tc>
          <w:tcPr>
            <w:tcW w:w="1640" w:type="dxa"/>
            <w:tcBorders>
              <w:top w:val="nil"/>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821,100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Notes payable</w:t>
            </w:r>
          </w:p>
        </w:tc>
        <w:tc>
          <w:tcPr>
            <w:tcW w:w="2260" w:type="dxa"/>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2,121,350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Inventory</w:t>
            </w:r>
          </w:p>
        </w:tc>
        <w:tc>
          <w:tcPr>
            <w:tcW w:w="1640" w:type="dxa"/>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1,201,962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Total CL</w:t>
            </w:r>
          </w:p>
        </w:tc>
        <w:tc>
          <w:tcPr>
            <w:tcW w:w="2260" w:type="dxa"/>
            <w:tcBorders>
              <w:top w:val="single" w:sz="4" w:space="0" w:color="auto"/>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3,161,836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Total CA</w:t>
            </w:r>
          </w:p>
        </w:tc>
        <w:tc>
          <w:tcPr>
            <w:tcW w:w="1640" w:type="dxa"/>
            <w:tcBorders>
              <w:top w:val="single" w:sz="4" w:space="0" w:color="auto"/>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2,534,269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Long-term debt</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5,500,000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Fixed assets</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Net PP&amp;E</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$ 22,723,430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Shareholder equity</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1640" w:type="dxa"/>
            <w:tcBorders>
              <w:top w:val="nil"/>
              <w:left w:val="nil"/>
              <w:bottom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Common stock</w:t>
            </w:r>
          </w:p>
        </w:tc>
        <w:tc>
          <w:tcPr>
            <w:tcW w:w="2260" w:type="dxa"/>
            <w:tcBorders>
              <w:top w:val="nil"/>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400,000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p>
        </w:tc>
        <w:tc>
          <w:tcPr>
            <w:tcW w:w="1640" w:type="dxa"/>
            <w:tcBorders>
              <w:top w:val="nil"/>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Retained earnings</w:t>
            </w:r>
          </w:p>
        </w:tc>
        <w:tc>
          <w:tcPr>
            <w:tcW w:w="2260" w:type="dxa"/>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12,534,956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p>
        </w:tc>
        <w:tc>
          <w:tcPr>
            <w:tcW w:w="1640" w:type="dxa"/>
            <w:tcBorders>
              <w:top w:val="nil"/>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xml:space="preserve">   Total equity</w:t>
            </w:r>
          </w:p>
        </w:tc>
        <w:tc>
          <w:tcPr>
            <w:tcW w:w="2260" w:type="dxa"/>
            <w:tcBorders>
              <w:top w:val="single" w:sz="4" w:space="0" w:color="auto"/>
              <w:left w:val="nil"/>
              <w:bottom w:val="sing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$ 12,934,956 </w:t>
            </w:r>
          </w:p>
        </w:tc>
      </w:tr>
      <w:tr w:rsidR="00021F51" w:rsidRPr="00021F51" w:rsidTr="00D018D6">
        <w:trPr>
          <w:trHeight w:val="300"/>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1640" w:type="dxa"/>
            <w:tcBorders>
              <w:top w:val="single" w:sz="4" w:space="0" w:color="auto"/>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single" w:sz="4" w:space="0" w:color="auto"/>
              <w:left w:val="nil"/>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w:t>
            </w:r>
          </w:p>
        </w:tc>
      </w:tr>
      <w:tr w:rsidR="00021F51" w:rsidRPr="00021F51" w:rsidTr="00D018D6">
        <w:trPr>
          <w:trHeight w:val="315"/>
        </w:trPr>
        <w:tc>
          <w:tcPr>
            <w:tcW w:w="555" w:type="dxa"/>
            <w:tcBorders>
              <w:top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6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Total Assets</w:t>
            </w:r>
          </w:p>
        </w:tc>
        <w:tc>
          <w:tcPr>
            <w:tcW w:w="1640" w:type="dxa"/>
            <w:tcBorders>
              <w:left w:val="nil"/>
              <w:bottom w:val="doub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$ 25,257,699 </w:t>
            </w:r>
          </w:p>
        </w:tc>
        <w:tc>
          <w:tcPr>
            <w:tcW w:w="42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 </w:t>
            </w:r>
          </w:p>
        </w:tc>
        <w:tc>
          <w:tcPr>
            <w:tcW w:w="2260" w:type="dxa"/>
            <w:tcBorders>
              <w:top w:val="nil"/>
              <w:left w:val="nil"/>
              <w:bottom w:val="nil"/>
              <w:right w:val="nil"/>
            </w:tcBorders>
            <w:shd w:val="clear" w:color="auto" w:fill="auto"/>
            <w:noWrap/>
            <w:vAlign w:val="bottom"/>
          </w:tcPr>
          <w:p w:rsidR="00021F51" w:rsidRPr="00021F51" w:rsidRDefault="00021F51" w:rsidP="00021F51">
            <w:pPr>
              <w:spacing w:after="0" w:line="240" w:lineRule="auto"/>
              <w:rPr>
                <w:rFonts w:ascii="Times New Roman" w:eastAsia="Times New Roman" w:hAnsi="Times New Roman" w:cs="Times New Roman"/>
              </w:rPr>
            </w:pPr>
            <w:r w:rsidRPr="00021F51">
              <w:rPr>
                <w:rFonts w:ascii="Times New Roman" w:eastAsia="Times New Roman" w:hAnsi="Times New Roman" w:cs="Times New Roman"/>
              </w:rPr>
              <w:t>Total L&amp;E</w:t>
            </w:r>
          </w:p>
        </w:tc>
        <w:tc>
          <w:tcPr>
            <w:tcW w:w="2260" w:type="dxa"/>
            <w:tcBorders>
              <w:left w:val="nil"/>
              <w:bottom w:val="double" w:sz="4" w:space="0" w:color="auto"/>
              <w:right w:val="nil"/>
            </w:tcBorders>
            <w:shd w:val="clear" w:color="auto" w:fill="auto"/>
            <w:noWrap/>
            <w:vAlign w:val="bottom"/>
          </w:tcPr>
          <w:p w:rsidR="00021F51" w:rsidRPr="00021F51" w:rsidRDefault="00021F51" w:rsidP="00021F51">
            <w:pPr>
              <w:spacing w:after="0" w:line="240" w:lineRule="auto"/>
              <w:jc w:val="right"/>
              <w:rPr>
                <w:rFonts w:ascii="Times New Roman" w:eastAsia="Times New Roman" w:hAnsi="Times New Roman" w:cs="Times New Roman"/>
                <w:sz w:val="24"/>
                <w:szCs w:val="24"/>
              </w:rPr>
            </w:pPr>
            <w:r w:rsidRPr="00021F51">
              <w:rPr>
                <w:rFonts w:ascii="Times New Roman" w:eastAsia="Times New Roman" w:hAnsi="Times New Roman" w:cs="Times New Roman"/>
                <w:sz w:val="24"/>
                <w:szCs w:val="24"/>
              </w:rPr>
              <w:t xml:space="preserve"> $ 21,596,791 </w:t>
            </w:r>
          </w:p>
        </w:tc>
      </w:tr>
    </w:tbl>
    <w:p w:rsidR="00021F51" w:rsidRPr="00021F51" w:rsidRDefault="00021F51" w:rsidP="00021F51">
      <w:pPr>
        <w:tabs>
          <w:tab w:val="left" w:pos="446"/>
        </w:tabs>
        <w:spacing w:after="0" w:line="240" w:lineRule="auto"/>
        <w:ind w:left="540" w:hanging="540"/>
        <w:rPr>
          <w:rFonts w:ascii="Times New Roman" w:eastAsia="Times New Roman" w:hAnsi="Times New Roman" w:cs="Times New Roman"/>
        </w:rPr>
      </w:pPr>
    </w:p>
    <w:p w:rsidR="00021F51" w:rsidRPr="00021F51" w:rsidRDefault="00021F51" w:rsidP="00021F51">
      <w:pPr>
        <w:tabs>
          <w:tab w:val="left" w:pos="446"/>
        </w:tabs>
        <w:spacing w:after="0" w:line="240" w:lineRule="auto"/>
        <w:ind w:left="540" w:hanging="446"/>
        <w:rPr>
          <w:rFonts w:ascii="Times New Roman" w:eastAsia="Times New Roman" w:hAnsi="Times New Roman" w:cs="Times New Roman"/>
        </w:rPr>
      </w:pPr>
      <w:r w:rsidRPr="00021F51">
        <w:rPr>
          <w:rFonts w:ascii="Times New Roman" w:eastAsia="Times New Roman" w:hAnsi="Times New Roman" w:cs="Times New Roman"/>
        </w:rPr>
        <w:tab/>
        <w:t>So, the EFN is:</w:t>
      </w:r>
    </w:p>
    <w:p w:rsidR="00021F51" w:rsidRPr="00021F51" w:rsidRDefault="00021F51" w:rsidP="00021F51">
      <w:pPr>
        <w:tabs>
          <w:tab w:val="left" w:pos="446"/>
        </w:tabs>
        <w:spacing w:after="0" w:line="240" w:lineRule="auto"/>
        <w:ind w:left="540" w:hanging="446"/>
        <w:rPr>
          <w:rFonts w:ascii="Times New Roman" w:eastAsia="Times New Roman" w:hAnsi="Times New Roman" w:cs="Times New Roman"/>
        </w:rPr>
      </w:pPr>
    </w:p>
    <w:p w:rsidR="00021F51" w:rsidRPr="00021F51" w:rsidRDefault="00021F51" w:rsidP="00021F51">
      <w:pPr>
        <w:tabs>
          <w:tab w:val="left" w:pos="440"/>
        </w:tabs>
        <w:spacing w:after="0" w:line="240" w:lineRule="auto"/>
        <w:ind w:left="440" w:hanging="446"/>
        <w:jc w:val="both"/>
        <w:rPr>
          <w:rFonts w:ascii="Times New Roman" w:eastAsia="Times New Roman" w:hAnsi="Times New Roman" w:cs="Times New Roman"/>
        </w:rPr>
      </w:pPr>
      <w:r w:rsidRPr="00021F51">
        <w:rPr>
          <w:rFonts w:ascii="Times New Roman" w:eastAsia="Times New Roman" w:hAnsi="Times New Roman" w:cs="Times New Roman"/>
        </w:rPr>
        <w:tab/>
        <w:t>EFN = Total assets – Total liabilities and equity</w:t>
      </w:r>
    </w:p>
    <w:p w:rsidR="00021F51" w:rsidRPr="00021F51" w:rsidRDefault="00021F51" w:rsidP="00021F51">
      <w:pPr>
        <w:tabs>
          <w:tab w:val="left" w:pos="446"/>
        </w:tabs>
        <w:spacing w:after="0" w:line="240" w:lineRule="auto"/>
        <w:ind w:left="446" w:hanging="446"/>
        <w:rPr>
          <w:rFonts w:ascii="Times New Roman" w:eastAsia="Times New Roman" w:hAnsi="Times New Roman" w:cs="Times New Roman"/>
        </w:rPr>
      </w:pPr>
      <w:r w:rsidRPr="00021F51">
        <w:rPr>
          <w:rFonts w:ascii="Times New Roman" w:eastAsia="Times New Roman" w:hAnsi="Times New Roman" w:cs="Times New Roman"/>
        </w:rPr>
        <w:tab/>
        <w:t xml:space="preserve">EFN = $25,257,699 – 21,596,791 </w:t>
      </w:r>
    </w:p>
    <w:p w:rsidR="00021F51" w:rsidRPr="00021F51" w:rsidRDefault="00021F51" w:rsidP="00021F51">
      <w:pPr>
        <w:tabs>
          <w:tab w:val="left" w:pos="446"/>
        </w:tabs>
        <w:spacing w:after="0" w:line="240" w:lineRule="auto"/>
        <w:ind w:left="446" w:hanging="446"/>
        <w:rPr>
          <w:rFonts w:ascii="Times New Roman" w:eastAsia="Times New Roman" w:hAnsi="Times New Roman" w:cs="Times New Roman"/>
        </w:rPr>
      </w:pPr>
      <w:r w:rsidRPr="00021F51">
        <w:rPr>
          <w:rFonts w:ascii="Times New Roman" w:eastAsia="Times New Roman" w:hAnsi="Times New Roman" w:cs="Times New Roman"/>
        </w:rPr>
        <w:tab/>
        <w:t>EFN = $3,660,907</w:t>
      </w:r>
    </w:p>
    <w:p w:rsidR="00021F51" w:rsidRPr="00021F51" w:rsidRDefault="00021F51" w:rsidP="00021F51">
      <w:pPr>
        <w:tabs>
          <w:tab w:val="left" w:pos="446"/>
        </w:tabs>
        <w:spacing w:after="0" w:line="240" w:lineRule="auto"/>
        <w:ind w:left="446" w:hanging="446"/>
        <w:rPr>
          <w:rFonts w:ascii="Times New Roman" w:eastAsia="Times New Roman" w:hAnsi="Times New Roman" w:cs="Times New Roman"/>
        </w:rPr>
      </w:pPr>
    </w:p>
    <w:p w:rsidR="00021F51" w:rsidRPr="00021F51" w:rsidRDefault="00021F51" w:rsidP="00021F51">
      <w:pPr>
        <w:tabs>
          <w:tab w:val="left" w:pos="446"/>
        </w:tabs>
        <w:spacing w:after="0" w:line="240" w:lineRule="auto"/>
        <w:ind w:left="446" w:hanging="446"/>
        <w:jc w:val="both"/>
        <w:rPr>
          <w:rFonts w:ascii="Times New Roman" w:eastAsia="Times New Roman" w:hAnsi="Times New Roman" w:cs="Times New Roman"/>
        </w:rPr>
      </w:pPr>
      <w:r w:rsidRPr="00021F51">
        <w:rPr>
          <w:rFonts w:ascii="Times New Roman" w:eastAsia="Times New Roman" w:hAnsi="Times New Roman" w:cs="Times New Roman"/>
        </w:rPr>
        <w:tab/>
        <w:t>Since the fixed assets have increased at a faster percentage than sales, the capacity utilization for next year will decrease.</w:t>
      </w:r>
    </w:p>
    <w:p w:rsidR="00325ED7" w:rsidRDefault="00325ED7">
      <w:bookmarkStart w:id="0" w:name="_GoBack"/>
      <w:bookmarkEnd w:id="0"/>
    </w:p>
    <w:sectPr w:rsidR="00325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51"/>
    <w:rsid w:val="00021F51"/>
    <w:rsid w:val="0032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C557F-D6AD-4992-BD77-9AAB8C0A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Joseph</dc:creator>
  <cp:keywords/>
  <dc:description/>
  <cp:lastModifiedBy>French, Joseph</cp:lastModifiedBy>
  <cp:revision>1</cp:revision>
  <dcterms:created xsi:type="dcterms:W3CDTF">2018-08-05T10:13:00Z</dcterms:created>
  <dcterms:modified xsi:type="dcterms:W3CDTF">2018-08-05T10:13:00Z</dcterms:modified>
</cp:coreProperties>
</file>