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P.R.G.C. VARIANTE 73 - NORME TECNICHE DI ATTUAZIONE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P.R.G.C. VARIANTE 73 - Tav. di Azzonamento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mune.tricesimo.ud.it/EasyNe2/LYT.aspx?Code=TRCC&amp;IDLYT=390&amp;ST=SQL&amp;SQL=ID_Documento=7569" TargetMode="External"/><Relationship Id="rId7" Type="http://schemas.openxmlformats.org/officeDocument/2006/relationships/hyperlink" Target="http://www.comune.tricesimo.ud.it/EasyNe2/LYT.aspx?Code=TRCC&amp;IDLYT=390&amp;ST=SQL&amp;SQL=ID_Documento=7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