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886C6" w14:textId="77777777" w:rsidR="00C87A86" w:rsidRPr="00A46FA4" w:rsidRDefault="00F45AC6" w:rsidP="00A46FA4">
      <w:pPr>
        <w:pStyle w:val="style21"/>
        <w:jc w:val="center"/>
        <w:rPr>
          <w:rFonts w:asciiTheme="majorHAnsi" w:hAnsiTheme="majorHAnsi" w:cs="Times New Roman"/>
          <w:color w:val="000000"/>
          <w:sz w:val="48"/>
          <w:szCs w:val="48"/>
        </w:rPr>
      </w:pPr>
      <w:r w:rsidRPr="00A46FA4">
        <w:rPr>
          <w:rFonts w:asciiTheme="majorHAnsi" w:hAnsiTheme="majorHAnsi" w:cs="Times New Roman"/>
          <w:color w:val="000000"/>
          <w:sz w:val="48"/>
          <w:szCs w:val="48"/>
        </w:rPr>
        <w:t>rimanenze di magazzino</w:t>
      </w:r>
    </w:p>
    <w:p w14:paraId="47D730B2" w14:textId="77777777" w:rsidR="00C87A86" w:rsidRPr="00A46FA4" w:rsidRDefault="00F45AC6" w:rsidP="00A46FA4">
      <w:pPr>
        <w:pStyle w:val="style21"/>
        <w:numPr>
          <w:ilvl w:val="0"/>
          <w:numId w:val="1"/>
        </w:numPr>
        <w:rPr>
          <w:rFonts w:asciiTheme="majorHAnsi" w:hAnsiTheme="majorHAnsi" w:cs="Times New Roman"/>
          <w:color w:val="000000"/>
          <w:sz w:val="24"/>
          <w:szCs w:val="24"/>
        </w:rPr>
      </w:pPr>
      <w:r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Le rimanenze finali </w:t>
      </w:r>
      <w:r w:rsidR="00C87A86" w:rsidRPr="00A46FA4">
        <w:rPr>
          <w:rFonts w:asciiTheme="majorHAnsi" w:hAnsiTheme="majorHAnsi" w:cs="Times New Roman"/>
          <w:color w:val="000000"/>
          <w:sz w:val="24"/>
          <w:szCs w:val="24"/>
        </w:rPr>
        <w:t>che tipo di componente economico sono</w:t>
      </w:r>
      <w:r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? </w:t>
      </w:r>
    </w:p>
    <w:p w14:paraId="2574038B" w14:textId="77777777" w:rsidR="00C87A86" w:rsidRPr="00A46FA4" w:rsidRDefault="00F45AC6" w:rsidP="00A46FA4">
      <w:pPr>
        <w:pStyle w:val="style21"/>
        <w:numPr>
          <w:ilvl w:val="0"/>
          <w:numId w:val="1"/>
        </w:numPr>
        <w:rPr>
          <w:rFonts w:asciiTheme="majorHAnsi" w:hAnsiTheme="majorHAnsi" w:cs="Times New Roman"/>
          <w:color w:val="000000"/>
          <w:sz w:val="24"/>
          <w:szCs w:val="24"/>
        </w:rPr>
      </w:pPr>
      <w:r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come si valutano? </w:t>
      </w:r>
    </w:p>
    <w:p w14:paraId="6EB8AE08" w14:textId="77777777" w:rsidR="00C87A86" w:rsidRPr="00A46FA4" w:rsidRDefault="00C87A86" w:rsidP="00A46FA4">
      <w:pPr>
        <w:pStyle w:val="style21"/>
        <w:numPr>
          <w:ilvl w:val="0"/>
          <w:numId w:val="1"/>
        </w:numPr>
        <w:rPr>
          <w:rFonts w:asciiTheme="majorHAnsi" w:hAnsiTheme="majorHAnsi" w:cs="Times New Roman"/>
          <w:color w:val="000000"/>
          <w:sz w:val="24"/>
          <w:szCs w:val="24"/>
        </w:rPr>
      </w:pPr>
      <w:r w:rsidRPr="00A46FA4">
        <w:rPr>
          <w:rFonts w:asciiTheme="majorHAnsi" w:hAnsiTheme="majorHAnsi" w:cs="Times New Roman"/>
          <w:color w:val="000000"/>
          <w:sz w:val="24"/>
          <w:szCs w:val="24"/>
        </w:rPr>
        <w:t>Cosa è</w:t>
      </w:r>
      <w:r w:rsidR="00F45AC6"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 la contabilità di magazzino? </w:t>
      </w:r>
    </w:p>
    <w:p w14:paraId="3DF94E23" w14:textId="77777777" w:rsidR="00C87A86" w:rsidRPr="00A46FA4" w:rsidRDefault="00C87A86" w:rsidP="00A46FA4">
      <w:pPr>
        <w:pStyle w:val="style21"/>
        <w:numPr>
          <w:ilvl w:val="0"/>
          <w:numId w:val="1"/>
        </w:numPr>
        <w:rPr>
          <w:rFonts w:asciiTheme="majorHAnsi" w:hAnsiTheme="majorHAnsi" w:cs="Times New Roman"/>
          <w:color w:val="000000"/>
          <w:sz w:val="24"/>
          <w:szCs w:val="24"/>
        </w:rPr>
      </w:pPr>
      <w:r w:rsidRPr="00A46FA4">
        <w:rPr>
          <w:rFonts w:asciiTheme="majorHAnsi" w:hAnsiTheme="majorHAnsi" w:cs="Times New Roman"/>
          <w:color w:val="000000"/>
          <w:sz w:val="24"/>
          <w:szCs w:val="24"/>
        </w:rPr>
        <w:t>Valutazione delle rimanenze a</w:t>
      </w:r>
      <w:r w:rsidR="00F45AC6"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 fini fiscali? </w:t>
      </w:r>
    </w:p>
    <w:p w14:paraId="2037577A" w14:textId="77777777" w:rsidR="00C87A86" w:rsidRPr="00A46FA4" w:rsidRDefault="00C87A86" w:rsidP="00F45AC6">
      <w:pPr>
        <w:pStyle w:val="style21"/>
        <w:rPr>
          <w:rFonts w:asciiTheme="majorHAnsi" w:hAnsiTheme="majorHAnsi" w:cs="Times New Roman"/>
          <w:color w:val="000000"/>
          <w:sz w:val="24"/>
          <w:szCs w:val="24"/>
        </w:rPr>
      </w:pPr>
      <w:r w:rsidRPr="00A46FA4">
        <w:rPr>
          <w:rFonts w:asciiTheme="majorHAnsi" w:hAnsiTheme="majorHAnsi" w:cs="Times New Roman"/>
          <w:color w:val="000000"/>
          <w:sz w:val="24"/>
          <w:szCs w:val="24"/>
        </w:rPr>
        <w:t>Le Rimanenze</w:t>
      </w:r>
      <w:r w:rsidR="00F45AC6"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A46FA4">
        <w:rPr>
          <w:rFonts w:asciiTheme="majorHAnsi" w:hAnsiTheme="majorHAnsi" w:cs="Times New Roman"/>
          <w:color w:val="000000"/>
          <w:sz w:val="24"/>
          <w:szCs w:val="24"/>
        </w:rPr>
        <w:t>s</w:t>
      </w:r>
      <w:r w:rsidR="00F45AC6" w:rsidRPr="00A46FA4">
        <w:rPr>
          <w:rFonts w:asciiTheme="majorHAnsi" w:hAnsiTheme="majorHAnsi" w:cs="Times New Roman"/>
          <w:color w:val="000000"/>
          <w:sz w:val="24"/>
          <w:szCs w:val="24"/>
        </w:rPr>
        <w:t>ono</w:t>
      </w:r>
      <w:r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 formalmente “</w:t>
      </w:r>
      <w:r w:rsidR="00F45AC6" w:rsidRPr="00A46FA4">
        <w:rPr>
          <w:rStyle w:val="Enfasigrassetto"/>
          <w:rFonts w:asciiTheme="majorHAnsi" w:hAnsiTheme="majorHAnsi" w:cs="Times New Roman"/>
          <w:sz w:val="24"/>
          <w:szCs w:val="24"/>
        </w:rPr>
        <w:t>costi sospesi rinviati all'esercizio successivo</w:t>
      </w:r>
      <w:r w:rsidRPr="00A46FA4">
        <w:rPr>
          <w:rStyle w:val="Enfasigrassetto"/>
          <w:rFonts w:asciiTheme="majorHAnsi" w:hAnsiTheme="majorHAnsi" w:cs="Times New Roman"/>
          <w:sz w:val="24"/>
          <w:szCs w:val="24"/>
        </w:rPr>
        <w:t>”</w:t>
      </w:r>
    </w:p>
    <w:p w14:paraId="0623B718" w14:textId="64C64BD8" w:rsidR="00C87A86" w:rsidRPr="00A46FA4" w:rsidRDefault="00C87A86" w:rsidP="00F45AC6">
      <w:pPr>
        <w:pStyle w:val="style21"/>
        <w:rPr>
          <w:rFonts w:asciiTheme="majorHAnsi" w:hAnsiTheme="majorHAnsi" w:cs="Times New Roman"/>
          <w:color w:val="000000"/>
          <w:sz w:val="24"/>
          <w:szCs w:val="24"/>
        </w:rPr>
      </w:pPr>
      <w:r w:rsidRPr="00A46FA4">
        <w:rPr>
          <w:rFonts w:asciiTheme="majorHAnsi" w:hAnsiTheme="majorHAnsi" w:cs="Times New Roman"/>
          <w:color w:val="000000"/>
          <w:sz w:val="24"/>
          <w:szCs w:val="24"/>
        </w:rPr>
        <w:t>Con</w:t>
      </w:r>
      <w:r w:rsidR="00F45AC6"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acquisti per </w:t>
      </w:r>
      <w:r w:rsidR="00F45AC6"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10.000 e </w:t>
      </w:r>
      <w:r w:rsidR="00A46FA4"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vendite </w:t>
      </w:r>
      <w:r w:rsidR="00A46FA4">
        <w:rPr>
          <w:rFonts w:asciiTheme="majorHAnsi" w:hAnsiTheme="majorHAnsi" w:cs="Times New Roman"/>
          <w:color w:val="000000"/>
          <w:sz w:val="24"/>
          <w:szCs w:val="24"/>
        </w:rPr>
        <w:t xml:space="preserve">per </w:t>
      </w:r>
      <w:r w:rsidR="00F45AC6" w:rsidRPr="00A46FA4">
        <w:rPr>
          <w:rFonts w:asciiTheme="majorHAnsi" w:hAnsiTheme="majorHAnsi" w:cs="Times New Roman"/>
          <w:color w:val="000000"/>
          <w:sz w:val="24"/>
          <w:szCs w:val="24"/>
        </w:rPr>
        <w:t>8</w:t>
      </w:r>
      <w:r w:rsidRPr="00A46FA4">
        <w:rPr>
          <w:rFonts w:asciiTheme="majorHAnsi" w:hAnsiTheme="majorHAnsi" w:cs="Times New Roman"/>
          <w:color w:val="000000"/>
          <w:sz w:val="24"/>
          <w:szCs w:val="24"/>
        </w:rPr>
        <w:t>.</w:t>
      </w:r>
      <w:r w:rsidR="00F45AC6"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000 </w:t>
      </w:r>
      <w:r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non si può affermare che si </w:t>
      </w:r>
      <w:r w:rsidR="00A46FA4">
        <w:rPr>
          <w:rFonts w:asciiTheme="majorHAnsi" w:hAnsiTheme="majorHAnsi" w:cs="Times New Roman"/>
          <w:color w:val="000000"/>
          <w:sz w:val="24"/>
          <w:szCs w:val="24"/>
        </w:rPr>
        <w:t>sia</w:t>
      </w:r>
      <w:r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 generata una perdita di 2.000</w:t>
      </w:r>
    </w:p>
    <w:p w14:paraId="2333CA0B" w14:textId="22AC8DDC" w:rsidR="00F45AC6" w:rsidRPr="00A46FA4" w:rsidRDefault="00C87A86" w:rsidP="00F45AC6">
      <w:pPr>
        <w:pStyle w:val="style21"/>
        <w:rPr>
          <w:rFonts w:asciiTheme="majorHAnsi" w:hAnsiTheme="majorHAnsi" w:cs="Times New Roman"/>
          <w:color w:val="000000"/>
          <w:sz w:val="24"/>
          <w:szCs w:val="24"/>
        </w:rPr>
      </w:pPr>
      <w:r w:rsidRPr="00A46FA4">
        <w:rPr>
          <w:rFonts w:asciiTheme="majorHAnsi" w:hAnsiTheme="majorHAnsi" w:cs="Times New Roman"/>
          <w:color w:val="000000"/>
          <w:sz w:val="24"/>
          <w:szCs w:val="24"/>
        </w:rPr>
        <w:t>Con una consistenza di</w:t>
      </w:r>
      <w:r w:rsidR="00F45AC6"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 rimanenze </w:t>
      </w:r>
      <w:r w:rsidRPr="00A46FA4">
        <w:rPr>
          <w:rFonts w:asciiTheme="majorHAnsi" w:hAnsiTheme="majorHAnsi" w:cs="Times New Roman"/>
          <w:color w:val="000000"/>
          <w:sz w:val="24"/>
          <w:szCs w:val="24"/>
        </w:rPr>
        <w:t>pari a</w:t>
      </w:r>
      <w:r w:rsidR="00F45AC6"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 5</w:t>
      </w:r>
      <w:r w:rsidRPr="00A46FA4">
        <w:rPr>
          <w:rFonts w:asciiTheme="majorHAnsi" w:hAnsiTheme="majorHAnsi" w:cs="Times New Roman"/>
          <w:color w:val="000000"/>
          <w:sz w:val="24"/>
          <w:szCs w:val="24"/>
        </w:rPr>
        <w:t>.</w:t>
      </w:r>
      <w:r w:rsidR="00F45AC6" w:rsidRPr="00A46FA4">
        <w:rPr>
          <w:rFonts w:asciiTheme="majorHAnsi" w:hAnsiTheme="majorHAnsi" w:cs="Times New Roman"/>
          <w:color w:val="000000"/>
          <w:sz w:val="24"/>
          <w:szCs w:val="24"/>
        </w:rPr>
        <w:t>000</w:t>
      </w:r>
      <w:r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, </w:t>
      </w:r>
      <w:r w:rsidR="00F45AC6" w:rsidRPr="00A46FA4">
        <w:rPr>
          <w:rFonts w:asciiTheme="majorHAnsi" w:hAnsiTheme="majorHAnsi" w:cs="Times New Roman"/>
          <w:color w:val="000000"/>
          <w:sz w:val="24"/>
          <w:szCs w:val="24"/>
        </w:rPr>
        <w:t>costi per 10.000 e componenti positivi per 13</w:t>
      </w:r>
      <w:r w:rsidRPr="00A46FA4">
        <w:rPr>
          <w:rFonts w:asciiTheme="majorHAnsi" w:hAnsiTheme="majorHAnsi" w:cs="Times New Roman"/>
          <w:color w:val="000000"/>
          <w:sz w:val="24"/>
          <w:szCs w:val="24"/>
        </w:rPr>
        <w:t>.</w:t>
      </w:r>
      <w:r w:rsidR="00F45AC6"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000 </w:t>
      </w:r>
      <w:r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non si </w:t>
      </w:r>
      <w:r w:rsidR="00A46FA4">
        <w:rPr>
          <w:rFonts w:asciiTheme="majorHAnsi" w:hAnsiTheme="majorHAnsi" w:cs="Times New Roman"/>
          <w:color w:val="000000"/>
          <w:sz w:val="24"/>
          <w:szCs w:val="24"/>
        </w:rPr>
        <w:t>può</w:t>
      </w:r>
      <w:r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 affermare che il</w:t>
      </w:r>
      <w:r w:rsidR="00F45AC6"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 reddito </w:t>
      </w:r>
      <w:r w:rsidRPr="00A46FA4">
        <w:rPr>
          <w:rFonts w:asciiTheme="majorHAnsi" w:hAnsiTheme="majorHAnsi" w:cs="Times New Roman"/>
          <w:color w:val="000000"/>
          <w:sz w:val="24"/>
          <w:szCs w:val="24"/>
        </w:rPr>
        <w:t>è pari a</w:t>
      </w:r>
      <w:r w:rsidR="00F45AC6"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 3</w:t>
      </w:r>
      <w:r w:rsidRPr="00A46FA4">
        <w:rPr>
          <w:rFonts w:asciiTheme="majorHAnsi" w:hAnsiTheme="majorHAnsi" w:cs="Times New Roman"/>
          <w:color w:val="000000"/>
          <w:sz w:val="24"/>
          <w:szCs w:val="24"/>
        </w:rPr>
        <w:t>.</w:t>
      </w:r>
      <w:r w:rsidR="00F45AC6" w:rsidRPr="00A46FA4">
        <w:rPr>
          <w:rFonts w:asciiTheme="majorHAnsi" w:hAnsiTheme="majorHAnsi" w:cs="Times New Roman"/>
          <w:color w:val="000000"/>
          <w:sz w:val="24"/>
          <w:szCs w:val="24"/>
        </w:rPr>
        <w:t>000.</w:t>
      </w:r>
    </w:p>
    <w:p w14:paraId="14DAD5ED" w14:textId="77777777" w:rsidR="00F45AC6" w:rsidRPr="00A46FA4" w:rsidRDefault="00F45AC6" w:rsidP="00F45AC6">
      <w:pPr>
        <w:pStyle w:val="style21"/>
        <w:rPr>
          <w:rFonts w:asciiTheme="majorHAnsi" w:hAnsiTheme="majorHAnsi" w:cs="Times New Roman"/>
          <w:color w:val="000000"/>
          <w:sz w:val="24"/>
          <w:szCs w:val="24"/>
        </w:rPr>
      </w:pPr>
      <w:r w:rsidRPr="00A46FA4">
        <w:rPr>
          <w:rFonts w:asciiTheme="majorHAnsi" w:hAnsiTheme="majorHAnsi" w:cs="Times New Roman"/>
          <w:color w:val="000000"/>
          <w:sz w:val="24"/>
          <w:szCs w:val="24"/>
        </w:rPr>
        <w:t>Le</w:t>
      </w:r>
      <w:r w:rsidR="00C87A86"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A46FA4">
        <w:rPr>
          <w:rStyle w:val="Enfasigrassetto"/>
          <w:rFonts w:asciiTheme="majorHAnsi" w:hAnsiTheme="majorHAnsi" w:cs="Times New Roman"/>
          <w:sz w:val="24"/>
          <w:szCs w:val="24"/>
        </w:rPr>
        <w:t>Rimanenze Finali</w:t>
      </w:r>
      <w:r w:rsidR="00C87A86" w:rsidRPr="00A46FA4">
        <w:rPr>
          <w:rStyle w:val="Enfasigrassetto"/>
          <w:rFonts w:asciiTheme="majorHAnsi" w:hAnsiTheme="majorHAnsi" w:cs="Times New Roman"/>
          <w:color w:val="FF0000"/>
          <w:sz w:val="24"/>
          <w:szCs w:val="24"/>
        </w:rPr>
        <w:t xml:space="preserve"> </w:t>
      </w:r>
      <w:r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sono rettifiche di costi e </w:t>
      </w:r>
      <w:r w:rsidR="00C87A86" w:rsidRPr="00A46FA4">
        <w:rPr>
          <w:rFonts w:asciiTheme="majorHAnsi" w:hAnsiTheme="majorHAnsi" w:cs="Times New Roman"/>
          <w:color w:val="000000"/>
          <w:sz w:val="24"/>
          <w:szCs w:val="24"/>
        </w:rPr>
        <w:t>pertanto vanno imputate</w:t>
      </w:r>
      <w:r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 al conto economico tra i</w:t>
      </w:r>
      <w:r w:rsidR="00C87A86"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A46FA4">
        <w:rPr>
          <w:rStyle w:val="Enfasigrassetto"/>
          <w:rFonts w:asciiTheme="majorHAnsi" w:hAnsiTheme="majorHAnsi" w:cs="Times New Roman"/>
          <w:color w:val="000000" w:themeColor="text1"/>
          <w:sz w:val="24"/>
          <w:szCs w:val="24"/>
        </w:rPr>
        <w:t>componenti positivi</w:t>
      </w:r>
      <w:r w:rsidRPr="00A46FA4">
        <w:rPr>
          <w:rFonts w:asciiTheme="majorHAnsi" w:hAnsiTheme="majorHAnsi" w:cs="Times New Roman"/>
          <w:color w:val="000000"/>
          <w:sz w:val="24"/>
          <w:szCs w:val="24"/>
        </w:rPr>
        <w:t>.</w:t>
      </w:r>
    </w:p>
    <w:p w14:paraId="2A4D94FA" w14:textId="77777777" w:rsidR="00F45AC6" w:rsidRPr="00A46FA4" w:rsidRDefault="00F45AC6" w:rsidP="00F45AC6">
      <w:pPr>
        <w:pStyle w:val="style21"/>
        <w:rPr>
          <w:rFonts w:asciiTheme="majorHAnsi" w:hAnsiTheme="majorHAnsi" w:cs="Times New Roman"/>
          <w:color w:val="000000"/>
          <w:sz w:val="24"/>
          <w:szCs w:val="24"/>
        </w:rPr>
      </w:pPr>
      <w:r w:rsidRPr="00A46FA4">
        <w:rPr>
          <w:rFonts w:asciiTheme="majorHAnsi" w:hAnsiTheme="majorHAnsi" w:cs="Times New Roman"/>
          <w:color w:val="000000"/>
          <w:sz w:val="24"/>
          <w:szCs w:val="24"/>
        </w:rPr>
        <w:t>Le</w:t>
      </w:r>
      <w:r w:rsidR="00C87A86"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A46FA4">
        <w:rPr>
          <w:rStyle w:val="Enfasigrassetto"/>
          <w:rFonts w:asciiTheme="majorHAnsi" w:hAnsiTheme="majorHAnsi" w:cs="Times New Roman"/>
          <w:sz w:val="24"/>
          <w:szCs w:val="24"/>
        </w:rPr>
        <w:t>Rimanenze Iniziali</w:t>
      </w:r>
      <w:r w:rsidR="00C87A86" w:rsidRPr="00A46FA4">
        <w:rPr>
          <w:rStyle w:val="style29"/>
          <w:rFonts w:asciiTheme="majorHAnsi" w:hAnsiTheme="majorHAnsi" w:cs="Times New Roman"/>
          <w:color w:val="FF0000"/>
          <w:sz w:val="24"/>
          <w:szCs w:val="24"/>
        </w:rPr>
        <w:t xml:space="preserve"> </w:t>
      </w:r>
      <w:r w:rsidRPr="00A46FA4">
        <w:rPr>
          <w:rFonts w:asciiTheme="majorHAnsi" w:hAnsiTheme="majorHAnsi" w:cs="Times New Roman"/>
          <w:color w:val="000000"/>
          <w:sz w:val="24"/>
          <w:szCs w:val="24"/>
        </w:rPr>
        <w:t>sono invece costi e quindi vanno imputati al conto economico tra i</w:t>
      </w:r>
      <w:r w:rsidR="00C87A86"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A46FA4">
        <w:rPr>
          <w:rStyle w:val="Enfasigrassetto"/>
          <w:rFonts w:asciiTheme="majorHAnsi" w:hAnsiTheme="majorHAnsi" w:cs="Times New Roman"/>
          <w:sz w:val="24"/>
          <w:szCs w:val="24"/>
        </w:rPr>
        <w:t>componenti negativi</w:t>
      </w:r>
      <w:r w:rsidR="00C87A86" w:rsidRPr="00A46FA4">
        <w:rPr>
          <w:rStyle w:val="Enfasigrassetto"/>
          <w:rFonts w:asciiTheme="majorHAnsi" w:hAnsiTheme="majorHAnsi" w:cs="Times New Roman"/>
          <w:sz w:val="24"/>
          <w:szCs w:val="24"/>
        </w:rPr>
        <w:t xml:space="preserve"> del reddito d’esercizio</w:t>
      </w:r>
      <w:r w:rsidRPr="00A46FA4">
        <w:rPr>
          <w:rFonts w:asciiTheme="majorHAnsi" w:hAnsiTheme="majorHAnsi" w:cs="Times New Roman"/>
          <w:color w:val="000000"/>
          <w:sz w:val="24"/>
          <w:szCs w:val="24"/>
        </w:rPr>
        <w:t>.</w:t>
      </w:r>
    </w:p>
    <w:p w14:paraId="7D591747" w14:textId="77777777" w:rsidR="00F45AC6" w:rsidRPr="00A46FA4" w:rsidRDefault="00C87A86" w:rsidP="00F45AC6">
      <w:pPr>
        <w:pStyle w:val="style21"/>
        <w:rPr>
          <w:rFonts w:asciiTheme="majorHAnsi" w:hAnsiTheme="majorHAnsi" w:cs="Times New Roman"/>
          <w:color w:val="000000"/>
          <w:sz w:val="24"/>
          <w:szCs w:val="24"/>
        </w:rPr>
      </w:pPr>
      <w:r w:rsidRPr="00A46FA4">
        <w:rPr>
          <w:rFonts w:asciiTheme="majorHAnsi" w:hAnsiTheme="majorHAnsi" w:cs="Times New Roman"/>
          <w:color w:val="000000"/>
          <w:sz w:val="24"/>
          <w:szCs w:val="24"/>
        </w:rPr>
        <w:t>Valori</w:t>
      </w:r>
      <w:r w:rsidR="00F45AC6"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 in bilancio e </w:t>
      </w:r>
      <w:r w:rsidRPr="00A46FA4">
        <w:rPr>
          <w:rFonts w:asciiTheme="majorHAnsi" w:hAnsiTheme="majorHAnsi" w:cs="Times New Roman"/>
          <w:color w:val="000000"/>
          <w:sz w:val="24"/>
          <w:szCs w:val="24"/>
        </w:rPr>
        <w:t>scritture contabili</w:t>
      </w:r>
    </w:p>
    <w:p w14:paraId="5DDF048A" w14:textId="77777777" w:rsidR="00F45AC6" w:rsidRPr="00A46FA4" w:rsidRDefault="00F45AC6" w:rsidP="00F45AC6">
      <w:pPr>
        <w:pStyle w:val="style21"/>
        <w:rPr>
          <w:rFonts w:asciiTheme="majorHAnsi" w:hAnsiTheme="majorHAnsi" w:cs="Times New Roman"/>
          <w:color w:val="000000"/>
          <w:sz w:val="24"/>
          <w:szCs w:val="24"/>
        </w:rPr>
      </w:pPr>
      <w:r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A fine </w:t>
      </w:r>
      <w:r w:rsidR="00C87A86" w:rsidRPr="00A46FA4">
        <w:rPr>
          <w:rFonts w:asciiTheme="majorHAnsi" w:hAnsiTheme="majorHAnsi" w:cs="Times New Roman"/>
          <w:color w:val="000000"/>
          <w:sz w:val="24"/>
          <w:szCs w:val="24"/>
        </w:rPr>
        <w:t>esercizio</w:t>
      </w:r>
    </w:p>
    <w:p w14:paraId="4FBE04D0" w14:textId="77777777" w:rsidR="00F45AC6" w:rsidRPr="00A46FA4" w:rsidRDefault="00F45AC6" w:rsidP="00F45AC6">
      <w:pPr>
        <w:pStyle w:val="style21"/>
        <w:rPr>
          <w:rFonts w:asciiTheme="majorHAnsi" w:hAnsiTheme="majorHAnsi" w:cs="Times New Roman"/>
          <w:color w:val="000000"/>
          <w:sz w:val="24"/>
          <w:szCs w:val="24"/>
        </w:rPr>
      </w:pPr>
      <w:r w:rsidRPr="00A46FA4">
        <w:rPr>
          <w:rFonts w:asciiTheme="majorHAnsi" w:hAnsiTheme="majorHAnsi" w:cs="Times New Roman"/>
          <w:color w:val="000000"/>
          <w:sz w:val="24"/>
          <w:szCs w:val="24"/>
        </w:rPr>
        <w:t>----------------- 31/12/2014 -----------------</w:t>
      </w:r>
    </w:p>
    <w:p w14:paraId="47CB81DE" w14:textId="77777777" w:rsidR="00F45AC6" w:rsidRPr="00A46FA4" w:rsidRDefault="00F45AC6" w:rsidP="00F45AC6">
      <w:pPr>
        <w:pStyle w:val="style21"/>
        <w:rPr>
          <w:rFonts w:asciiTheme="majorHAnsi" w:hAnsiTheme="majorHAnsi" w:cs="Times New Roman"/>
          <w:color w:val="000000"/>
          <w:sz w:val="24"/>
          <w:szCs w:val="24"/>
        </w:rPr>
      </w:pPr>
      <w:r w:rsidRPr="00A46FA4">
        <w:rPr>
          <w:rFonts w:asciiTheme="majorHAnsi" w:hAnsiTheme="majorHAnsi" w:cs="Times New Roman"/>
          <w:color w:val="000000"/>
          <w:sz w:val="24"/>
          <w:szCs w:val="24"/>
        </w:rPr>
        <w:t>Rimanenze        a        Rimanenze Finali        5.000,00</w:t>
      </w:r>
    </w:p>
    <w:p w14:paraId="65420779" w14:textId="77777777" w:rsidR="00F45AC6" w:rsidRPr="00A46FA4" w:rsidRDefault="00F45AC6" w:rsidP="00F45AC6">
      <w:pPr>
        <w:pStyle w:val="style21"/>
        <w:rPr>
          <w:rFonts w:asciiTheme="majorHAnsi" w:hAnsiTheme="majorHAnsi" w:cs="Times New Roman"/>
          <w:color w:val="000000"/>
          <w:sz w:val="24"/>
          <w:szCs w:val="24"/>
        </w:rPr>
      </w:pPr>
      <w:r w:rsidRPr="00A46FA4">
        <w:rPr>
          <w:rFonts w:asciiTheme="majorHAnsi" w:hAnsiTheme="majorHAnsi" w:cs="Times New Roman"/>
          <w:color w:val="000000"/>
          <w:sz w:val="24"/>
          <w:szCs w:val="24"/>
        </w:rPr>
        <w:t>-------------------------------------------------</w:t>
      </w:r>
    </w:p>
    <w:p w14:paraId="3125A764" w14:textId="77777777" w:rsidR="00F45AC6" w:rsidRPr="00A46FA4" w:rsidRDefault="00C87A86" w:rsidP="00F45AC6">
      <w:pPr>
        <w:pStyle w:val="style21"/>
        <w:rPr>
          <w:rFonts w:asciiTheme="majorHAnsi" w:hAnsiTheme="majorHAnsi" w:cs="Times New Roman"/>
          <w:color w:val="000000"/>
          <w:sz w:val="24"/>
          <w:szCs w:val="24"/>
        </w:rPr>
      </w:pPr>
      <w:r w:rsidRPr="00A46FA4">
        <w:rPr>
          <w:rFonts w:asciiTheme="majorHAnsi" w:hAnsiTheme="majorHAnsi" w:cs="Times New Roman"/>
          <w:color w:val="000000"/>
          <w:sz w:val="24"/>
          <w:szCs w:val="24"/>
        </w:rPr>
        <w:t>Il</w:t>
      </w:r>
      <w:r w:rsidR="00F45AC6"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 conto Rimanenze va </w:t>
      </w:r>
      <w:r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inserito </w:t>
      </w:r>
      <w:r w:rsidR="00F45AC6"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nell'attivo </w:t>
      </w:r>
      <w:r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(tra le immobilizzazioni, pur senza essere assoggettate ad ammortamento) </w:t>
      </w:r>
      <w:r w:rsidR="00F45AC6" w:rsidRPr="00A46FA4">
        <w:rPr>
          <w:rFonts w:asciiTheme="majorHAnsi" w:hAnsiTheme="majorHAnsi" w:cs="Times New Roman"/>
          <w:color w:val="000000"/>
          <w:sz w:val="24"/>
          <w:szCs w:val="24"/>
        </w:rPr>
        <w:t>e il conto Rimanenze finali nel conto economico tra i componenti positivi</w:t>
      </w:r>
      <w:r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 di reddito dell’esercizio</w:t>
      </w:r>
      <w:r w:rsidR="00F45AC6" w:rsidRPr="00A46FA4">
        <w:rPr>
          <w:rFonts w:asciiTheme="majorHAnsi" w:hAnsiTheme="majorHAnsi" w:cs="Times New Roman"/>
          <w:color w:val="000000"/>
          <w:sz w:val="24"/>
          <w:szCs w:val="24"/>
        </w:rPr>
        <w:t>.</w:t>
      </w:r>
    </w:p>
    <w:p w14:paraId="0C937987" w14:textId="77777777" w:rsidR="00F45AC6" w:rsidRPr="00A46FA4" w:rsidRDefault="00C87A86" w:rsidP="00F45AC6">
      <w:pPr>
        <w:pStyle w:val="style21"/>
        <w:rPr>
          <w:rFonts w:asciiTheme="majorHAnsi" w:hAnsiTheme="majorHAnsi" w:cs="Times New Roman"/>
          <w:color w:val="000000"/>
          <w:sz w:val="24"/>
          <w:szCs w:val="24"/>
        </w:rPr>
      </w:pPr>
      <w:r w:rsidRPr="00A46FA4">
        <w:rPr>
          <w:rFonts w:asciiTheme="majorHAnsi" w:hAnsiTheme="majorHAnsi" w:cs="Times New Roman"/>
          <w:color w:val="000000"/>
          <w:sz w:val="24"/>
          <w:szCs w:val="24"/>
        </w:rPr>
        <w:t>Deve quindi operarsi un</w:t>
      </w:r>
      <w:r w:rsidR="00F45AC6"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 controllo</w:t>
      </w:r>
      <w:r w:rsidRPr="00A46FA4">
        <w:rPr>
          <w:rFonts w:asciiTheme="majorHAnsi" w:hAnsiTheme="majorHAnsi" w:cs="Times New Roman"/>
          <w:color w:val="000000"/>
          <w:sz w:val="24"/>
          <w:szCs w:val="24"/>
        </w:rPr>
        <w:t>:</w:t>
      </w:r>
    </w:p>
    <w:p w14:paraId="10A9ED7D" w14:textId="77777777" w:rsidR="00F45AC6" w:rsidRPr="00A46FA4" w:rsidRDefault="00F45AC6" w:rsidP="00F45AC6">
      <w:pPr>
        <w:pStyle w:val="style21"/>
        <w:rPr>
          <w:rFonts w:asciiTheme="majorHAnsi" w:hAnsiTheme="majorHAnsi" w:cs="Times New Roman"/>
          <w:color w:val="000000"/>
          <w:sz w:val="24"/>
          <w:szCs w:val="24"/>
        </w:rPr>
      </w:pPr>
      <w:r w:rsidRPr="00A46FA4">
        <w:rPr>
          <w:rFonts w:asciiTheme="majorHAnsi" w:hAnsiTheme="majorHAnsi" w:cs="Times New Roman"/>
          <w:color w:val="000000"/>
          <w:sz w:val="24"/>
          <w:szCs w:val="24"/>
        </w:rPr>
        <w:t>Le</w:t>
      </w:r>
      <w:r w:rsidR="00C87A86"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A46FA4">
        <w:rPr>
          <w:rStyle w:val="Enfasigrassetto"/>
          <w:rFonts w:asciiTheme="majorHAnsi" w:hAnsiTheme="majorHAnsi" w:cs="Times New Roman"/>
          <w:sz w:val="24"/>
          <w:szCs w:val="24"/>
        </w:rPr>
        <w:t>Rimanenze presenti nell'attivo devono corrispondere alle Rimanenze Finali nel conto economico</w:t>
      </w:r>
      <w:r w:rsidRPr="00A46FA4">
        <w:rPr>
          <w:rFonts w:asciiTheme="majorHAnsi" w:hAnsiTheme="majorHAnsi" w:cs="Times New Roman"/>
          <w:color w:val="000000"/>
          <w:sz w:val="24"/>
          <w:szCs w:val="24"/>
        </w:rPr>
        <w:t>.</w:t>
      </w:r>
    </w:p>
    <w:p w14:paraId="620885C9" w14:textId="77777777" w:rsidR="00F45AC6" w:rsidRPr="00A46FA4" w:rsidRDefault="00F45AC6" w:rsidP="00F45AC6">
      <w:pPr>
        <w:pStyle w:val="style21"/>
        <w:rPr>
          <w:rFonts w:asciiTheme="majorHAnsi" w:hAnsiTheme="majorHAnsi" w:cs="Times New Roman"/>
          <w:color w:val="000000"/>
          <w:sz w:val="24"/>
          <w:szCs w:val="24"/>
        </w:rPr>
      </w:pPr>
      <w:r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A inizio </w:t>
      </w:r>
      <w:r w:rsidR="00C87A86" w:rsidRPr="00A46FA4">
        <w:rPr>
          <w:rFonts w:asciiTheme="majorHAnsi" w:hAnsiTheme="majorHAnsi" w:cs="Times New Roman"/>
          <w:color w:val="000000"/>
          <w:sz w:val="24"/>
          <w:szCs w:val="24"/>
        </w:rPr>
        <w:t>dell’</w:t>
      </w:r>
      <w:r w:rsidRPr="00A46FA4">
        <w:rPr>
          <w:rFonts w:asciiTheme="majorHAnsi" w:hAnsiTheme="majorHAnsi" w:cs="Times New Roman"/>
          <w:color w:val="000000"/>
          <w:sz w:val="24"/>
          <w:szCs w:val="24"/>
        </w:rPr>
        <w:t>anno</w:t>
      </w:r>
      <w:r w:rsidR="00C87A86"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 successivo</w:t>
      </w:r>
    </w:p>
    <w:p w14:paraId="7C0164C1" w14:textId="77777777" w:rsidR="00F45AC6" w:rsidRPr="00A46FA4" w:rsidRDefault="00F45AC6" w:rsidP="00F45AC6">
      <w:pPr>
        <w:pStyle w:val="style21"/>
        <w:rPr>
          <w:rFonts w:asciiTheme="majorHAnsi" w:hAnsiTheme="majorHAnsi" w:cs="Times New Roman"/>
          <w:color w:val="000000"/>
          <w:sz w:val="24"/>
          <w:szCs w:val="24"/>
        </w:rPr>
      </w:pPr>
      <w:r w:rsidRPr="00A46FA4">
        <w:rPr>
          <w:rFonts w:asciiTheme="majorHAnsi" w:hAnsiTheme="majorHAnsi" w:cs="Times New Roman"/>
          <w:color w:val="000000"/>
          <w:sz w:val="24"/>
          <w:szCs w:val="24"/>
        </w:rPr>
        <w:t>---------------------- 01/01/2015 -------------------</w:t>
      </w:r>
    </w:p>
    <w:p w14:paraId="5C83402A" w14:textId="77777777" w:rsidR="00F45AC6" w:rsidRPr="00A46FA4" w:rsidRDefault="00F45AC6" w:rsidP="00F45AC6">
      <w:pPr>
        <w:pStyle w:val="style21"/>
        <w:rPr>
          <w:rFonts w:asciiTheme="majorHAnsi" w:hAnsiTheme="majorHAnsi" w:cs="Times New Roman"/>
          <w:color w:val="000000"/>
          <w:sz w:val="24"/>
          <w:szCs w:val="24"/>
        </w:rPr>
      </w:pPr>
      <w:r w:rsidRPr="00A46FA4">
        <w:rPr>
          <w:rFonts w:asciiTheme="majorHAnsi" w:hAnsiTheme="majorHAnsi" w:cs="Times New Roman"/>
          <w:color w:val="000000"/>
          <w:sz w:val="24"/>
          <w:szCs w:val="24"/>
        </w:rPr>
        <w:t>Rimanenze iniziali    a      Rimanenze    5.000,00</w:t>
      </w:r>
    </w:p>
    <w:p w14:paraId="3241756F" w14:textId="77777777" w:rsidR="00F45AC6" w:rsidRPr="00A46FA4" w:rsidRDefault="00F45AC6" w:rsidP="00F45AC6">
      <w:pPr>
        <w:pStyle w:val="style21"/>
        <w:rPr>
          <w:rFonts w:asciiTheme="majorHAnsi" w:hAnsiTheme="majorHAnsi" w:cs="Times New Roman"/>
          <w:color w:val="000000"/>
          <w:sz w:val="24"/>
          <w:szCs w:val="24"/>
        </w:rPr>
      </w:pPr>
      <w:r w:rsidRPr="00A46FA4">
        <w:rPr>
          <w:rFonts w:asciiTheme="majorHAnsi" w:hAnsiTheme="majorHAnsi" w:cs="Times New Roman"/>
          <w:color w:val="000000"/>
          <w:sz w:val="24"/>
          <w:szCs w:val="24"/>
        </w:rPr>
        <w:t>----------------------------------------------------------</w:t>
      </w:r>
    </w:p>
    <w:p w14:paraId="1442E590" w14:textId="77777777" w:rsidR="00C87A86" w:rsidRPr="00A46FA4" w:rsidRDefault="00F45AC6" w:rsidP="00F45AC6">
      <w:pPr>
        <w:pStyle w:val="style21"/>
        <w:rPr>
          <w:rFonts w:asciiTheme="majorHAnsi" w:hAnsiTheme="majorHAnsi" w:cs="Times New Roman"/>
          <w:color w:val="000000"/>
          <w:sz w:val="24"/>
          <w:szCs w:val="24"/>
        </w:rPr>
      </w:pPr>
      <w:r w:rsidRPr="00A46FA4">
        <w:rPr>
          <w:rFonts w:asciiTheme="majorHAnsi" w:hAnsiTheme="majorHAnsi" w:cs="Times New Roman"/>
          <w:color w:val="000000"/>
          <w:sz w:val="24"/>
          <w:szCs w:val="24"/>
        </w:rPr>
        <w:lastRenderedPageBreak/>
        <w:t xml:space="preserve">A inizio anno bisogna chiudere il conto Rimanenze </w:t>
      </w:r>
      <w:r w:rsidR="00C87A86"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(è un conto dell’Attivo e pertanto era stato riaperto, a differenza dei conti accesi al Conto Economico, che non si riaprono più nel nuovo esercizio) </w:t>
      </w:r>
      <w:r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e stornarlo </w:t>
      </w:r>
      <w:r w:rsidR="00C87A86"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(cioè trasferirlo) </w:t>
      </w:r>
      <w:r w:rsidRPr="00A46FA4">
        <w:rPr>
          <w:rFonts w:asciiTheme="majorHAnsi" w:hAnsiTheme="majorHAnsi" w:cs="Times New Roman"/>
          <w:color w:val="000000"/>
          <w:sz w:val="24"/>
          <w:szCs w:val="24"/>
        </w:rPr>
        <w:t>a</w:t>
      </w:r>
      <w:r w:rsidR="00C87A86" w:rsidRPr="00A46FA4">
        <w:rPr>
          <w:rFonts w:asciiTheme="majorHAnsi" w:hAnsiTheme="majorHAnsi" w:cs="Times New Roman"/>
          <w:color w:val="000000"/>
          <w:sz w:val="24"/>
          <w:szCs w:val="24"/>
        </w:rPr>
        <w:t>l conto Rimanenze iniziali (che è appunto nel Conto Economico)</w:t>
      </w:r>
    </w:p>
    <w:p w14:paraId="656D8EAA" w14:textId="77777777" w:rsidR="00F45AC6" w:rsidRPr="00A46FA4" w:rsidRDefault="00C87A86" w:rsidP="00F45AC6">
      <w:pPr>
        <w:pStyle w:val="style21"/>
        <w:rPr>
          <w:rFonts w:asciiTheme="majorHAnsi" w:hAnsiTheme="majorHAnsi" w:cs="Times New Roman"/>
          <w:color w:val="000000"/>
          <w:sz w:val="24"/>
          <w:szCs w:val="24"/>
        </w:rPr>
      </w:pPr>
      <w:r w:rsidRPr="00A46FA4">
        <w:rPr>
          <w:rFonts w:asciiTheme="majorHAnsi" w:hAnsiTheme="majorHAnsi" w:cs="Times New Roman"/>
          <w:color w:val="000000"/>
          <w:sz w:val="24"/>
          <w:szCs w:val="24"/>
        </w:rPr>
        <w:t>I</w:t>
      </w:r>
      <w:r w:rsidR="00F45AC6" w:rsidRPr="00A46FA4">
        <w:rPr>
          <w:rFonts w:asciiTheme="majorHAnsi" w:hAnsiTheme="majorHAnsi" w:cs="Times New Roman"/>
          <w:color w:val="000000"/>
          <w:sz w:val="24"/>
          <w:szCs w:val="24"/>
        </w:rPr>
        <w:t>n</w:t>
      </w:r>
      <w:r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 Bilancio al </w:t>
      </w:r>
      <w:r w:rsidR="00F45AC6" w:rsidRPr="00A46FA4">
        <w:rPr>
          <w:rFonts w:asciiTheme="majorHAnsi" w:hAnsiTheme="majorHAnsi" w:cs="Times New Roman"/>
          <w:color w:val="000000"/>
          <w:sz w:val="24"/>
          <w:szCs w:val="24"/>
        </w:rPr>
        <w:t>1</w:t>
      </w:r>
      <w:r w:rsidRPr="00A46FA4">
        <w:rPr>
          <w:rFonts w:asciiTheme="majorHAnsi" w:hAnsiTheme="majorHAnsi" w:cs="Times New Roman"/>
          <w:color w:val="000000"/>
          <w:sz w:val="24"/>
          <w:szCs w:val="24"/>
        </w:rPr>
        <w:t>° Gennaio nell'A</w:t>
      </w:r>
      <w:r w:rsidR="00F45AC6"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ttivo non ci sarà più la voce </w:t>
      </w:r>
      <w:r w:rsidRPr="00A46FA4">
        <w:rPr>
          <w:rFonts w:asciiTheme="majorHAnsi" w:hAnsiTheme="majorHAnsi" w:cs="Times New Roman"/>
          <w:color w:val="000000"/>
          <w:sz w:val="24"/>
          <w:szCs w:val="24"/>
        </w:rPr>
        <w:t>Rimanenze e nel Conto E</w:t>
      </w:r>
      <w:r w:rsidR="00F45AC6" w:rsidRPr="00A46FA4">
        <w:rPr>
          <w:rFonts w:asciiTheme="majorHAnsi" w:hAnsiTheme="majorHAnsi" w:cs="Times New Roman"/>
          <w:color w:val="000000"/>
          <w:sz w:val="24"/>
          <w:szCs w:val="24"/>
        </w:rPr>
        <w:t>conomico tra i componenti negativi figureranno soltanto le Rimanenze iniziali.</w:t>
      </w:r>
    </w:p>
    <w:p w14:paraId="3707094B" w14:textId="77777777" w:rsidR="00F45AC6" w:rsidRPr="00A46FA4" w:rsidRDefault="00F45AC6" w:rsidP="00F45AC6">
      <w:pPr>
        <w:pStyle w:val="style21"/>
        <w:rPr>
          <w:rFonts w:asciiTheme="majorHAnsi" w:hAnsiTheme="majorHAnsi" w:cs="Times New Roman"/>
          <w:color w:val="000000"/>
          <w:sz w:val="24"/>
          <w:szCs w:val="24"/>
        </w:rPr>
      </w:pPr>
      <w:r w:rsidRPr="00A46FA4">
        <w:rPr>
          <w:rFonts w:asciiTheme="majorHAnsi" w:hAnsiTheme="majorHAnsi" w:cs="Times New Roman"/>
          <w:color w:val="000000"/>
          <w:sz w:val="24"/>
          <w:szCs w:val="24"/>
        </w:rPr>
        <w:t>L’art. 1, D.P.R. 695/96 stabilisce che la</w:t>
      </w:r>
      <w:r w:rsidR="00C87A86"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A46FA4">
        <w:rPr>
          <w:rStyle w:val="Enfasigrassetto"/>
          <w:rFonts w:asciiTheme="majorHAnsi" w:hAnsiTheme="majorHAnsi" w:cs="Times New Roman"/>
          <w:sz w:val="24"/>
          <w:szCs w:val="24"/>
        </w:rPr>
        <w:t>contabilità di magazzino</w:t>
      </w:r>
      <w:r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, di cui all’art. 14, c. 1, </w:t>
      </w:r>
      <w:proofErr w:type="spellStart"/>
      <w:r w:rsidRPr="00A46FA4">
        <w:rPr>
          <w:rFonts w:asciiTheme="majorHAnsi" w:hAnsiTheme="majorHAnsi" w:cs="Times New Roman"/>
          <w:color w:val="000000"/>
          <w:sz w:val="24"/>
          <w:szCs w:val="24"/>
        </w:rPr>
        <w:t>lett</w:t>
      </w:r>
      <w:proofErr w:type="spellEnd"/>
      <w:r w:rsidRPr="00A46FA4">
        <w:rPr>
          <w:rFonts w:asciiTheme="majorHAnsi" w:hAnsiTheme="majorHAnsi" w:cs="Times New Roman"/>
          <w:color w:val="000000"/>
          <w:sz w:val="24"/>
          <w:szCs w:val="24"/>
        </w:rPr>
        <w:t>. d), D.P.R. 600/73, venga adottata ove l’impresa, per due periodi di imposta consecutivi superi entrambe le seguenti soglie:</w:t>
      </w:r>
    </w:p>
    <w:p w14:paraId="23FC4D8D" w14:textId="77777777" w:rsidR="00F45AC6" w:rsidRPr="00A46FA4" w:rsidRDefault="00F45AC6" w:rsidP="00F45AC6">
      <w:pPr>
        <w:pStyle w:val="style21"/>
        <w:rPr>
          <w:rFonts w:asciiTheme="majorHAnsi" w:hAnsiTheme="majorHAnsi" w:cs="Times New Roman"/>
          <w:color w:val="000000"/>
          <w:sz w:val="24"/>
          <w:szCs w:val="24"/>
        </w:rPr>
      </w:pPr>
      <w:r w:rsidRPr="00A46FA4">
        <w:rPr>
          <w:rStyle w:val="Enfasigrassetto"/>
          <w:rFonts w:asciiTheme="majorHAnsi" w:hAnsiTheme="majorHAnsi" w:cs="Times New Roman"/>
          <w:sz w:val="24"/>
          <w:szCs w:val="24"/>
        </w:rPr>
        <w:t>Ricavi</w:t>
      </w:r>
      <w:r w:rsidR="00C87A86"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di cui all’art. 85 </w:t>
      </w:r>
      <w:proofErr w:type="spellStart"/>
      <w:r w:rsidRPr="00A46FA4">
        <w:rPr>
          <w:rFonts w:asciiTheme="majorHAnsi" w:hAnsiTheme="majorHAnsi" w:cs="Times New Roman"/>
          <w:color w:val="000000"/>
          <w:sz w:val="24"/>
          <w:szCs w:val="24"/>
        </w:rPr>
        <w:t>Dpr</w:t>
      </w:r>
      <w:proofErr w:type="spellEnd"/>
      <w:r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 917/86</w:t>
      </w:r>
      <w:r w:rsidR="00C87A86"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A46FA4">
        <w:rPr>
          <w:rStyle w:val="Enfasigrassetto"/>
          <w:rFonts w:asciiTheme="majorHAnsi" w:hAnsiTheme="majorHAnsi" w:cs="Times New Roman"/>
          <w:sz w:val="24"/>
          <w:szCs w:val="24"/>
        </w:rPr>
        <w:t>superiori ad Euro 5.164.568,99</w:t>
      </w:r>
      <w:r w:rsidRPr="00A46FA4">
        <w:rPr>
          <w:rFonts w:asciiTheme="majorHAnsi" w:hAnsiTheme="majorHAnsi" w:cs="Times New Roman"/>
          <w:color w:val="000000"/>
          <w:sz w:val="24"/>
          <w:szCs w:val="24"/>
        </w:rPr>
        <w:t>;</w:t>
      </w:r>
    </w:p>
    <w:p w14:paraId="2137E2C1" w14:textId="77777777" w:rsidR="00F45AC6" w:rsidRPr="00A46FA4" w:rsidRDefault="00F45AC6" w:rsidP="00F45AC6">
      <w:pPr>
        <w:pStyle w:val="style21"/>
        <w:rPr>
          <w:rFonts w:asciiTheme="majorHAnsi" w:hAnsiTheme="majorHAnsi" w:cs="Times New Roman"/>
          <w:color w:val="000000"/>
          <w:sz w:val="24"/>
          <w:szCs w:val="24"/>
        </w:rPr>
      </w:pPr>
      <w:r w:rsidRPr="00A46FA4">
        <w:rPr>
          <w:rStyle w:val="Enfasigrassetto"/>
          <w:rFonts w:asciiTheme="majorHAnsi" w:hAnsiTheme="majorHAnsi" w:cs="Times New Roman"/>
          <w:sz w:val="24"/>
          <w:szCs w:val="24"/>
        </w:rPr>
        <w:t>Rimanenze finali</w:t>
      </w:r>
      <w:r w:rsidR="00C87A86"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di cui agli artt. 92 e 93 </w:t>
      </w:r>
      <w:proofErr w:type="spellStart"/>
      <w:r w:rsidRPr="00A46FA4">
        <w:rPr>
          <w:rFonts w:asciiTheme="majorHAnsi" w:hAnsiTheme="majorHAnsi" w:cs="Times New Roman"/>
          <w:color w:val="000000"/>
          <w:sz w:val="24"/>
          <w:szCs w:val="24"/>
        </w:rPr>
        <w:t>Dpr</w:t>
      </w:r>
      <w:proofErr w:type="spellEnd"/>
      <w:r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 917/86,</w:t>
      </w:r>
      <w:r w:rsidR="00C87A86"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A46FA4">
        <w:rPr>
          <w:rStyle w:val="Enfasigrassetto"/>
          <w:rFonts w:asciiTheme="majorHAnsi" w:hAnsiTheme="majorHAnsi" w:cs="Times New Roman"/>
          <w:sz w:val="24"/>
          <w:szCs w:val="24"/>
        </w:rPr>
        <w:t>superiori ad Euro 1.032.913,80</w:t>
      </w:r>
    </w:p>
    <w:p w14:paraId="7802D95B" w14:textId="77777777" w:rsidR="00F45AC6" w:rsidRPr="00A46FA4" w:rsidRDefault="00C87A86" w:rsidP="00F45AC6">
      <w:pPr>
        <w:pStyle w:val="style21"/>
        <w:rPr>
          <w:rFonts w:asciiTheme="majorHAnsi" w:hAnsiTheme="majorHAnsi" w:cs="Times New Roman"/>
          <w:color w:val="000000"/>
          <w:sz w:val="24"/>
          <w:szCs w:val="24"/>
        </w:rPr>
      </w:pPr>
      <w:r w:rsidRPr="00A46FA4">
        <w:rPr>
          <w:rFonts w:asciiTheme="majorHAnsi" w:hAnsiTheme="majorHAnsi" w:cs="Times New Roman"/>
          <w:color w:val="000000"/>
          <w:sz w:val="24"/>
          <w:szCs w:val="24"/>
        </w:rPr>
        <w:t>L</w:t>
      </w:r>
      <w:r w:rsidR="00F45AC6" w:rsidRPr="00A46FA4">
        <w:rPr>
          <w:rFonts w:asciiTheme="majorHAnsi" w:hAnsiTheme="majorHAnsi" w:cs="Times New Roman"/>
          <w:color w:val="000000"/>
          <w:sz w:val="24"/>
          <w:szCs w:val="24"/>
        </w:rPr>
        <w:t>’adozione della contabilità di magazzino è obbligatoria a partire dal 2° periodo di imposta successivo a quello in cui si è avuto il superamento delle predette soglie. L’obbligo in questione cessa, invece, laddove, sempre per due periodi di imposta consecutivi, non venga superato alm</w:t>
      </w:r>
      <w:r w:rsidRPr="00A46FA4">
        <w:rPr>
          <w:rFonts w:asciiTheme="majorHAnsi" w:hAnsiTheme="majorHAnsi" w:cs="Times New Roman"/>
          <w:color w:val="000000"/>
          <w:sz w:val="24"/>
          <w:szCs w:val="24"/>
        </w:rPr>
        <w:t>eno uno dei due limiti. Se</w:t>
      </w:r>
      <w:r w:rsidR="00F45AC6"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 si verifica, la contabilità di magazzino può essere abbandonata a partire dal primo periodo di imposta successivo al mancato superamento dei suddetti valori.</w:t>
      </w:r>
    </w:p>
    <w:p w14:paraId="205970B2" w14:textId="77777777" w:rsidR="00F45AC6" w:rsidRPr="00A46FA4" w:rsidRDefault="00F45AC6" w:rsidP="00F45AC6">
      <w:pPr>
        <w:pStyle w:val="style21"/>
        <w:rPr>
          <w:rFonts w:asciiTheme="majorHAnsi" w:hAnsiTheme="majorHAnsi" w:cs="Times New Roman"/>
          <w:color w:val="000000"/>
          <w:sz w:val="24"/>
          <w:szCs w:val="24"/>
        </w:rPr>
      </w:pPr>
      <w:r w:rsidRPr="00A46FA4">
        <w:rPr>
          <w:rStyle w:val="Enfasigrassetto"/>
          <w:rFonts w:asciiTheme="majorHAnsi" w:hAnsiTheme="majorHAnsi" w:cs="Times New Roman"/>
          <w:color w:val="000000"/>
          <w:sz w:val="24"/>
          <w:szCs w:val="24"/>
        </w:rPr>
        <w:t>Ai fini fiscali</w:t>
      </w:r>
      <w:r w:rsidR="00C87A86"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 l’art. 92 </w:t>
      </w:r>
      <w:proofErr w:type="spellStart"/>
      <w:r w:rsidR="00C87A86" w:rsidRPr="00A46FA4">
        <w:rPr>
          <w:rFonts w:asciiTheme="majorHAnsi" w:hAnsiTheme="majorHAnsi" w:cs="Times New Roman"/>
          <w:color w:val="000000"/>
          <w:sz w:val="24"/>
          <w:szCs w:val="24"/>
        </w:rPr>
        <w:t>Dpr</w:t>
      </w:r>
      <w:proofErr w:type="spellEnd"/>
      <w:r w:rsidR="00C87A86"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 917/86</w:t>
      </w:r>
      <w:r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 impone innanzitutto il raggruppamento dei beni in categorie omogenee per natura e valore e poi la valutazione in base:</w:t>
      </w:r>
    </w:p>
    <w:p w14:paraId="2245213A" w14:textId="77777777" w:rsidR="00F45AC6" w:rsidRPr="00A46FA4" w:rsidRDefault="00F45AC6" w:rsidP="00F45AC6">
      <w:pPr>
        <w:pStyle w:val="style21"/>
        <w:rPr>
          <w:rFonts w:asciiTheme="majorHAnsi" w:hAnsiTheme="majorHAnsi" w:cs="Times New Roman"/>
          <w:color w:val="000000"/>
          <w:sz w:val="24"/>
          <w:szCs w:val="24"/>
        </w:rPr>
      </w:pPr>
      <w:r w:rsidRPr="00A46FA4">
        <w:rPr>
          <w:rFonts w:asciiTheme="majorHAnsi" w:hAnsiTheme="majorHAnsi" w:cs="Times New Roman"/>
          <w:color w:val="000000"/>
          <w:sz w:val="24"/>
          <w:szCs w:val="24"/>
        </w:rPr>
        <w:t>LIFO a scatti (commi 2 e 3);</w:t>
      </w:r>
    </w:p>
    <w:p w14:paraId="51186943" w14:textId="77777777" w:rsidR="00F45AC6" w:rsidRPr="00A46FA4" w:rsidRDefault="00F45AC6" w:rsidP="00F45AC6">
      <w:pPr>
        <w:pStyle w:val="style21"/>
        <w:rPr>
          <w:rFonts w:asciiTheme="majorHAnsi" w:hAnsiTheme="majorHAnsi" w:cs="Times New Roman"/>
          <w:color w:val="000000"/>
          <w:sz w:val="24"/>
          <w:szCs w:val="24"/>
        </w:rPr>
      </w:pPr>
      <w:r w:rsidRPr="00A46FA4">
        <w:rPr>
          <w:rFonts w:asciiTheme="majorHAnsi" w:hAnsiTheme="majorHAnsi" w:cs="Times New Roman"/>
          <w:color w:val="000000"/>
          <w:sz w:val="24"/>
          <w:szCs w:val="24"/>
        </w:rPr>
        <w:t>Media ponderata,</w:t>
      </w:r>
    </w:p>
    <w:p w14:paraId="308B1C36" w14:textId="77777777" w:rsidR="00F45AC6" w:rsidRPr="00A46FA4" w:rsidRDefault="00F45AC6" w:rsidP="00F45AC6">
      <w:pPr>
        <w:pStyle w:val="style21"/>
        <w:rPr>
          <w:rFonts w:asciiTheme="majorHAnsi" w:hAnsiTheme="majorHAnsi" w:cs="Times New Roman"/>
          <w:color w:val="000000"/>
          <w:sz w:val="24"/>
          <w:szCs w:val="24"/>
        </w:rPr>
      </w:pPr>
      <w:r w:rsidRPr="00A46FA4">
        <w:rPr>
          <w:rFonts w:asciiTheme="majorHAnsi" w:hAnsiTheme="majorHAnsi" w:cs="Times New Roman"/>
          <w:color w:val="000000"/>
          <w:sz w:val="24"/>
          <w:szCs w:val="24"/>
        </w:rPr>
        <w:t>FIFO o ad altre varianti del LIFO, solo per le imprese che adottano tali metodi per la valutazione in bilancio delle rimanenze finali (comma 4).</w:t>
      </w:r>
    </w:p>
    <w:p w14:paraId="63C61A88" w14:textId="77777777" w:rsidR="00F45AC6" w:rsidRPr="00A46FA4" w:rsidRDefault="00F45AC6" w:rsidP="00F45AC6">
      <w:pPr>
        <w:pStyle w:val="style21"/>
        <w:rPr>
          <w:rFonts w:asciiTheme="majorHAnsi" w:hAnsiTheme="majorHAnsi" w:cs="Times New Roman"/>
          <w:color w:val="000000"/>
          <w:sz w:val="24"/>
          <w:szCs w:val="24"/>
        </w:rPr>
      </w:pPr>
      <w:r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Per i commercianti al minuto, le rimanenze finali si valutano con il metodo del prezzo al dettaglio (articolo 92, comma 8, </w:t>
      </w:r>
      <w:proofErr w:type="spellStart"/>
      <w:r w:rsidRPr="00A46FA4">
        <w:rPr>
          <w:rFonts w:asciiTheme="majorHAnsi" w:hAnsiTheme="majorHAnsi" w:cs="Times New Roman"/>
          <w:color w:val="000000"/>
          <w:sz w:val="24"/>
          <w:szCs w:val="24"/>
        </w:rPr>
        <w:t>Dpr</w:t>
      </w:r>
      <w:proofErr w:type="spellEnd"/>
      <w:r w:rsidRPr="00A46FA4">
        <w:rPr>
          <w:rFonts w:asciiTheme="majorHAnsi" w:hAnsiTheme="majorHAnsi" w:cs="Times New Roman"/>
          <w:color w:val="000000"/>
          <w:sz w:val="24"/>
          <w:szCs w:val="24"/>
        </w:rPr>
        <w:t xml:space="preserve"> 917/86) e ciò anche se l’applicazione esso produce risultati inferiori a quelli ottenibili con il LIFO a scatti. La possibilità di avvalersi di tale deroga richiede però indicazione nella dichiarazione dei redditi o in apposito allegato, dei criteri e delle modalità con cui tale metodo è stato applicato, con riferimento all’oggetto e alla struttura dell’attività. Per le imprese in contabilità semplificata, l’articolo 9, comma 1, del D.L. 2/3/89 n. 69, e l’articolo 2, del D.M. 2/5/1989, stabiliscono che il valore delle rimanenze venga annotato, entro il termine di presentazione della dichiarazione dei redditi, sui registri IVA, indicando:</w:t>
      </w:r>
    </w:p>
    <w:p w14:paraId="41F4C838" w14:textId="77777777" w:rsidR="00F45AC6" w:rsidRPr="00A46FA4" w:rsidRDefault="00F45AC6" w:rsidP="00F45AC6">
      <w:pPr>
        <w:pStyle w:val="style21"/>
        <w:rPr>
          <w:rFonts w:asciiTheme="majorHAnsi" w:hAnsiTheme="majorHAnsi" w:cs="Times New Roman"/>
          <w:color w:val="000000"/>
          <w:sz w:val="24"/>
          <w:szCs w:val="24"/>
        </w:rPr>
      </w:pPr>
      <w:r w:rsidRPr="00A46FA4">
        <w:rPr>
          <w:rFonts w:asciiTheme="majorHAnsi" w:hAnsiTheme="majorHAnsi" w:cs="Times New Roman"/>
          <w:color w:val="000000"/>
          <w:sz w:val="24"/>
          <w:szCs w:val="24"/>
        </w:rPr>
        <w:t>Le quantità e i valori delle singole categorie di beni in giacenza alla fine dell’esercizio;</w:t>
      </w:r>
    </w:p>
    <w:p w14:paraId="66B1ED00" w14:textId="77777777" w:rsidR="00F45AC6" w:rsidRPr="00A46FA4" w:rsidRDefault="00F45AC6" w:rsidP="00F45AC6">
      <w:pPr>
        <w:pStyle w:val="style21"/>
        <w:rPr>
          <w:rFonts w:asciiTheme="majorHAnsi" w:hAnsiTheme="majorHAnsi" w:cs="Times New Roman"/>
          <w:color w:val="000000"/>
          <w:sz w:val="24"/>
          <w:szCs w:val="24"/>
        </w:rPr>
      </w:pPr>
      <w:r w:rsidRPr="00A46FA4">
        <w:rPr>
          <w:rFonts w:asciiTheme="majorHAnsi" w:hAnsiTheme="majorHAnsi" w:cs="Times New Roman"/>
          <w:color w:val="000000"/>
          <w:sz w:val="24"/>
          <w:szCs w:val="24"/>
        </w:rPr>
        <w:t>I criteri seguiti per la valutazione. In alternativa, l’indicazione di tali dati può essere contenuta in apposito prospetto di dettaglio, da redigere sempre entro il termine sopra citato.</w:t>
      </w:r>
    </w:p>
    <w:p w14:paraId="52DDFEFA" w14:textId="1F2E1DC9" w:rsidR="00F45AC6" w:rsidRPr="00A46FA4" w:rsidRDefault="00D95341" w:rsidP="00F45AC6">
      <w:pPr>
        <w:pStyle w:val="style21"/>
        <w:rPr>
          <w:rFonts w:asciiTheme="majorHAnsi" w:hAnsiTheme="majorHAnsi" w:cs="Times New Roman"/>
          <w:sz w:val="24"/>
          <w:szCs w:val="24"/>
        </w:rPr>
      </w:pPr>
      <w:r w:rsidRPr="00A46FA4">
        <w:rPr>
          <w:rStyle w:val="style31"/>
          <w:rFonts w:asciiTheme="majorHAnsi" w:hAnsiTheme="majorHAnsi" w:cs="Times New Roman"/>
          <w:b/>
          <w:bCs/>
          <w:sz w:val="24"/>
          <w:szCs w:val="24"/>
        </w:rPr>
        <w:t>È possibile che l’amministrazione finanziaria, pur in assenza di una specifica prescrizione, richieda l’elenco delle rimanenze con i valori attribuiti a ciascuna</w:t>
      </w:r>
      <w:r w:rsidR="00A46FA4" w:rsidRPr="00A46FA4">
        <w:rPr>
          <w:rStyle w:val="style31"/>
          <w:rFonts w:asciiTheme="majorHAnsi" w:hAnsiTheme="majorHAnsi" w:cs="Times New Roman"/>
          <w:b/>
          <w:bCs/>
          <w:sz w:val="24"/>
          <w:szCs w:val="24"/>
        </w:rPr>
        <w:t xml:space="preserve"> voce, i</w:t>
      </w:r>
      <w:r w:rsidRPr="00A46FA4">
        <w:rPr>
          <w:rStyle w:val="style31"/>
          <w:rFonts w:asciiTheme="majorHAnsi" w:hAnsiTheme="majorHAnsi" w:cs="Times New Roman"/>
          <w:b/>
          <w:bCs/>
          <w:sz w:val="24"/>
          <w:szCs w:val="24"/>
        </w:rPr>
        <w:t xml:space="preserve">n assenza del quale presume che </w:t>
      </w:r>
      <w:r w:rsidR="00F45AC6" w:rsidRPr="00A46FA4">
        <w:rPr>
          <w:rStyle w:val="Enfasigrassetto"/>
          <w:rFonts w:asciiTheme="majorHAnsi" w:hAnsiTheme="majorHAnsi" w:cs="Times New Roman"/>
          <w:sz w:val="24"/>
          <w:szCs w:val="24"/>
        </w:rPr>
        <w:t xml:space="preserve">le rimanenze siano state indicate soltanto contabilmente senza </w:t>
      </w:r>
      <w:r w:rsidR="00A46FA4" w:rsidRPr="00A46FA4">
        <w:rPr>
          <w:rStyle w:val="Enfasigrassetto"/>
          <w:rFonts w:asciiTheme="majorHAnsi" w:hAnsiTheme="majorHAnsi" w:cs="Times New Roman"/>
          <w:sz w:val="24"/>
          <w:szCs w:val="24"/>
        </w:rPr>
        <w:t>l’effettuazione di</w:t>
      </w:r>
      <w:r w:rsidR="00F45AC6" w:rsidRPr="00A46FA4">
        <w:rPr>
          <w:rStyle w:val="Enfasigrassetto"/>
          <w:rFonts w:asciiTheme="majorHAnsi" w:hAnsiTheme="majorHAnsi" w:cs="Times New Roman"/>
          <w:sz w:val="24"/>
          <w:szCs w:val="24"/>
        </w:rPr>
        <w:t xml:space="preserve"> un inventario fisico</w:t>
      </w:r>
      <w:r w:rsidR="00F45AC6" w:rsidRPr="00A46FA4">
        <w:rPr>
          <w:rFonts w:asciiTheme="majorHAnsi" w:hAnsiTheme="majorHAnsi" w:cs="Times New Roman"/>
          <w:sz w:val="24"/>
          <w:szCs w:val="24"/>
        </w:rPr>
        <w:t>.</w:t>
      </w:r>
    </w:p>
    <w:p w14:paraId="298B9ED4" w14:textId="47395919" w:rsidR="00F45AC6" w:rsidRPr="00A46FA4" w:rsidRDefault="00F45AC6" w:rsidP="00F45AC6">
      <w:pPr>
        <w:pStyle w:val="style21"/>
        <w:rPr>
          <w:rFonts w:asciiTheme="majorHAnsi" w:hAnsiTheme="majorHAnsi" w:cs="Times New Roman"/>
          <w:sz w:val="24"/>
          <w:szCs w:val="24"/>
        </w:rPr>
      </w:pPr>
    </w:p>
    <w:p w14:paraId="6C58F4F8" w14:textId="77777777" w:rsidR="00F45AC6" w:rsidRPr="00A46FA4" w:rsidRDefault="00F45AC6" w:rsidP="00F45AC6">
      <w:pPr>
        <w:pStyle w:val="style37"/>
        <w:spacing w:before="0" w:beforeAutospacing="0" w:after="0" w:afterAutospacing="0"/>
        <w:rPr>
          <w:rFonts w:asciiTheme="majorHAnsi" w:hAnsiTheme="majorHAnsi" w:cs="Times New Roman"/>
          <w:sz w:val="24"/>
          <w:szCs w:val="24"/>
        </w:rPr>
      </w:pPr>
      <w:r w:rsidRPr="00A46FA4">
        <w:rPr>
          <w:rStyle w:val="Enfasigrassetto"/>
          <w:rFonts w:asciiTheme="majorHAnsi" w:hAnsiTheme="majorHAnsi" w:cs="Times New Roman"/>
          <w:sz w:val="24"/>
          <w:szCs w:val="24"/>
        </w:rPr>
        <w:t>CALCOLO DELLE RIMANENZE</w:t>
      </w:r>
    </w:p>
    <w:p w14:paraId="50CAF9FA" w14:textId="77777777" w:rsidR="00A46FA4" w:rsidRDefault="00A46FA4" w:rsidP="00F45AC6">
      <w:pPr>
        <w:pStyle w:val="style38"/>
        <w:spacing w:before="0" w:beforeAutospacing="0" w:after="0" w:afterAutospacing="0"/>
        <w:rPr>
          <w:rStyle w:val="Enfasigrassetto"/>
          <w:rFonts w:asciiTheme="majorHAnsi" w:hAnsiTheme="majorHAnsi" w:cs="Times New Roman"/>
          <w:sz w:val="24"/>
          <w:szCs w:val="24"/>
        </w:rPr>
      </w:pPr>
    </w:p>
    <w:p w14:paraId="2BBAB2A6" w14:textId="77777777" w:rsidR="00F45AC6" w:rsidRPr="00A46FA4" w:rsidRDefault="00F45AC6" w:rsidP="00F45AC6">
      <w:pPr>
        <w:pStyle w:val="style38"/>
        <w:spacing w:before="0" w:beforeAutospacing="0" w:after="0" w:afterAutospacing="0"/>
        <w:rPr>
          <w:rFonts w:asciiTheme="majorHAnsi" w:hAnsiTheme="majorHAnsi" w:cs="Times New Roman"/>
          <w:sz w:val="24"/>
          <w:szCs w:val="24"/>
        </w:rPr>
      </w:pPr>
      <w:r w:rsidRPr="00A46FA4">
        <w:rPr>
          <w:rStyle w:val="Enfasigrassetto"/>
          <w:rFonts w:asciiTheme="majorHAnsi" w:hAnsiTheme="majorHAnsi" w:cs="Times New Roman"/>
          <w:sz w:val="24"/>
          <w:szCs w:val="24"/>
        </w:rPr>
        <w:t>RIMANENZE INIZIALI</w:t>
      </w:r>
    </w:p>
    <w:p w14:paraId="34645B27" w14:textId="77777777" w:rsidR="00F45AC6" w:rsidRPr="00A46FA4" w:rsidRDefault="00F45AC6" w:rsidP="00F45AC6">
      <w:pPr>
        <w:pStyle w:val="style38"/>
        <w:spacing w:before="0" w:beforeAutospacing="0" w:after="0" w:afterAutospacing="0"/>
        <w:rPr>
          <w:rFonts w:asciiTheme="majorHAnsi" w:hAnsiTheme="majorHAnsi" w:cs="Times New Roman"/>
          <w:sz w:val="24"/>
          <w:szCs w:val="24"/>
        </w:rPr>
      </w:pPr>
      <w:r w:rsidRPr="00A46FA4">
        <w:rPr>
          <w:rStyle w:val="Enfasigrassetto"/>
          <w:rFonts w:asciiTheme="majorHAnsi" w:hAnsiTheme="majorHAnsi" w:cs="Times New Roman"/>
          <w:sz w:val="24"/>
          <w:szCs w:val="24"/>
        </w:rPr>
        <w:t>+ ACQUISTI</w:t>
      </w:r>
    </w:p>
    <w:p w14:paraId="0909C0A3" w14:textId="77777777" w:rsidR="00F45AC6" w:rsidRPr="00A46FA4" w:rsidRDefault="00F45AC6" w:rsidP="00F45AC6">
      <w:pPr>
        <w:pStyle w:val="style38"/>
        <w:spacing w:before="0" w:beforeAutospacing="0" w:after="0" w:afterAutospacing="0"/>
        <w:rPr>
          <w:rFonts w:asciiTheme="majorHAnsi" w:hAnsiTheme="majorHAnsi" w:cs="Times New Roman"/>
          <w:sz w:val="24"/>
          <w:szCs w:val="24"/>
        </w:rPr>
      </w:pPr>
      <w:r w:rsidRPr="00A46FA4">
        <w:rPr>
          <w:rStyle w:val="Enfasigrassetto"/>
          <w:rFonts w:asciiTheme="majorHAnsi" w:hAnsiTheme="majorHAnsi" w:cs="Times New Roman"/>
          <w:sz w:val="24"/>
          <w:szCs w:val="24"/>
        </w:rPr>
        <w:t>– COSTO DEL VENDUTO</w:t>
      </w:r>
    </w:p>
    <w:p w14:paraId="562FDC0B" w14:textId="77777777" w:rsidR="00F45AC6" w:rsidRPr="00A46FA4" w:rsidRDefault="00F45AC6" w:rsidP="00F45AC6">
      <w:pPr>
        <w:pStyle w:val="style38"/>
        <w:spacing w:before="0" w:beforeAutospacing="0" w:after="0" w:afterAutospacing="0"/>
        <w:rPr>
          <w:rFonts w:asciiTheme="majorHAnsi" w:hAnsiTheme="majorHAnsi" w:cs="Times New Roman"/>
          <w:sz w:val="24"/>
          <w:szCs w:val="24"/>
        </w:rPr>
      </w:pPr>
      <w:r w:rsidRPr="00A46FA4">
        <w:rPr>
          <w:rStyle w:val="Enfasigrassetto"/>
          <w:rFonts w:asciiTheme="majorHAnsi" w:hAnsiTheme="majorHAnsi" w:cs="Times New Roman"/>
          <w:sz w:val="24"/>
          <w:szCs w:val="24"/>
        </w:rPr>
        <w:t>= RIMANENZE FINALI</w:t>
      </w:r>
    </w:p>
    <w:p w14:paraId="05197FFF" w14:textId="77777777" w:rsidR="00F45AC6" w:rsidRPr="00A46FA4" w:rsidRDefault="00F45AC6" w:rsidP="00F45AC6">
      <w:pPr>
        <w:pStyle w:val="style21"/>
        <w:rPr>
          <w:rFonts w:asciiTheme="majorHAnsi" w:hAnsiTheme="majorHAnsi" w:cs="Times New Roman"/>
          <w:color w:val="000000"/>
          <w:sz w:val="24"/>
          <w:szCs w:val="24"/>
        </w:rPr>
      </w:pPr>
      <w:r w:rsidRPr="00A46FA4">
        <w:rPr>
          <w:rFonts w:asciiTheme="majorHAnsi" w:hAnsiTheme="majorHAnsi" w:cs="Times New Roman"/>
          <w:color w:val="000000"/>
          <w:sz w:val="24"/>
          <w:szCs w:val="24"/>
        </w:rPr>
        <w:t> </w:t>
      </w:r>
    </w:p>
    <w:p w14:paraId="3E4FFFA0" w14:textId="77777777" w:rsidR="00F45AC6" w:rsidRPr="00A46FA4" w:rsidRDefault="00F45AC6" w:rsidP="00F45AC6">
      <w:pPr>
        <w:pStyle w:val="style36"/>
        <w:spacing w:before="0" w:beforeAutospacing="0" w:after="0" w:afterAutospacing="0"/>
        <w:rPr>
          <w:rFonts w:asciiTheme="majorHAnsi" w:hAnsiTheme="majorHAnsi" w:cs="Times New Roman"/>
          <w:b/>
          <w:bCs/>
          <w:sz w:val="24"/>
          <w:szCs w:val="24"/>
        </w:rPr>
      </w:pPr>
      <w:r w:rsidRPr="00A46FA4">
        <w:rPr>
          <w:rFonts w:asciiTheme="majorHAnsi" w:hAnsiTheme="majorHAnsi" w:cs="Times New Roman"/>
          <w:b/>
          <w:bCs/>
          <w:sz w:val="24"/>
          <w:szCs w:val="24"/>
        </w:rPr>
        <w:t>CALCOLO DEL COSTO DEL VENDUTO</w:t>
      </w:r>
    </w:p>
    <w:p w14:paraId="1E0E7A7D" w14:textId="77777777" w:rsidR="00F45AC6" w:rsidRPr="00A46FA4" w:rsidRDefault="00F45AC6" w:rsidP="00F45AC6">
      <w:pPr>
        <w:pStyle w:val="NormaleWeb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  <w:r w:rsidRPr="00A46FA4">
        <w:rPr>
          <w:rStyle w:val="style35"/>
          <w:rFonts w:asciiTheme="majorHAnsi" w:hAnsiTheme="majorHAnsi"/>
          <w:color w:val="000000"/>
          <w:sz w:val="24"/>
          <w:szCs w:val="24"/>
          <w:u w:val="single"/>
        </w:rPr>
        <w:t>          RICAVI           .</w:t>
      </w:r>
      <w:r w:rsidRPr="00A46FA4">
        <w:rPr>
          <w:rStyle w:val="style35"/>
          <w:rFonts w:asciiTheme="majorHAnsi" w:hAnsiTheme="majorHAnsi"/>
          <w:color w:val="000000"/>
          <w:sz w:val="24"/>
          <w:szCs w:val="24"/>
        </w:rPr>
        <w:t>     X100 =</w:t>
      </w:r>
    </w:p>
    <w:p w14:paraId="2C7DCD53" w14:textId="77777777" w:rsidR="00F45AC6" w:rsidRPr="00A46FA4" w:rsidRDefault="00F45AC6" w:rsidP="00F45AC6">
      <w:pPr>
        <w:pStyle w:val="NormaleWeb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  <w:r w:rsidRPr="00A46FA4">
        <w:rPr>
          <w:rStyle w:val="style35"/>
          <w:rFonts w:asciiTheme="majorHAnsi" w:hAnsiTheme="majorHAnsi"/>
          <w:color w:val="000000"/>
          <w:sz w:val="24"/>
          <w:szCs w:val="24"/>
        </w:rPr>
        <w:t>  100+perc.ricarico</w:t>
      </w:r>
    </w:p>
    <w:p w14:paraId="713AC0AA" w14:textId="77777777" w:rsidR="00F45AC6" w:rsidRPr="00A46FA4" w:rsidRDefault="00F45AC6" w:rsidP="00F45AC6">
      <w:pPr>
        <w:pStyle w:val="NormaleWeb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  <w:r w:rsidRPr="00A46FA4">
        <w:rPr>
          <w:rFonts w:asciiTheme="majorHAnsi" w:hAnsiTheme="majorHAnsi"/>
          <w:color w:val="000000"/>
          <w:sz w:val="24"/>
          <w:szCs w:val="24"/>
        </w:rPr>
        <w:t> </w:t>
      </w:r>
    </w:p>
    <w:p w14:paraId="75FE3FF4" w14:textId="77777777" w:rsidR="00F45AC6" w:rsidRPr="00A46FA4" w:rsidRDefault="00F45AC6" w:rsidP="00F45AC6">
      <w:pPr>
        <w:pStyle w:val="NormaleWeb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  <w:r w:rsidRPr="00A46FA4">
        <w:rPr>
          <w:rFonts w:asciiTheme="majorHAnsi" w:hAnsiTheme="majorHAnsi"/>
          <w:color w:val="000000"/>
          <w:sz w:val="24"/>
          <w:szCs w:val="24"/>
        </w:rPr>
        <w:t> </w:t>
      </w:r>
    </w:p>
    <w:p w14:paraId="35E859C5" w14:textId="77777777" w:rsidR="00F45AC6" w:rsidRPr="00A46FA4" w:rsidRDefault="00F45AC6" w:rsidP="00F45AC6">
      <w:pPr>
        <w:pStyle w:val="style37"/>
        <w:spacing w:before="0" w:beforeAutospacing="0" w:after="0" w:afterAutospacing="0"/>
        <w:rPr>
          <w:rFonts w:asciiTheme="majorHAnsi" w:hAnsiTheme="majorHAnsi" w:cs="Times New Roman"/>
          <w:sz w:val="24"/>
          <w:szCs w:val="24"/>
        </w:rPr>
      </w:pPr>
      <w:r w:rsidRPr="00A46FA4">
        <w:rPr>
          <w:rStyle w:val="Enfasigrassetto"/>
          <w:rFonts w:asciiTheme="majorHAnsi" w:hAnsiTheme="majorHAnsi" w:cs="Times New Roman"/>
          <w:sz w:val="24"/>
          <w:szCs w:val="24"/>
        </w:rPr>
        <w:t>CALCOLO DELLA % DI  RICARICO</w:t>
      </w:r>
    </w:p>
    <w:p w14:paraId="2DC8A439" w14:textId="77777777" w:rsidR="00F45AC6" w:rsidRPr="00A46FA4" w:rsidRDefault="00F45AC6" w:rsidP="00F45AC6">
      <w:pPr>
        <w:pStyle w:val="NormaleWeb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  <w:r w:rsidRPr="00A46FA4">
        <w:rPr>
          <w:rStyle w:val="style35"/>
          <w:rFonts w:asciiTheme="majorHAnsi" w:hAnsiTheme="majorHAnsi"/>
          <w:color w:val="000000"/>
          <w:sz w:val="24"/>
          <w:szCs w:val="24"/>
          <w:u w:val="single"/>
        </w:rPr>
        <w:t>RICARICO                       .</w:t>
      </w:r>
      <w:r w:rsidRPr="00A46FA4">
        <w:rPr>
          <w:rStyle w:val="style35"/>
          <w:rFonts w:asciiTheme="majorHAnsi" w:hAnsiTheme="majorHAnsi"/>
          <w:color w:val="000000"/>
          <w:sz w:val="24"/>
          <w:szCs w:val="24"/>
        </w:rPr>
        <w:t>X 100                     </w:t>
      </w:r>
    </w:p>
    <w:p w14:paraId="0550E764" w14:textId="77777777" w:rsidR="00F45AC6" w:rsidRPr="00A46FA4" w:rsidRDefault="00F45AC6" w:rsidP="00F45AC6">
      <w:pPr>
        <w:pStyle w:val="style34"/>
        <w:spacing w:before="0" w:beforeAutospacing="0" w:after="0" w:afterAutospacing="0"/>
        <w:rPr>
          <w:rFonts w:asciiTheme="majorHAnsi" w:hAnsiTheme="majorHAnsi" w:cs="Times New Roman"/>
          <w:color w:val="000000"/>
          <w:sz w:val="24"/>
          <w:szCs w:val="24"/>
        </w:rPr>
      </w:pPr>
      <w:r w:rsidRPr="00A46FA4">
        <w:rPr>
          <w:rFonts w:asciiTheme="majorHAnsi" w:hAnsiTheme="majorHAnsi" w:cs="Times New Roman"/>
          <w:color w:val="000000"/>
          <w:sz w:val="24"/>
          <w:szCs w:val="24"/>
        </w:rPr>
        <w:t>COSTO DEL VENDUTO </w:t>
      </w:r>
    </w:p>
    <w:p w14:paraId="0BC9A226" w14:textId="77777777" w:rsidR="00D16EEA" w:rsidRDefault="00D16EEA"/>
    <w:p w14:paraId="15E4C97C" w14:textId="77777777" w:rsidR="00A46FA4" w:rsidRDefault="00A46FA4"/>
    <w:p w14:paraId="05124F7A" w14:textId="57D964D9" w:rsidR="00A46FA4" w:rsidRDefault="00A46FA4">
      <w:r>
        <w:t xml:space="preserve">Da </w:t>
      </w:r>
      <w:hyperlink r:id="rId6" w:history="1">
        <w:r w:rsidRPr="008C443D">
          <w:rPr>
            <w:rStyle w:val="Collegamentoipertestuale"/>
          </w:rPr>
          <w:t>http://www.studiomarino.it/studiomarino_rimanenzedimagazzino.htm</w:t>
        </w:r>
      </w:hyperlink>
      <w:r>
        <w:t xml:space="preserve"> </w:t>
      </w:r>
      <w:bookmarkStart w:id="0" w:name="_GoBack"/>
      <w:bookmarkEnd w:id="0"/>
    </w:p>
    <w:sectPr w:rsidR="00A46FA4" w:rsidSect="003B28A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91D3F"/>
    <w:multiLevelType w:val="hybridMultilevel"/>
    <w:tmpl w:val="7AEC3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C6"/>
    <w:rsid w:val="003B28A8"/>
    <w:rsid w:val="00A46FA4"/>
    <w:rsid w:val="00C87A86"/>
    <w:rsid w:val="00D16EEA"/>
    <w:rsid w:val="00D95341"/>
    <w:rsid w:val="00F4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0FB7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1">
    <w:name w:val="style21"/>
    <w:basedOn w:val="Normale"/>
    <w:rsid w:val="00F45AC6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F45AC6"/>
    <w:rPr>
      <w:b/>
      <w:bCs/>
    </w:rPr>
  </w:style>
  <w:style w:type="character" w:customStyle="1" w:styleId="style29">
    <w:name w:val="style29"/>
    <w:basedOn w:val="Caratterepredefinitoparagrafo"/>
    <w:rsid w:val="00F45AC6"/>
  </w:style>
  <w:style w:type="character" w:customStyle="1" w:styleId="style31">
    <w:name w:val="style31"/>
    <w:basedOn w:val="Caratterepredefinitoparagrafo"/>
    <w:rsid w:val="00F45AC6"/>
  </w:style>
  <w:style w:type="character" w:customStyle="1" w:styleId="style30">
    <w:name w:val="style30"/>
    <w:basedOn w:val="Caratterepredefinitoparagrafo"/>
    <w:rsid w:val="00F45AC6"/>
  </w:style>
  <w:style w:type="paragraph" w:customStyle="1" w:styleId="style37">
    <w:name w:val="style37"/>
    <w:basedOn w:val="Normale"/>
    <w:rsid w:val="00F45AC6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style38">
    <w:name w:val="style38"/>
    <w:basedOn w:val="Normale"/>
    <w:rsid w:val="00F45AC6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style36">
    <w:name w:val="style36"/>
    <w:basedOn w:val="Normale"/>
    <w:rsid w:val="00F45AC6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F45AC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style35">
    <w:name w:val="style35"/>
    <w:basedOn w:val="Caratterepredefinitoparagrafo"/>
    <w:rsid w:val="00F45AC6"/>
  </w:style>
  <w:style w:type="paragraph" w:customStyle="1" w:styleId="style34">
    <w:name w:val="style34"/>
    <w:basedOn w:val="Normale"/>
    <w:rsid w:val="00F45AC6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Collegamentoipertestuale">
    <w:name w:val="Hyperlink"/>
    <w:basedOn w:val="Caratterepredefinitoparagrafo"/>
    <w:uiPriority w:val="99"/>
    <w:unhideWhenUsed/>
    <w:rsid w:val="00A46F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1">
    <w:name w:val="style21"/>
    <w:basedOn w:val="Normale"/>
    <w:rsid w:val="00F45AC6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F45AC6"/>
    <w:rPr>
      <w:b/>
      <w:bCs/>
    </w:rPr>
  </w:style>
  <w:style w:type="character" w:customStyle="1" w:styleId="style29">
    <w:name w:val="style29"/>
    <w:basedOn w:val="Caratterepredefinitoparagrafo"/>
    <w:rsid w:val="00F45AC6"/>
  </w:style>
  <w:style w:type="character" w:customStyle="1" w:styleId="style31">
    <w:name w:val="style31"/>
    <w:basedOn w:val="Caratterepredefinitoparagrafo"/>
    <w:rsid w:val="00F45AC6"/>
  </w:style>
  <w:style w:type="character" w:customStyle="1" w:styleId="style30">
    <w:name w:val="style30"/>
    <w:basedOn w:val="Caratterepredefinitoparagrafo"/>
    <w:rsid w:val="00F45AC6"/>
  </w:style>
  <w:style w:type="paragraph" w:customStyle="1" w:styleId="style37">
    <w:name w:val="style37"/>
    <w:basedOn w:val="Normale"/>
    <w:rsid w:val="00F45AC6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style38">
    <w:name w:val="style38"/>
    <w:basedOn w:val="Normale"/>
    <w:rsid w:val="00F45AC6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style36">
    <w:name w:val="style36"/>
    <w:basedOn w:val="Normale"/>
    <w:rsid w:val="00F45AC6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F45AC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style35">
    <w:name w:val="style35"/>
    <w:basedOn w:val="Caratterepredefinitoparagrafo"/>
    <w:rsid w:val="00F45AC6"/>
  </w:style>
  <w:style w:type="paragraph" w:customStyle="1" w:styleId="style34">
    <w:name w:val="style34"/>
    <w:basedOn w:val="Normale"/>
    <w:rsid w:val="00F45AC6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Collegamentoipertestuale">
    <w:name w:val="Hyperlink"/>
    <w:basedOn w:val="Caratterepredefinitoparagrafo"/>
    <w:uiPriority w:val="99"/>
    <w:unhideWhenUsed/>
    <w:rsid w:val="00A46F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tudiomarino.it/studiomarino_rimanenzedimagazzino.ht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745</Words>
  <Characters>4247</Characters>
  <Application>Microsoft Macintosh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pani</dc:creator>
  <cp:keywords/>
  <dc:description/>
  <cp:lastModifiedBy>giorgio pani</cp:lastModifiedBy>
  <cp:revision>3</cp:revision>
  <dcterms:created xsi:type="dcterms:W3CDTF">2018-10-27T06:57:00Z</dcterms:created>
  <dcterms:modified xsi:type="dcterms:W3CDTF">2018-10-27T07:40:00Z</dcterms:modified>
</cp:coreProperties>
</file>