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72A" w:rsidRPr="009F772A" w:rsidRDefault="009F772A" w:rsidP="009F772A">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beforeAutospacing="1" w:after="100" w:afterAutospacing="1" w:line="360" w:lineRule="auto"/>
        <w:jc w:val="center"/>
        <w:rPr>
          <w:rFonts w:ascii="Times New Roman" w:eastAsia="Times New Roman" w:hAnsi="Times New Roman" w:cs="Times New Roman"/>
          <w:sz w:val="24"/>
          <w:szCs w:val="24"/>
          <w:lang w:eastAsia="it-IT"/>
        </w:rPr>
      </w:pPr>
      <w:r w:rsidRPr="009F772A">
        <w:rPr>
          <w:rFonts w:ascii="Times New Roman" w:eastAsia="Calibri" w:hAnsi="Times New Roman" w:cs="Times New Roman"/>
          <w:color w:val="000000"/>
          <w:sz w:val="24"/>
          <w:szCs w:val="24"/>
          <w:lang w:eastAsia="it-IT"/>
        </w:rPr>
        <w:t>SENTENZA</w:t>
      </w:r>
      <w:r>
        <w:rPr>
          <w:rFonts w:ascii="Times New Roman" w:eastAsia="Calibri" w:hAnsi="Times New Roman" w:cs="Times New Roman"/>
          <w:color w:val="000000"/>
          <w:sz w:val="24"/>
          <w:szCs w:val="24"/>
          <w:lang w:eastAsia="it-IT"/>
        </w:rPr>
        <w:t xml:space="preserve"> 1/2014</w:t>
      </w:r>
    </w:p>
    <w:p w:rsidR="009F772A" w:rsidRPr="009F772A" w:rsidRDefault="009F772A" w:rsidP="009F7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color w:val="000000"/>
          <w:sz w:val="24"/>
          <w:szCs w:val="24"/>
          <w:lang w:eastAsia="it-IT"/>
        </w:rPr>
        <w:t xml:space="preserve">nel giudizio di legittimità costituzionale degli artt. 4, comma 2, 59 e 83, comma 1, n. 5 e comma 2 del </w:t>
      </w:r>
      <w:hyperlink r:id="rId4" w:history="1">
        <w:proofErr w:type="spellStart"/>
        <w:r w:rsidRPr="009F772A">
          <w:rPr>
            <w:rFonts w:ascii="Times New Roman" w:eastAsia="Calibri" w:hAnsi="Times New Roman" w:cs="Times New Roman"/>
            <w:color w:val="0000FF"/>
            <w:sz w:val="24"/>
            <w:szCs w:val="24"/>
            <w:u w:val="single"/>
            <w:lang w:eastAsia="it-IT"/>
          </w:rPr>
          <w:t>d.P.R.</w:t>
        </w:r>
        <w:proofErr w:type="spellEnd"/>
        <w:r w:rsidRPr="009F772A">
          <w:rPr>
            <w:rFonts w:ascii="Times New Roman" w:eastAsia="Calibri" w:hAnsi="Times New Roman" w:cs="Times New Roman"/>
            <w:color w:val="0000FF"/>
            <w:sz w:val="24"/>
            <w:szCs w:val="24"/>
            <w:u w:val="single"/>
            <w:lang w:eastAsia="it-IT"/>
          </w:rPr>
          <w:t xml:space="preserve"> 30 marzo 1957, n. 361</w:t>
        </w:r>
      </w:hyperlink>
      <w:r w:rsidRPr="009F772A">
        <w:rPr>
          <w:rFonts w:ascii="Times New Roman" w:eastAsia="Calibri" w:hAnsi="Times New Roman" w:cs="Times New Roman"/>
          <w:color w:val="000000"/>
          <w:sz w:val="24"/>
          <w:szCs w:val="24"/>
          <w:lang w:eastAsia="it-IT"/>
        </w:rPr>
        <w:t xml:space="preserve"> (</w:t>
      </w:r>
      <w:r w:rsidRPr="009F772A">
        <w:rPr>
          <w:rFonts w:ascii="Times New Roman" w:eastAsia="Calibri" w:hAnsi="Times New Roman" w:cs="Times New Roman"/>
          <w:sz w:val="24"/>
          <w:szCs w:val="24"/>
          <w:lang w:eastAsia="it-IT"/>
        </w:rPr>
        <w:t>Approvazione del testo unico delle leggi recanti norme per la elez</w:t>
      </w:r>
      <w:r>
        <w:rPr>
          <w:rFonts w:ascii="Times New Roman" w:eastAsia="Calibri" w:hAnsi="Times New Roman" w:cs="Times New Roman"/>
          <w:sz w:val="24"/>
          <w:szCs w:val="24"/>
          <w:lang w:eastAsia="it-IT"/>
        </w:rPr>
        <w:t>ione della Camera dei deputati)…..</w:t>
      </w:r>
      <w:r w:rsidRPr="009F772A">
        <w:rPr>
          <w:rFonts w:ascii="Times New Roman" w:eastAsia="Calibri" w:hAnsi="Times New Roman" w:cs="Times New Roman"/>
          <w:color w:val="000000"/>
          <w:sz w:val="24"/>
          <w:szCs w:val="24"/>
          <w:lang w:eastAsia="it-IT"/>
        </w:rPr>
        <w:t>.</w:t>
      </w:r>
    </w:p>
    <w:p w:rsidR="009F772A" w:rsidRPr="009F772A" w:rsidRDefault="009F772A" w:rsidP="009F7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i/>
          <w:iCs/>
          <w:color w:val="000000"/>
          <w:sz w:val="24"/>
          <w:szCs w:val="24"/>
          <w:lang w:eastAsia="it-IT"/>
        </w:rPr>
        <w:t xml:space="preserve">Visto </w:t>
      </w:r>
      <w:r w:rsidRPr="009F772A">
        <w:rPr>
          <w:rFonts w:ascii="Times New Roman" w:eastAsia="Calibri" w:hAnsi="Times New Roman" w:cs="Times New Roman"/>
          <w:color w:val="000000"/>
          <w:sz w:val="24"/>
          <w:szCs w:val="24"/>
          <w:lang w:eastAsia="it-IT"/>
        </w:rPr>
        <w:t xml:space="preserve">l’atto di costituzione di Aldo Bozzi ed altri; </w:t>
      </w:r>
    </w:p>
    <w:p w:rsidR="009F772A" w:rsidRPr="009F772A" w:rsidRDefault="009F772A" w:rsidP="009F7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i/>
          <w:iCs/>
          <w:color w:val="000000"/>
          <w:sz w:val="24"/>
          <w:szCs w:val="24"/>
          <w:lang w:eastAsia="it-IT"/>
        </w:rPr>
        <w:t xml:space="preserve">udito </w:t>
      </w:r>
      <w:r w:rsidRPr="009F772A">
        <w:rPr>
          <w:rFonts w:ascii="Times New Roman" w:eastAsia="Calibri" w:hAnsi="Times New Roman" w:cs="Times New Roman"/>
          <w:color w:val="000000"/>
          <w:sz w:val="24"/>
          <w:szCs w:val="24"/>
          <w:lang w:eastAsia="it-IT"/>
        </w:rPr>
        <w:t>nell’udienza pubblica del 3 dicembre 2013 il Giudice relatore Giuseppe Tesauro;</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center"/>
        <w:rPr>
          <w:rFonts w:ascii="Times New Roman" w:eastAsia="Times New Roman" w:hAnsi="Times New Roman" w:cs="Times New Roman"/>
          <w:sz w:val="24"/>
          <w:szCs w:val="24"/>
          <w:lang w:eastAsia="it-IT"/>
        </w:rPr>
      </w:pPr>
      <w:r w:rsidRPr="009F772A">
        <w:rPr>
          <w:rFonts w:ascii="Times New Roman" w:eastAsia="Calibri" w:hAnsi="Times New Roman" w:cs="Times New Roman"/>
          <w:i/>
          <w:sz w:val="24"/>
          <w:szCs w:val="24"/>
          <w:lang w:eastAsia="it-IT"/>
        </w:rPr>
        <w:t xml:space="preserve">Ritenuto in fatto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1.– Con ordinanza del 17 maggio 2013, la Corte di cassazione ha sollevato questioni di legittimità costituzionale degli artt. 4, comma 2, 59 e 83, comma 1, n. 5, e comma 2, del </w:t>
      </w:r>
      <w:proofErr w:type="spellStart"/>
      <w:r w:rsidRPr="009F772A">
        <w:rPr>
          <w:rFonts w:ascii="Times New Roman" w:eastAsia="Calibri" w:hAnsi="Times New Roman" w:cs="Times New Roman"/>
          <w:sz w:val="24"/>
          <w:szCs w:val="24"/>
          <w:lang w:eastAsia="it-IT"/>
        </w:rPr>
        <w:t>d.P.R.</w:t>
      </w:r>
      <w:proofErr w:type="spellEnd"/>
      <w:r w:rsidRPr="009F772A">
        <w:rPr>
          <w:rFonts w:ascii="Times New Roman" w:eastAsia="Calibri" w:hAnsi="Times New Roman" w:cs="Times New Roman"/>
          <w:sz w:val="24"/>
          <w:szCs w:val="24"/>
          <w:lang w:eastAsia="it-IT"/>
        </w:rPr>
        <w:t xml:space="preserve"> 30 marzo 1957, n. 361 (Approvazione del testo unico delle leggi recanti norme per la elezione della Camera dei deputati), nel testo in vigore con le modificazioni apportate dalla legge 21 dicembre 2005, n. 270 (Modifiche alle norme per l’elezione della Camera dei deputati e del Senato della Repubblica), nonché degli artt. 14, comma 1, e 17, commi 2 e 4, del decreto legislativo 20 dicembre 1993, n. 533 (Testo unico delle leggi recanti norme per l’elezione del Senato della Repubblica), nel testo in vigore con le modificazioni apportate dalla legge n. 270 del 2005, in riferimento agli </w:t>
      </w:r>
      <w:hyperlink r:id="rId5" w:history="1">
        <w:r w:rsidRPr="009F772A">
          <w:rPr>
            <w:rFonts w:ascii="Times New Roman" w:eastAsia="Calibri" w:hAnsi="Times New Roman" w:cs="Times New Roman"/>
            <w:color w:val="0000FF"/>
            <w:sz w:val="24"/>
            <w:szCs w:val="24"/>
            <w:u w:val="single"/>
            <w:lang w:eastAsia="it-IT"/>
          </w:rPr>
          <w:t>artt. 3</w:t>
        </w:r>
      </w:hyperlink>
      <w:r w:rsidRPr="009F772A">
        <w:rPr>
          <w:rFonts w:ascii="Times New Roman" w:eastAsia="Calibri" w:hAnsi="Times New Roman" w:cs="Times New Roman"/>
          <w:sz w:val="24"/>
          <w:szCs w:val="24"/>
          <w:lang w:eastAsia="it-IT"/>
        </w:rPr>
        <w:t xml:space="preserve">, </w:t>
      </w:r>
      <w:hyperlink r:id="rId6" w:history="1">
        <w:r w:rsidRPr="009F772A">
          <w:rPr>
            <w:rFonts w:ascii="Times New Roman" w:eastAsia="Calibri" w:hAnsi="Times New Roman" w:cs="Times New Roman"/>
            <w:color w:val="0000FF"/>
            <w:sz w:val="24"/>
            <w:szCs w:val="24"/>
            <w:u w:val="single"/>
            <w:lang w:eastAsia="it-IT"/>
          </w:rPr>
          <w:t>48, secondo comma</w:t>
        </w:r>
      </w:hyperlink>
      <w:r w:rsidRPr="009F772A">
        <w:rPr>
          <w:rFonts w:ascii="Times New Roman" w:eastAsia="Calibri" w:hAnsi="Times New Roman" w:cs="Times New Roman"/>
          <w:sz w:val="24"/>
          <w:szCs w:val="24"/>
          <w:lang w:eastAsia="it-IT"/>
        </w:rPr>
        <w:t xml:space="preserve">, </w:t>
      </w:r>
      <w:hyperlink r:id="rId7" w:history="1">
        <w:r w:rsidRPr="009F772A">
          <w:rPr>
            <w:rFonts w:ascii="Times New Roman" w:eastAsia="Calibri" w:hAnsi="Times New Roman" w:cs="Times New Roman"/>
            <w:color w:val="0000FF"/>
            <w:sz w:val="24"/>
            <w:szCs w:val="24"/>
            <w:u w:val="single"/>
            <w:lang w:eastAsia="it-IT"/>
          </w:rPr>
          <w:t>49,</w:t>
        </w:r>
      </w:hyperlink>
      <w:r w:rsidRPr="009F772A">
        <w:rPr>
          <w:rFonts w:ascii="Times New Roman" w:eastAsia="Calibri" w:hAnsi="Times New Roman" w:cs="Times New Roman"/>
          <w:sz w:val="24"/>
          <w:szCs w:val="24"/>
          <w:lang w:eastAsia="it-IT"/>
        </w:rPr>
        <w:t xml:space="preserve"> </w:t>
      </w:r>
      <w:hyperlink r:id="rId8" w:history="1">
        <w:r w:rsidRPr="009F772A">
          <w:rPr>
            <w:rFonts w:ascii="Times New Roman" w:eastAsia="Calibri" w:hAnsi="Times New Roman" w:cs="Times New Roman"/>
            <w:color w:val="0000FF"/>
            <w:sz w:val="24"/>
            <w:szCs w:val="24"/>
            <w:u w:val="single"/>
            <w:lang w:eastAsia="it-IT"/>
          </w:rPr>
          <w:t>56, primo comma</w:t>
        </w:r>
      </w:hyperlink>
      <w:r w:rsidRPr="009F772A">
        <w:rPr>
          <w:rFonts w:ascii="Times New Roman" w:eastAsia="Calibri" w:hAnsi="Times New Roman" w:cs="Times New Roman"/>
          <w:sz w:val="24"/>
          <w:szCs w:val="24"/>
          <w:lang w:eastAsia="it-IT"/>
        </w:rPr>
        <w:t xml:space="preserve">, </w:t>
      </w:r>
      <w:hyperlink r:id="rId9" w:history="1">
        <w:r w:rsidRPr="009F772A">
          <w:rPr>
            <w:rFonts w:ascii="Times New Roman" w:eastAsia="Calibri" w:hAnsi="Times New Roman" w:cs="Times New Roman"/>
            <w:color w:val="0000FF"/>
            <w:sz w:val="24"/>
            <w:szCs w:val="24"/>
            <w:u w:val="single"/>
            <w:lang w:eastAsia="it-IT"/>
          </w:rPr>
          <w:t>58, primo comma</w:t>
        </w:r>
      </w:hyperlink>
      <w:r w:rsidRPr="009F772A">
        <w:rPr>
          <w:rFonts w:ascii="Times New Roman" w:eastAsia="Calibri" w:hAnsi="Times New Roman" w:cs="Times New Roman"/>
          <w:sz w:val="24"/>
          <w:szCs w:val="24"/>
          <w:lang w:eastAsia="it-IT"/>
        </w:rPr>
        <w:t xml:space="preserve">, e </w:t>
      </w:r>
      <w:hyperlink r:id="rId10" w:history="1">
        <w:r w:rsidRPr="009F772A">
          <w:rPr>
            <w:rFonts w:ascii="Times New Roman" w:eastAsia="Calibri" w:hAnsi="Times New Roman" w:cs="Times New Roman"/>
            <w:color w:val="0000FF"/>
            <w:sz w:val="24"/>
            <w:szCs w:val="24"/>
            <w:u w:val="single"/>
            <w:lang w:eastAsia="it-IT"/>
          </w:rPr>
          <w:t>117, primo comma, della Costituzione</w:t>
        </w:r>
      </w:hyperlink>
      <w:r w:rsidRPr="009F772A">
        <w:rPr>
          <w:rFonts w:ascii="Times New Roman" w:eastAsia="Calibri" w:hAnsi="Times New Roman" w:cs="Times New Roman"/>
          <w:sz w:val="24"/>
          <w:szCs w:val="24"/>
          <w:lang w:eastAsia="it-IT"/>
        </w:rPr>
        <w:t xml:space="preserve">, anche alla luce </w:t>
      </w:r>
      <w:hyperlink r:id="rId11" w:history="1">
        <w:r w:rsidRPr="009F772A">
          <w:rPr>
            <w:rFonts w:ascii="Times New Roman" w:eastAsia="Calibri" w:hAnsi="Times New Roman" w:cs="Times New Roman"/>
            <w:color w:val="0000FF"/>
            <w:sz w:val="24"/>
            <w:szCs w:val="24"/>
            <w:u w:val="single"/>
            <w:lang w:eastAsia="it-IT"/>
          </w:rPr>
          <w:t>dell’art. 3, protocollo 1, della Convenzione per la salvaguardia dei diritti dell’uomo e delle libertà fondamentali firmata a Roma il 4 novembre 1950 (di seguito, CEDU</w:t>
        </w:r>
      </w:hyperlink>
      <w:r w:rsidRPr="009F772A">
        <w:rPr>
          <w:rFonts w:ascii="Times New Roman" w:eastAsia="Calibri" w:hAnsi="Times New Roman" w:cs="Times New Roman"/>
          <w:sz w:val="24"/>
          <w:szCs w:val="24"/>
          <w:lang w:eastAsia="it-IT"/>
        </w:rPr>
        <w:t>), ratificata e resa esecutiva con la legge 4 agosto 1955, n. 848</w:t>
      </w:r>
      <w:r>
        <w:rPr>
          <w:rFonts w:ascii="Times New Roman" w:eastAsia="Calibri" w:hAnsi="Times New Roman" w:cs="Times New Roman"/>
          <w:sz w:val="24"/>
          <w:szCs w:val="24"/>
          <w:lang w:eastAsia="it-IT"/>
        </w:rPr>
        <w:t xml:space="preserve">…………….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center"/>
        <w:rPr>
          <w:rFonts w:ascii="Times New Roman" w:eastAsia="Times New Roman" w:hAnsi="Times New Roman" w:cs="Times New Roman"/>
          <w:sz w:val="24"/>
          <w:szCs w:val="24"/>
          <w:lang w:eastAsia="it-IT"/>
        </w:rPr>
      </w:pPr>
      <w:r w:rsidRPr="009F772A">
        <w:rPr>
          <w:rFonts w:ascii="Times New Roman" w:eastAsia="Calibri" w:hAnsi="Times New Roman" w:cs="Times New Roman"/>
          <w:i/>
          <w:sz w:val="24"/>
          <w:szCs w:val="24"/>
          <w:lang w:eastAsia="it-IT"/>
        </w:rPr>
        <w:t>Considerato in diritto</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1.– La Corte di cassazione dubita della legittimità costituzionale di alcune disposizioni del </w:t>
      </w:r>
      <w:proofErr w:type="spellStart"/>
      <w:r w:rsidRPr="009F772A">
        <w:rPr>
          <w:rFonts w:ascii="Times New Roman" w:eastAsia="Calibri" w:hAnsi="Times New Roman" w:cs="Times New Roman"/>
          <w:color w:val="000000"/>
          <w:sz w:val="24"/>
          <w:szCs w:val="24"/>
          <w:lang w:eastAsia="it-IT"/>
        </w:rPr>
        <w:t>d.P.R.</w:t>
      </w:r>
      <w:proofErr w:type="spellEnd"/>
      <w:r w:rsidRPr="009F772A">
        <w:rPr>
          <w:rFonts w:ascii="Times New Roman" w:eastAsia="Calibri" w:hAnsi="Times New Roman" w:cs="Times New Roman"/>
          <w:color w:val="000000"/>
          <w:sz w:val="24"/>
          <w:szCs w:val="24"/>
          <w:lang w:eastAsia="it-IT"/>
        </w:rPr>
        <w:t xml:space="preserve"> 30 </w:t>
      </w:r>
      <w:r w:rsidRPr="009F772A">
        <w:rPr>
          <w:rFonts w:ascii="Times New Roman" w:eastAsia="Calibri" w:hAnsi="Times New Roman" w:cs="Times New Roman"/>
          <w:sz w:val="24"/>
          <w:szCs w:val="24"/>
          <w:lang w:eastAsia="it-IT"/>
        </w:rPr>
        <w:t>marzo 1957, n. 361 (Approvazione del testo unico delle leggi recanti norme per la elezione della Camera dei deputati) e del decreto legislativo 20 dicembre 1993, n. 533 (Testo unico delle leggi recanti norme per l’elezione del Senato della Repubblica), nel testo risultante dalle modifiche apportate dalla legge 21 dicembre 2005, n. 270 (Modifiche alle norme per l’elezione della Camera dei deputati e del Senato della Repubblica), relative all’attribuzione del premio di maggioranza su scala nazionale alla Camera e su scala regionale al Senato, nonché di quelle disposizioni che, disciplinando le modalità di espressione del voto come voto di lista, non consentono all’elettore di esprimere alcuna preferenza.</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lastRenderedPageBreak/>
        <w:t>1.</w:t>
      </w:r>
      <w:proofErr w:type="gramStart"/>
      <w:r w:rsidRPr="009F772A">
        <w:rPr>
          <w:rFonts w:ascii="Times New Roman" w:eastAsia="Calibri" w:hAnsi="Times New Roman" w:cs="Times New Roman"/>
          <w:sz w:val="24"/>
          <w:szCs w:val="24"/>
          <w:lang w:eastAsia="it-IT"/>
        </w:rPr>
        <w:t>1.–</w:t>
      </w:r>
      <w:proofErr w:type="gramEnd"/>
      <w:r w:rsidRPr="009F772A">
        <w:rPr>
          <w:rFonts w:ascii="Times New Roman" w:eastAsia="Calibri" w:hAnsi="Times New Roman" w:cs="Times New Roman"/>
          <w:sz w:val="24"/>
          <w:szCs w:val="24"/>
          <w:lang w:eastAsia="it-IT"/>
        </w:rPr>
        <w:t xml:space="preserve"> In particolare, la Corte di cassazione censura, anzitutto, l’art. 83 del </w:t>
      </w:r>
      <w:proofErr w:type="spellStart"/>
      <w:r w:rsidRPr="009F772A">
        <w:rPr>
          <w:rFonts w:ascii="Times New Roman" w:eastAsia="Calibri" w:hAnsi="Times New Roman" w:cs="Times New Roman"/>
          <w:sz w:val="24"/>
          <w:szCs w:val="24"/>
          <w:lang w:eastAsia="it-IT"/>
        </w:rPr>
        <w:t>d.P.R.</w:t>
      </w:r>
      <w:proofErr w:type="spellEnd"/>
      <w:r w:rsidRPr="009F772A">
        <w:rPr>
          <w:rFonts w:ascii="Times New Roman" w:eastAsia="Calibri" w:hAnsi="Times New Roman" w:cs="Times New Roman"/>
          <w:sz w:val="24"/>
          <w:szCs w:val="24"/>
          <w:lang w:eastAsia="it-IT"/>
        </w:rPr>
        <w:t xml:space="preserve"> n. 361 del 1957, nella parte in cui dispone che l’Ufficio elettorale nazionale verifica «se la coalizione di liste o la singola lista che ha ottenuto il maggior numero di voti validi espressi abbia conseguito almeno 340 seggi» (comma 1, n. 5) e stabilisce che, in caso negativo, «ad essa viene ulteriormente attribuito il numero di seggi necessario per raggiungere tale consistenza» (comma 2).</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Tali disposizioni violerebbero l’art. 3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xml:space="preserve">., congiuntamente agli artt. 1, secondo comma, e 67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xml:space="preserve">., in quanto, non subordinando l’attribuzione del premio di maggioranza al raggiungimento di una soglia minima di voti e, quindi, trasformando una maggioranza relativa di voti, potenzialmente anche molto modesta, in una maggioranza assoluta di seggi, determinerebbero irragionevolmente una oggettiva e grave alterazione della rappresentanza democratica.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Esse, inoltre, avrebbero stabilito un meccanismo di attribuzione del premio manifestamente irragionevole, il quale, da un lato, sarebbe in contrasto con l’esigenza di assicurare la governabilità, in quanto incentiverebbe il raggiungimento di accordi tra le liste al solo fine di accedere al premio, senza scongiurare il rischio che, anche immediatamente dopo le elezioni, la coalizione beneficiaria del premio possa sciogliersi, o uno o più partiti che ne facevano parte escano dalla stessa. Dall’altro, provocherebbe un’alterazione degli equilibri istituzionali, tenuto conto che la maggioranza beneficiaria del premio sarebbe in grado di eleggere gli organi di garanzia che restano in carica per un tempo più lungo della legislatura.</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Tale modalità di attribuzione del premio di maggioranza stabilita dalle predette disposizioni comprometterebbe, inoltre, l’eguaglianza del voto e cioè la parità di condizione dei cittadini nel momento in cui il voto viene espresso, in violazione dell’art. 48, secondo comma,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La distorsione che ne risulta non costituirebbe, infatti, un mero inconveniente di fatto, ma sarebbe il risultato di un meccanismo irrazionale normativamente programmato per determinare tale esito.</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1.</w:t>
      </w:r>
      <w:proofErr w:type="gramStart"/>
      <w:r w:rsidRPr="009F772A">
        <w:rPr>
          <w:rFonts w:ascii="Times New Roman" w:eastAsia="Calibri" w:hAnsi="Times New Roman" w:cs="Times New Roman"/>
          <w:sz w:val="24"/>
          <w:szCs w:val="24"/>
          <w:lang w:eastAsia="it-IT"/>
        </w:rPr>
        <w:t>2.–</w:t>
      </w:r>
      <w:proofErr w:type="gramEnd"/>
      <w:r w:rsidRPr="009F772A">
        <w:rPr>
          <w:rFonts w:ascii="Times New Roman" w:eastAsia="Calibri" w:hAnsi="Times New Roman" w:cs="Times New Roman"/>
          <w:sz w:val="24"/>
          <w:szCs w:val="24"/>
          <w:lang w:eastAsia="it-IT"/>
        </w:rPr>
        <w:t xml:space="preserve"> Analoghe censure sono rivolte all’art. 17 del d.lgs. n. 533 del 1993 (concernente la disciplina dell’elezione del Senato della Repubblica), </w:t>
      </w:r>
      <w:r>
        <w:rPr>
          <w:rFonts w:ascii="Times New Roman" w:eastAsia="Calibri" w:hAnsi="Times New Roman" w:cs="Times New Roman"/>
          <w:sz w:val="24"/>
          <w:szCs w:val="24"/>
          <w:lang w:eastAsia="it-IT"/>
        </w:rPr>
        <w:t>….</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1.</w:t>
      </w:r>
      <w:proofErr w:type="gramStart"/>
      <w:r w:rsidRPr="009F772A">
        <w:rPr>
          <w:rFonts w:ascii="Times New Roman" w:eastAsia="Calibri" w:hAnsi="Times New Roman" w:cs="Times New Roman"/>
          <w:sz w:val="24"/>
          <w:szCs w:val="24"/>
          <w:lang w:eastAsia="it-IT"/>
        </w:rPr>
        <w:t>3.–</w:t>
      </w:r>
      <w:proofErr w:type="gramEnd"/>
      <w:r w:rsidRPr="009F772A">
        <w:rPr>
          <w:rFonts w:ascii="Times New Roman" w:eastAsia="Calibri" w:hAnsi="Times New Roman" w:cs="Times New Roman"/>
          <w:sz w:val="24"/>
          <w:szCs w:val="24"/>
          <w:lang w:eastAsia="it-IT"/>
        </w:rPr>
        <w:t xml:space="preserve"> La Corte di cassazione censura, infine, l’art. 4, comma 2, del </w:t>
      </w:r>
      <w:proofErr w:type="spellStart"/>
      <w:r w:rsidRPr="009F772A">
        <w:rPr>
          <w:rFonts w:ascii="Times New Roman" w:eastAsia="Calibri" w:hAnsi="Times New Roman" w:cs="Times New Roman"/>
          <w:sz w:val="24"/>
          <w:szCs w:val="24"/>
          <w:lang w:eastAsia="it-IT"/>
        </w:rPr>
        <w:t>d.P.R.</w:t>
      </w:r>
      <w:proofErr w:type="spellEnd"/>
      <w:r w:rsidRPr="009F772A">
        <w:rPr>
          <w:rFonts w:ascii="Times New Roman" w:eastAsia="Calibri" w:hAnsi="Times New Roman" w:cs="Times New Roman"/>
          <w:sz w:val="24"/>
          <w:szCs w:val="24"/>
          <w:lang w:eastAsia="it-IT"/>
        </w:rPr>
        <w:t xml:space="preserve"> n. 361 del 1957 e, in via consequenziale, l’art. 59 del medesimo </w:t>
      </w:r>
      <w:proofErr w:type="spellStart"/>
      <w:r w:rsidRPr="009F772A">
        <w:rPr>
          <w:rFonts w:ascii="Times New Roman" w:eastAsia="Calibri" w:hAnsi="Times New Roman" w:cs="Times New Roman"/>
          <w:sz w:val="24"/>
          <w:szCs w:val="24"/>
          <w:lang w:eastAsia="it-IT"/>
        </w:rPr>
        <w:t>d.P.R</w:t>
      </w:r>
      <w:proofErr w:type="spellEnd"/>
      <w:r>
        <w:rPr>
          <w:rFonts w:ascii="Times New Roman" w:eastAsia="Calibri" w:hAnsi="Times New Roman" w:cs="Times New Roman"/>
          <w:sz w:val="24"/>
          <w:szCs w:val="24"/>
          <w:lang w:eastAsia="it-IT"/>
        </w:rPr>
        <w:t>….</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b/>
          <w:sz w:val="24"/>
          <w:szCs w:val="24"/>
          <w:lang w:eastAsia="it-IT"/>
        </w:rPr>
      </w:pPr>
      <w:r w:rsidRPr="009F772A">
        <w:rPr>
          <w:rFonts w:ascii="Times New Roman" w:eastAsia="Calibri" w:hAnsi="Times New Roman" w:cs="Times New Roman"/>
          <w:b/>
          <w:sz w:val="24"/>
          <w:szCs w:val="24"/>
          <w:lang w:eastAsia="it-IT"/>
        </w:rPr>
        <w:t xml:space="preserve">2.– In ordine all’ammissibilità delle questioni di legittimità costituzionale in esame, va premesso che, secondo la costante giurisprudenza di questa Corte, siffatto controllo ai sensi dell’art. 23 della legge 11 marzo 1953, n. 87, (Norme sulla costituzione e sul funzionamento della </w:t>
      </w:r>
      <w:r w:rsidRPr="009F772A">
        <w:rPr>
          <w:rFonts w:ascii="Times New Roman" w:eastAsia="Calibri" w:hAnsi="Times New Roman" w:cs="Times New Roman"/>
          <w:b/>
          <w:sz w:val="24"/>
          <w:szCs w:val="24"/>
          <w:lang w:eastAsia="it-IT"/>
        </w:rPr>
        <w:lastRenderedPageBreak/>
        <w:t xml:space="preserve">Corte costituzionale) «va limitato all’adeguatezza delle motivazioni in ordine ai presupposti in base ai quali il giudizio </w:t>
      </w:r>
      <w:r w:rsidRPr="009F772A">
        <w:rPr>
          <w:rFonts w:ascii="Times New Roman" w:eastAsia="Calibri" w:hAnsi="Times New Roman" w:cs="Times New Roman"/>
          <w:b/>
          <w:i/>
          <w:sz w:val="24"/>
          <w:szCs w:val="24"/>
          <w:lang w:eastAsia="it-IT"/>
        </w:rPr>
        <w:t>a quo</w:t>
      </w:r>
      <w:r w:rsidRPr="009F772A">
        <w:rPr>
          <w:rFonts w:ascii="Times New Roman" w:eastAsia="Calibri" w:hAnsi="Times New Roman" w:cs="Times New Roman"/>
          <w:b/>
          <w:sz w:val="24"/>
          <w:szCs w:val="24"/>
          <w:lang w:eastAsia="it-IT"/>
        </w:rPr>
        <w:t xml:space="preserve"> possa dirsi concretamente ed effettivamente instaurato, con un proprio oggetto, vale a dire un </w:t>
      </w:r>
      <w:proofErr w:type="spellStart"/>
      <w:r w:rsidRPr="009F772A">
        <w:rPr>
          <w:rFonts w:ascii="Times New Roman" w:eastAsia="Calibri" w:hAnsi="Times New Roman" w:cs="Times New Roman"/>
          <w:b/>
          <w:i/>
          <w:sz w:val="24"/>
          <w:szCs w:val="24"/>
          <w:lang w:eastAsia="it-IT"/>
        </w:rPr>
        <w:t>petitum</w:t>
      </w:r>
      <w:proofErr w:type="spellEnd"/>
      <w:r w:rsidRPr="009F772A">
        <w:rPr>
          <w:rFonts w:ascii="Times New Roman" w:eastAsia="Calibri" w:hAnsi="Times New Roman" w:cs="Times New Roman"/>
          <w:b/>
          <w:sz w:val="24"/>
          <w:szCs w:val="24"/>
          <w:lang w:eastAsia="it-IT"/>
        </w:rPr>
        <w:t xml:space="preserve">, separato e distinto dalla questione di legittimità costituzionale, sul quale il giudice remittente sia chiamato a decidere» (tra le molte, </w:t>
      </w:r>
      <w:hyperlink r:id="rId12" w:history="1">
        <w:r w:rsidRPr="009F772A">
          <w:rPr>
            <w:rFonts w:ascii="Times New Roman" w:eastAsia="Times New Roman" w:hAnsi="Times New Roman" w:cs="Times New Roman"/>
            <w:b/>
            <w:color w:val="0000FF"/>
            <w:sz w:val="24"/>
            <w:szCs w:val="24"/>
            <w:u w:val="single"/>
            <w:lang w:eastAsia="it-IT"/>
          </w:rPr>
          <w:t>sentenza n. 263 del 1994</w:t>
        </w:r>
      </w:hyperlink>
      <w:r w:rsidRPr="009F772A">
        <w:rPr>
          <w:rFonts w:ascii="Times New Roman" w:eastAsia="Calibri" w:hAnsi="Times New Roman" w:cs="Times New Roman"/>
          <w:b/>
          <w:sz w:val="24"/>
          <w:szCs w:val="24"/>
          <w:lang w:eastAsia="it-IT"/>
        </w:rPr>
        <w:t xml:space="preserve">). Il riscontro dell’interesse ad agire e la verifica della legittimazione delle parti, nonché della giurisdizione del giudice rimettente, ai fini dell’apprezzamento della rilevanza dell’incidente di legittimità costituzionale, sono, inoltre, rimessi alla valutazione del giudice </w:t>
      </w:r>
      <w:r w:rsidRPr="009F772A">
        <w:rPr>
          <w:rFonts w:ascii="Times New Roman" w:eastAsia="Calibri" w:hAnsi="Times New Roman" w:cs="Times New Roman"/>
          <w:b/>
          <w:i/>
          <w:sz w:val="24"/>
          <w:szCs w:val="24"/>
          <w:lang w:eastAsia="it-IT"/>
        </w:rPr>
        <w:t>a quo</w:t>
      </w:r>
      <w:r w:rsidRPr="009F772A">
        <w:rPr>
          <w:rFonts w:ascii="Times New Roman" w:eastAsia="Calibri" w:hAnsi="Times New Roman" w:cs="Times New Roman"/>
          <w:b/>
          <w:sz w:val="24"/>
          <w:szCs w:val="24"/>
          <w:lang w:eastAsia="it-IT"/>
        </w:rPr>
        <w:t xml:space="preserve"> e non sono suscettibili di riesame da parte di questa Corte, qualora sorretti da una motivazione non </w:t>
      </w:r>
      <w:proofErr w:type="spellStart"/>
      <w:r w:rsidRPr="009F772A">
        <w:rPr>
          <w:rFonts w:ascii="Times New Roman" w:eastAsia="Calibri" w:hAnsi="Times New Roman" w:cs="Times New Roman"/>
          <w:b/>
          <w:sz w:val="24"/>
          <w:szCs w:val="24"/>
          <w:lang w:eastAsia="it-IT"/>
        </w:rPr>
        <w:t>implausibile</w:t>
      </w:r>
      <w:proofErr w:type="spellEnd"/>
      <w:r w:rsidRPr="009F772A">
        <w:rPr>
          <w:rFonts w:ascii="Times New Roman" w:eastAsia="Calibri" w:hAnsi="Times New Roman" w:cs="Times New Roman"/>
          <w:b/>
          <w:sz w:val="24"/>
          <w:szCs w:val="24"/>
          <w:lang w:eastAsia="it-IT"/>
        </w:rPr>
        <w:t xml:space="preserve"> (fra le più recenti, </w:t>
      </w:r>
      <w:r w:rsidRPr="009F772A">
        <w:rPr>
          <w:rFonts w:ascii="Times New Roman" w:eastAsia="Times New Roman" w:hAnsi="Times New Roman" w:cs="Times New Roman"/>
          <w:b/>
          <w:sz w:val="24"/>
          <w:szCs w:val="24"/>
          <w:lang w:eastAsia="it-IT"/>
        </w:rPr>
        <w:t xml:space="preserve">sentenze </w:t>
      </w:r>
      <w:hyperlink r:id="rId13" w:history="1">
        <w:r w:rsidRPr="009F772A">
          <w:rPr>
            <w:rFonts w:ascii="Times New Roman" w:eastAsia="Times New Roman" w:hAnsi="Times New Roman" w:cs="Times New Roman"/>
            <w:b/>
            <w:color w:val="0000FF"/>
            <w:sz w:val="24"/>
            <w:szCs w:val="24"/>
            <w:u w:val="single"/>
            <w:lang w:eastAsia="it-IT"/>
          </w:rPr>
          <w:t>n. 91 del 2013</w:t>
        </w:r>
      </w:hyperlink>
      <w:r w:rsidRPr="009F772A">
        <w:rPr>
          <w:rFonts w:ascii="Times New Roman" w:eastAsia="Times New Roman" w:hAnsi="Times New Roman" w:cs="Times New Roman"/>
          <w:b/>
          <w:sz w:val="24"/>
          <w:szCs w:val="24"/>
          <w:lang w:eastAsia="it-IT"/>
        </w:rPr>
        <w:t xml:space="preserve">, </w:t>
      </w:r>
      <w:hyperlink r:id="rId14" w:history="1">
        <w:r w:rsidRPr="009F772A">
          <w:rPr>
            <w:rFonts w:ascii="Times New Roman" w:eastAsia="Times New Roman" w:hAnsi="Times New Roman" w:cs="Times New Roman"/>
            <w:b/>
            <w:color w:val="0000FF"/>
            <w:sz w:val="24"/>
            <w:szCs w:val="24"/>
            <w:u w:val="single"/>
            <w:lang w:eastAsia="it-IT"/>
          </w:rPr>
          <w:t>n. 280 del 2012</w:t>
        </w:r>
      </w:hyperlink>
      <w:r w:rsidRPr="009F772A">
        <w:rPr>
          <w:rFonts w:ascii="Times New Roman" w:eastAsia="Times New Roman" w:hAnsi="Times New Roman" w:cs="Times New Roman"/>
          <w:b/>
          <w:sz w:val="24"/>
          <w:szCs w:val="24"/>
          <w:lang w:eastAsia="it-IT"/>
        </w:rPr>
        <w:t xml:space="preserve">, </w:t>
      </w:r>
      <w:hyperlink r:id="rId15" w:history="1">
        <w:r w:rsidRPr="009F772A">
          <w:rPr>
            <w:rFonts w:ascii="Times New Roman" w:eastAsia="Times New Roman" w:hAnsi="Times New Roman" w:cs="Times New Roman"/>
            <w:b/>
            <w:color w:val="0000FF"/>
            <w:sz w:val="24"/>
            <w:szCs w:val="24"/>
            <w:u w:val="single"/>
            <w:lang w:eastAsia="it-IT"/>
          </w:rPr>
          <w:t>n. 279 del 2012</w:t>
        </w:r>
      </w:hyperlink>
      <w:r w:rsidRPr="009F772A">
        <w:rPr>
          <w:rFonts w:ascii="Times New Roman" w:eastAsia="Times New Roman" w:hAnsi="Times New Roman" w:cs="Times New Roman"/>
          <w:b/>
          <w:sz w:val="24"/>
          <w:szCs w:val="24"/>
          <w:lang w:eastAsia="it-IT"/>
        </w:rPr>
        <w:t xml:space="preserve">, </w:t>
      </w:r>
      <w:hyperlink r:id="rId16" w:history="1">
        <w:r w:rsidRPr="009F772A">
          <w:rPr>
            <w:rFonts w:ascii="Times New Roman" w:eastAsia="Times New Roman" w:hAnsi="Times New Roman" w:cs="Times New Roman"/>
            <w:b/>
            <w:color w:val="0000FF"/>
            <w:sz w:val="24"/>
            <w:szCs w:val="24"/>
            <w:u w:val="single"/>
            <w:lang w:eastAsia="it-IT"/>
          </w:rPr>
          <w:t>n. 61 del 2012</w:t>
        </w:r>
      </w:hyperlink>
      <w:r w:rsidRPr="009F772A">
        <w:rPr>
          <w:rFonts w:ascii="Times New Roman" w:eastAsia="Times New Roman" w:hAnsi="Times New Roman" w:cs="Times New Roman"/>
          <w:b/>
          <w:sz w:val="24"/>
          <w:szCs w:val="24"/>
          <w:lang w:eastAsia="it-IT"/>
        </w:rPr>
        <w:t xml:space="preserve">, </w:t>
      </w:r>
      <w:hyperlink r:id="rId17" w:history="1">
        <w:r w:rsidRPr="009F772A">
          <w:rPr>
            <w:rFonts w:ascii="Times New Roman" w:eastAsia="Times New Roman" w:hAnsi="Times New Roman" w:cs="Times New Roman"/>
            <w:b/>
            <w:color w:val="0000FF"/>
            <w:sz w:val="24"/>
            <w:szCs w:val="24"/>
            <w:u w:val="single"/>
            <w:lang w:eastAsia="it-IT"/>
          </w:rPr>
          <w:t>n. 270 del 2010</w:t>
        </w:r>
      </w:hyperlink>
      <w:r w:rsidRPr="009F772A">
        <w:rPr>
          <w:rFonts w:ascii="Times New Roman" w:eastAsia="Calibri" w:hAnsi="Times New Roman" w:cs="Times New Roman"/>
          <w:b/>
          <w:sz w:val="24"/>
          <w:szCs w:val="24"/>
          <w:lang w:eastAsia="it-IT"/>
        </w:rPr>
        <w:t xml:space="preserve">).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b/>
          <w:sz w:val="24"/>
          <w:szCs w:val="24"/>
          <w:lang w:eastAsia="it-IT"/>
        </w:rPr>
      </w:pPr>
      <w:r w:rsidRPr="009F772A">
        <w:rPr>
          <w:rFonts w:ascii="Times New Roman" w:eastAsia="Calibri" w:hAnsi="Times New Roman" w:cs="Times New Roman"/>
          <w:b/>
          <w:sz w:val="24"/>
          <w:szCs w:val="24"/>
          <w:lang w:eastAsia="it-IT"/>
        </w:rPr>
        <w:t xml:space="preserve">Nella specie, la Corte di cassazione, con motivazione ampia, articolata ed approfondita, ha plausibilmente argomentato in ordine sia alla pregiudizialità delle questioni di legittimità costituzionale rispetto alla definizione del giudizio principale, sia alla rilevanza delle medesime.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b/>
          <w:sz w:val="24"/>
          <w:szCs w:val="24"/>
          <w:lang w:eastAsia="it-IT"/>
        </w:rPr>
      </w:pPr>
      <w:r w:rsidRPr="009F772A">
        <w:rPr>
          <w:rFonts w:ascii="Times New Roman" w:eastAsia="Calibri" w:hAnsi="Times New Roman" w:cs="Times New Roman"/>
          <w:b/>
          <w:sz w:val="24"/>
          <w:szCs w:val="24"/>
          <w:lang w:eastAsia="it-IT"/>
        </w:rPr>
        <w:t>Essa ha affermato che nel giudizio principale è stata proposta un’azione di accertamento avente ad oggetto il diritto di voto, finalizzata – come tutte le azioni di tale natura, la cui generale ammissibilità è desunta dal principio dell’interesse ad agire – ad accertare la portata del diritto, ritenuta incerta. L’esistenza di detto interesse e della giurisdizione – ha sottolineato l’ordinanza – costituisce, peraltro, oggetto di un giudicato interno. La sussistenza dell’uno e dell’altra è stata, infatti, contestata dalle Amministrazioni nella fase di merito, con eccezione rigettata dal Tribunale e dalla Corte d’appello di Milano, e non è stata reiterata dinanzi alla Corte di cassazione mediante la proposizione di ricorso incidentale, con la conseguenza che deve ritenersi definitivamente precluso il riesame di tale profilo.</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b/>
          <w:sz w:val="24"/>
          <w:szCs w:val="24"/>
          <w:lang w:eastAsia="it-IT"/>
        </w:rPr>
      </w:pPr>
      <w:r w:rsidRPr="009F772A">
        <w:rPr>
          <w:rFonts w:ascii="Times New Roman" w:eastAsia="Calibri" w:hAnsi="Times New Roman" w:cs="Times New Roman"/>
          <w:b/>
          <w:sz w:val="24"/>
          <w:szCs w:val="24"/>
          <w:lang w:eastAsia="it-IT"/>
        </w:rPr>
        <w:t xml:space="preserve">Il rimettente, con argomentazioni plausibili, ha altresì sottolineato, in ordine alla natura ed oggetto dell’azione, che gli attori hanno agito allo scopo «di rimuovere un pregiudizio», frutto di «una (già avvenuta) modificazione della realtà giuridica che postula di essere rimossa mediante un’attività ulteriore, giuridica e materiale, che consenta ai cittadini elettori di esercitare realmente il diritto di voto in modo pieno e in sintonia con i valori costituzionali». A suo avviso, gli attori hanno, quindi, chiesto al giudice ordinario – in qualità di giudice dei diritti – di accertare la portata del proprio diritto di voto, resa incerta da una normativa elettorale in ipotesi incostituzionale, previa l’eventuale proposizione della relativa questione. Pertanto, l’eventuale accoglimento delle questioni di legittimità costituzionale non esaurirebbe la tutela richiesta nel giudizio principale, che si realizzerebbe solo a seguito ed in virtù della pronuncia </w:t>
      </w:r>
      <w:r w:rsidRPr="009F772A">
        <w:rPr>
          <w:rFonts w:ascii="Times New Roman" w:eastAsia="Calibri" w:hAnsi="Times New Roman" w:cs="Times New Roman"/>
          <w:b/>
          <w:sz w:val="24"/>
          <w:szCs w:val="24"/>
          <w:lang w:eastAsia="it-IT"/>
        </w:rPr>
        <w:lastRenderedPageBreak/>
        <w:t xml:space="preserve">con la quale il giudice ordinario accerta il contenuto del diritto dell’attore, all’esito della sentenza di questa Corte.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b/>
          <w:sz w:val="24"/>
          <w:szCs w:val="24"/>
          <w:lang w:eastAsia="it-IT"/>
        </w:rPr>
      </w:pPr>
      <w:r w:rsidRPr="009F772A">
        <w:rPr>
          <w:rFonts w:ascii="Times New Roman" w:eastAsia="Calibri" w:hAnsi="Times New Roman" w:cs="Times New Roman"/>
          <w:b/>
          <w:sz w:val="24"/>
          <w:szCs w:val="24"/>
          <w:lang w:eastAsia="it-IT"/>
        </w:rPr>
        <w:t xml:space="preserve">Al riguardo, in ordine ai presupposti della rilevanza della questione di legittimità costituzionale, va ricordato che, secondo un principio enunciato da questa Corte fin dalle sue prime pronunce, «la circostanza che la dedotta incostituzionalità di una o più norme legislative costituisca l’unico motivo di ricorso innanzi al giudice </w:t>
      </w:r>
      <w:r w:rsidRPr="009F772A">
        <w:rPr>
          <w:rFonts w:ascii="Times New Roman" w:eastAsia="Calibri" w:hAnsi="Times New Roman" w:cs="Times New Roman"/>
          <w:b/>
          <w:i/>
          <w:sz w:val="24"/>
          <w:szCs w:val="24"/>
          <w:lang w:eastAsia="it-IT"/>
        </w:rPr>
        <w:t>a quo</w:t>
      </w:r>
      <w:r w:rsidRPr="009F772A">
        <w:rPr>
          <w:rFonts w:ascii="Times New Roman" w:eastAsia="Calibri" w:hAnsi="Times New Roman" w:cs="Times New Roman"/>
          <w:b/>
          <w:sz w:val="24"/>
          <w:szCs w:val="24"/>
          <w:lang w:eastAsia="it-IT"/>
        </w:rPr>
        <w:t xml:space="preserve"> non impedisce di considerare sussistente il requisito della rilevanza, ogni qualvolta sia individuabile nel giudizio principale un </w:t>
      </w:r>
      <w:proofErr w:type="spellStart"/>
      <w:r w:rsidRPr="009F772A">
        <w:rPr>
          <w:rFonts w:ascii="Times New Roman" w:eastAsia="Calibri" w:hAnsi="Times New Roman" w:cs="Times New Roman"/>
          <w:b/>
          <w:i/>
          <w:sz w:val="24"/>
          <w:szCs w:val="24"/>
          <w:lang w:eastAsia="it-IT"/>
        </w:rPr>
        <w:t>petitum</w:t>
      </w:r>
      <w:proofErr w:type="spellEnd"/>
      <w:r w:rsidRPr="009F772A">
        <w:rPr>
          <w:rFonts w:ascii="Times New Roman" w:eastAsia="Calibri" w:hAnsi="Times New Roman" w:cs="Times New Roman"/>
          <w:b/>
          <w:i/>
          <w:sz w:val="24"/>
          <w:szCs w:val="24"/>
          <w:lang w:eastAsia="it-IT"/>
        </w:rPr>
        <w:t xml:space="preserve"> </w:t>
      </w:r>
      <w:r w:rsidRPr="009F772A">
        <w:rPr>
          <w:rFonts w:ascii="Times New Roman" w:eastAsia="Calibri" w:hAnsi="Times New Roman" w:cs="Times New Roman"/>
          <w:b/>
          <w:sz w:val="24"/>
          <w:szCs w:val="24"/>
          <w:lang w:eastAsia="it-IT"/>
        </w:rPr>
        <w:t>separato e distinto dalla questione (o dalle questioni) di legittimità costituzionale, sul quale il giudice rimettente sia chiamato a pronunciarsi» (</w:t>
      </w:r>
      <w:hyperlink r:id="rId18" w:history="1">
        <w:r w:rsidRPr="009F772A">
          <w:rPr>
            <w:rFonts w:ascii="Times New Roman" w:eastAsia="Times New Roman" w:hAnsi="Times New Roman" w:cs="Times New Roman"/>
            <w:b/>
            <w:color w:val="0000FF"/>
            <w:sz w:val="24"/>
            <w:szCs w:val="24"/>
            <w:u w:val="single"/>
            <w:lang w:eastAsia="it-IT"/>
          </w:rPr>
          <w:t>sentenza n. 4 del 2000</w:t>
        </w:r>
      </w:hyperlink>
      <w:r w:rsidRPr="009F772A">
        <w:rPr>
          <w:rFonts w:ascii="Times New Roman" w:eastAsia="Times New Roman" w:hAnsi="Times New Roman" w:cs="Times New Roman"/>
          <w:b/>
          <w:sz w:val="24"/>
          <w:szCs w:val="24"/>
          <w:lang w:eastAsia="it-IT"/>
        </w:rPr>
        <w:t xml:space="preserve">; ma analoga affermazione era già contenuta nella </w:t>
      </w:r>
      <w:hyperlink r:id="rId19" w:history="1">
        <w:r w:rsidRPr="009F772A">
          <w:rPr>
            <w:rFonts w:ascii="Times New Roman" w:eastAsia="Times New Roman" w:hAnsi="Times New Roman" w:cs="Times New Roman"/>
            <w:b/>
            <w:color w:val="0000FF"/>
            <w:sz w:val="24"/>
            <w:szCs w:val="24"/>
            <w:u w:val="single"/>
            <w:lang w:eastAsia="it-IT"/>
          </w:rPr>
          <w:t>sentenza n. 59 del 1957</w:t>
        </w:r>
      </w:hyperlink>
      <w:r w:rsidRPr="009F772A">
        <w:rPr>
          <w:rFonts w:ascii="Times New Roman" w:eastAsia="Calibri" w:hAnsi="Times New Roman" w:cs="Times New Roman"/>
          <w:b/>
          <w:sz w:val="24"/>
          <w:szCs w:val="24"/>
          <w:lang w:eastAsia="it-IT"/>
        </w:rPr>
        <w:t xml:space="preserve">), anche allo scopo di scongiurare «la esclusione di ogni garanzia e di ogni controllo» su taluni atti legislativi (nella specie le leggi-provvedimento: </w:t>
      </w:r>
      <w:hyperlink r:id="rId20" w:history="1">
        <w:r w:rsidRPr="009F772A">
          <w:rPr>
            <w:rFonts w:ascii="Times New Roman" w:eastAsia="Times New Roman" w:hAnsi="Times New Roman" w:cs="Times New Roman"/>
            <w:b/>
            <w:color w:val="0000FF"/>
            <w:sz w:val="24"/>
            <w:szCs w:val="24"/>
            <w:u w:val="single"/>
            <w:lang w:eastAsia="it-IT"/>
          </w:rPr>
          <w:t>sentenza n. 59 del 1957</w:t>
        </w:r>
      </w:hyperlink>
      <w:r w:rsidRPr="009F772A">
        <w:rPr>
          <w:rFonts w:ascii="Times New Roman" w:eastAsia="Calibri" w:hAnsi="Times New Roman" w:cs="Times New Roman"/>
          <w:b/>
          <w:sz w:val="24"/>
          <w:szCs w:val="24"/>
          <w:lang w:eastAsia="it-IT"/>
        </w:rPr>
        <w:t xml:space="preserve">).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b/>
          <w:sz w:val="24"/>
          <w:szCs w:val="24"/>
          <w:lang w:eastAsia="it-IT"/>
        </w:rPr>
      </w:pPr>
      <w:r w:rsidRPr="009F772A">
        <w:rPr>
          <w:rFonts w:ascii="Times New Roman" w:eastAsia="Calibri" w:hAnsi="Times New Roman" w:cs="Times New Roman"/>
          <w:b/>
          <w:sz w:val="24"/>
          <w:szCs w:val="24"/>
          <w:lang w:eastAsia="it-IT"/>
        </w:rPr>
        <w:t xml:space="preserve">Nel caso in esame, tale condizione è soddisfatta, </w:t>
      </w:r>
      <w:proofErr w:type="spellStart"/>
      <w:r w:rsidRPr="009F772A">
        <w:rPr>
          <w:rFonts w:ascii="Times New Roman" w:eastAsia="Calibri" w:hAnsi="Times New Roman" w:cs="Times New Roman"/>
          <w:b/>
          <w:sz w:val="24"/>
          <w:szCs w:val="24"/>
          <w:lang w:eastAsia="it-IT"/>
        </w:rPr>
        <w:t>perchè</w:t>
      </w:r>
      <w:proofErr w:type="spellEnd"/>
      <w:r w:rsidRPr="009F772A">
        <w:rPr>
          <w:rFonts w:ascii="Times New Roman" w:eastAsia="Calibri" w:hAnsi="Times New Roman" w:cs="Times New Roman"/>
          <w:b/>
          <w:sz w:val="24"/>
          <w:szCs w:val="24"/>
          <w:lang w:eastAsia="it-IT"/>
        </w:rPr>
        <w:t xml:space="preserve"> il </w:t>
      </w:r>
      <w:proofErr w:type="spellStart"/>
      <w:r w:rsidRPr="009F772A">
        <w:rPr>
          <w:rFonts w:ascii="Times New Roman" w:eastAsia="Calibri" w:hAnsi="Times New Roman" w:cs="Times New Roman"/>
          <w:b/>
          <w:i/>
          <w:sz w:val="24"/>
          <w:szCs w:val="24"/>
          <w:lang w:eastAsia="it-IT"/>
        </w:rPr>
        <w:t>petitum</w:t>
      </w:r>
      <w:proofErr w:type="spellEnd"/>
      <w:r w:rsidRPr="009F772A">
        <w:rPr>
          <w:rFonts w:ascii="Times New Roman" w:eastAsia="Calibri" w:hAnsi="Times New Roman" w:cs="Times New Roman"/>
          <w:b/>
          <w:i/>
          <w:sz w:val="24"/>
          <w:szCs w:val="24"/>
          <w:lang w:eastAsia="it-IT"/>
        </w:rPr>
        <w:t xml:space="preserve"> </w:t>
      </w:r>
      <w:r w:rsidRPr="009F772A">
        <w:rPr>
          <w:rFonts w:ascii="Times New Roman" w:eastAsia="Calibri" w:hAnsi="Times New Roman" w:cs="Times New Roman"/>
          <w:b/>
          <w:sz w:val="24"/>
          <w:szCs w:val="24"/>
          <w:lang w:eastAsia="it-IT"/>
        </w:rPr>
        <w:t>oggetto del giudizio principale è costituito dalla pronuncia di accertamento del diritto azionato, in ipotesi condizionata dalla decisione delle sollevate questioni di legittimità costituzionale, non risultando l’accertamento richiesto al giudice comune totalmente assorbito dalla sentenza di questa Corte, in quanto residuerebbe la verifica delle altre condizioni cui la legge fa dipendere il riconoscimento del diritto di voto. Per di più, nella fattispecie qui in esame, la questione ha ad oggetto un diritto fondamentale tutelato dalla Costituzione, il diritto di voto, che ha come connotato essenziale il collegamento ad un interesse del corpo sociale nel suo insieme, ed è proposta allo scopo di porre fine ad una situazione di incertezza sulla effettiva portata del predetto diritto determinata proprio da «una (già avvenuta) modificazione della realtà giuridica», in ipotesi frutto delle norme censurate.</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b/>
          <w:sz w:val="24"/>
          <w:szCs w:val="24"/>
          <w:lang w:eastAsia="it-IT"/>
        </w:rPr>
      </w:pPr>
      <w:r w:rsidRPr="009F772A">
        <w:rPr>
          <w:rFonts w:ascii="Times New Roman" w:eastAsia="Calibri" w:hAnsi="Times New Roman" w:cs="Times New Roman"/>
          <w:b/>
          <w:sz w:val="24"/>
          <w:szCs w:val="24"/>
          <w:lang w:eastAsia="it-IT"/>
        </w:rPr>
        <w:t xml:space="preserve">L’ammissibilità delle questioni di legittimità costituzionale sollevate nel corso di tale giudizio si desume precisamente dalla peculiarità e dal rilievo costituzionale, da un lato, del diritto oggetto di accertamento; dall’altro, della legge che, per il sospetto di illegittimità costituzionale, ne rende incerta la portata. Detta ammissibilità costituisce anche l’ineludibile corollario del principio che impone di assicurare la tutela del diritto inviolabile di voto, pregiudicato – secondo l’ordinanza del giudice rimettente – da una normativa elettorale non conforme ai principi costituzionali, indipendentemente da atti applicativi della stessa, in quanto già l’incertezza sulla portata del diritto costituisce una lesione giuridicamente rilevante. L’esigenza di garantire il principio di costituzionalità rende quindi imprescindibile affermare </w:t>
      </w:r>
      <w:r w:rsidRPr="009F772A">
        <w:rPr>
          <w:rFonts w:ascii="Times New Roman" w:eastAsia="Calibri" w:hAnsi="Times New Roman" w:cs="Times New Roman"/>
          <w:b/>
          <w:sz w:val="24"/>
          <w:szCs w:val="24"/>
          <w:lang w:eastAsia="it-IT"/>
        </w:rPr>
        <w:lastRenderedPageBreak/>
        <w:t>il sindacato di questa Corte – che «deve coprire nella misura più ampia possibile l’ordinamento giuridico» (</w:t>
      </w:r>
      <w:hyperlink r:id="rId21" w:history="1">
        <w:r w:rsidRPr="009F772A">
          <w:rPr>
            <w:rFonts w:ascii="Times New Roman" w:eastAsia="Times New Roman" w:hAnsi="Times New Roman" w:cs="Times New Roman"/>
            <w:b/>
            <w:color w:val="0000FF"/>
            <w:sz w:val="24"/>
            <w:szCs w:val="24"/>
            <w:u w:val="single"/>
            <w:lang w:eastAsia="it-IT"/>
          </w:rPr>
          <w:t>sentenza n. 387 del 1996</w:t>
        </w:r>
      </w:hyperlink>
      <w:r w:rsidRPr="009F772A">
        <w:rPr>
          <w:rFonts w:ascii="Times New Roman" w:eastAsia="Calibri" w:hAnsi="Times New Roman" w:cs="Times New Roman"/>
          <w:b/>
          <w:sz w:val="24"/>
          <w:szCs w:val="24"/>
          <w:lang w:eastAsia="it-IT"/>
        </w:rPr>
        <w:t>) – anche sulle leggi, come quelle relative alle elezioni della Camera e del Senato, «che più difficilmente verrebbero per altra via ad essa sottoposte» (</w:t>
      </w:r>
      <w:r w:rsidRPr="009F772A">
        <w:rPr>
          <w:rFonts w:ascii="Times New Roman" w:eastAsia="Times New Roman" w:hAnsi="Times New Roman" w:cs="Times New Roman"/>
          <w:b/>
          <w:sz w:val="24"/>
          <w:szCs w:val="24"/>
          <w:lang w:eastAsia="it-IT"/>
        </w:rPr>
        <w:t xml:space="preserve">sentenze </w:t>
      </w:r>
      <w:hyperlink r:id="rId22" w:history="1">
        <w:r w:rsidRPr="009F772A">
          <w:rPr>
            <w:rFonts w:ascii="Times New Roman" w:eastAsia="Times New Roman" w:hAnsi="Times New Roman" w:cs="Times New Roman"/>
            <w:b/>
            <w:color w:val="0000FF"/>
            <w:sz w:val="24"/>
            <w:szCs w:val="24"/>
            <w:u w:val="single"/>
            <w:lang w:eastAsia="it-IT"/>
          </w:rPr>
          <w:t>n. 384 del 1991</w:t>
        </w:r>
      </w:hyperlink>
      <w:r w:rsidRPr="009F772A">
        <w:rPr>
          <w:rFonts w:ascii="Times New Roman" w:eastAsia="Times New Roman" w:hAnsi="Times New Roman" w:cs="Times New Roman"/>
          <w:b/>
          <w:sz w:val="24"/>
          <w:szCs w:val="24"/>
          <w:lang w:eastAsia="it-IT"/>
        </w:rPr>
        <w:t xml:space="preserve"> e </w:t>
      </w:r>
      <w:hyperlink r:id="rId23" w:history="1">
        <w:r w:rsidRPr="009F772A">
          <w:rPr>
            <w:rFonts w:ascii="Times New Roman" w:eastAsia="Times New Roman" w:hAnsi="Times New Roman" w:cs="Times New Roman"/>
            <w:b/>
            <w:color w:val="0000FF"/>
            <w:sz w:val="24"/>
            <w:szCs w:val="24"/>
            <w:u w:val="single"/>
            <w:lang w:eastAsia="it-IT"/>
          </w:rPr>
          <w:t>n. 226 del 1976</w:t>
        </w:r>
      </w:hyperlink>
      <w:r w:rsidRPr="009F772A">
        <w:rPr>
          <w:rFonts w:ascii="Times New Roman" w:eastAsia="Calibri" w:hAnsi="Times New Roman" w:cs="Times New Roman"/>
          <w:b/>
          <w:sz w:val="24"/>
          <w:szCs w:val="24"/>
          <w:lang w:eastAsia="it-IT"/>
        </w:rPr>
        <w:t>).</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b/>
          <w:sz w:val="24"/>
          <w:szCs w:val="24"/>
          <w:lang w:eastAsia="it-IT"/>
        </w:rPr>
      </w:pPr>
      <w:r w:rsidRPr="009F772A">
        <w:rPr>
          <w:rFonts w:ascii="Times New Roman" w:eastAsia="Calibri" w:hAnsi="Times New Roman" w:cs="Times New Roman"/>
          <w:b/>
          <w:sz w:val="24"/>
          <w:szCs w:val="24"/>
          <w:lang w:eastAsia="it-IT"/>
        </w:rPr>
        <w:t xml:space="preserve">Nel quadro di tali principi, le sollevate questioni di legittimità costituzionale sono ammissibili, anche in linea con l’esigenza che non siano sottratte al sindacato di costituzionalità le leggi, quali quelle concernenti le elezioni della Camera e del Senato, che definiscono le regole della composizione di organi costituzionali essenziali per il funzionamento di un sistema democratico-rappresentativo e che quindi non possono essere immuni da quel sindacato. Diversamente, si finirebbe con il creare una zona franca nel sistema di giustizia costituzionale proprio in un ambito strettamente connesso con l’assetto democratico, in quanto incide sul diritto fondamentale di voto; per ciò stesso, si determinerebbe un </w:t>
      </w:r>
      <w:r w:rsidRPr="009F772A">
        <w:rPr>
          <w:rFonts w:ascii="Times New Roman" w:eastAsia="Calibri" w:hAnsi="Times New Roman" w:cs="Times New Roman"/>
          <w:b/>
          <w:i/>
          <w:sz w:val="24"/>
          <w:szCs w:val="24"/>
          <w:lang w:eastAsia="it-IT"/>
        </w:rPr>
        <w:t>vulnus</w:t>
      </w:r>
      <w:r w:rsidRPr="009F772A">
        <w:rPr>
          <w:rFonts w:ascii="Times New Roman" w:eastAsia="Calibri" w:hAnsi="Times New Roman" w:cs="Times New Roman"/>
          <w:b/>
          <w:sz w:val="24"/>
          <w:szCs w:val="24"/>
          <w:lang w:eastAsia="it-IT"/>
        </w:rPr>
        <w:t xml:space="preserve"> intollerabile per l’ordinamento costituzionale complessivamente considerato.</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b/>
          <w:sz w:val="40"/>
          <w:szCs w:val="40"/>
          <w:lang w:eastAsia="it-IT"/>
        </w:rPr>
        <w:t>[</w:t>
      </w:r>
      <w:proofErr w:type="gramStart"/>
      <w:r w:rsidRPr="009F772A">
        <w:rPr>
          <w:rFonts w:ascii="Times New Roman" w:eastAsia="Calibri" w:hAnsi="Times New Roman" w:cs="Times New Roman"/>
          <w:sz w:val="24"/>
          <w:szCs w:val="24"/>
          <w:lang w:eastAsia="it-IT"/>
        </w:rPr>
        <w:t>3.–</w:t>
      </w:r>
      <w:proofErr w:type="gramEnd"/>
      <w:r w:rsidRPr="009F772A">
        <w:rPr>
          <w:rFonts w:ascii="Times New Roman" w:eastAsia="Calibri" w:hAnsi="Times New Roman" w:cs="Times New Roman"/>
          <w:sz w:val="24"/>
          <w:szCs w:val="24"/>
          <w:lang w:eastAsia="it-IT"/>
        </w:rPr>
        <w:t xml:space="preserve"> </w:t>
      </w:r>
      <w:r w:rsidRPr="009F772A">
        <w:rPr>
          <w:rFonts w:ascii="Times New Roman" w:eastAsia="Calibri" w:hAnsi="Times New Roman" w:cs="Times New Roman"/>
          <w:b/>
          <w:sz w:val="24"/>
          <w:szCs w:val="24"/>
          <w:lang w:eastAsia="it-IT"/>
        </w:rPr>
        <w:t>Nel merito</w:t>
      </w:r>
      <w:r w:rsidRPr="009F772A">
        <w:rPr>
          <w:rFonts w:ascii="Times New Roman" w:eastAsia="Calibri" w:hAnsi="Times New Roman" w:cs="Times New Roman"/>
          <w:sz w:val="24"/>
          <w:szCs w:val="24"/>
          <w:lang w:eastAsia="it-IT"/>
        </w:rPr>
        <w:t xml:space="preserve">, la prima delle questioni in esame riguarda il premio di maggioranza assegnato per la elezione della Camera dei deputati. L’art. 83 del </w:t>
      </w:r>
      <w:proofErr w:type="spellStart"/>
      <w:r w:rsidRPr="009F772A">
        <w:rPr>
          <w:rFonts w:ascii="Times New Roman" w:eastAsia="Calibri" w:hAnsi="Times New Roman" w:cs="Times New Roman"/>
          <w:sz w:val="24"/>
          <w:szCs w:val="24"/>
          <w:lang w:eastAsia="it-IT"/>
        </w:rPr>
        <w:t>d.P.R.</w:t>
      </w:r>
      <w:proofErr w:type="spellEnd"/>
      <w:r w:rsidRPr="009F772A">
        <w:rPr>
          <w:rFonts w:ascii="Times New Roman" w:eastAsia="Calibri" w:hAnsi="Times New Roman" w:cs="Times New Roman"/>
          <w:sz w:val="24"/>
          <w:szCs w:val="24"/>
          <w:lang w:eastAsia="it-IT"/>
        </w:rPr>
        <w:t xml:space="preserve"> n. 361 del 1957 prevede che l’Ufficio elettorale nazionale verifichi «se la coalizione di liste o la singola lista che ha ottenuto il maggior numero di voti validi espressi abbia conseguito almeno 340 seggi» (comma 1, n. 5), sulla base dall’attribuzione di seggi in ragione proporzionale; e stabilisce, in caso negativo, che ad essa venga attribuito il numero di seggi necessario per raggiungere quella consistenza (comma 2).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Secondo la Corte di cassazione, tali disposizioni, non subordinando l’attribuzione del premio di maggioranza al raggiungimento di una soglia minima di voti e, quindi, trasformando una maggioranza relativa di voti, potenzialmente anche molto modesta, in una maggioranza assoluta di seggi, avrebbero stabilito, in violazione dell’art. 3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xml:space="preserve">., un meccanismo di attribuzione del premio manifestamente irragionevole, tale da determinare una oggettiva e grave alterazione della rappresentanza democratica, lesiva della stessa eguaglianza del voto, peraltro neppure idonea ad assicurare la stabilità di governo.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3.</w:t>
      </w:r>
      <w:proofErr w:type="gramStart"/>
      <w:r w:rsidRPr="009F772A">
        <w:rPr>
          <w:rFonts w:ascii="Times New Roman" w:eastAsia="Calibri" w:hAnsi="Times New Roman" w:cs="Times New Roman"/>
          <w:sz w:val="24"/>
          <w:szCs w:val="24"/>
          <w:lang w:eastAsia="it-IT"/>
        </w:rPr>
        <w:t>1.–</w:t>
      </w:r>
      <w:proofErr w:type="gramEnd"/>
      <w:r w:rsidRPr="009F772A">
        <w:rPr>
          <w:rFonts w:ascii="Times New Roman" w:eastAsia="Calibri" w:hAnsi="Times New Roman" w:cs="Times New Roman"/>
          <w:sz w:val="24"/>
          <w:szCs w:val="24"/>
          <w:lang w:eastAsia="it-IT"/>
        </w:rPr>
        <w:t xml:space="preserve"> La questione è fondata.</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Questa Corte ha da tempo ricordato che l’Assemblea Costituente, «pur manifestando, con l’approvazione di un ordine del giorno, il favore per il sistema proporzionale nell’elezione dei membri della Camera dei deputati, non intese irrigidire questa materia sul piano normativo, costituzionalizzando una scelta proporzionalistica o disponendo formalmente in ordine ai sistemi </w:t>
      </w:r>
      <w:r w:rsidRPr="009F772A">
        <w:rPr>
          <w:rFonts w:ascii="Times New Roman" w:eastAsia="Calibri" w:hAnsi="Times New Roman" w:cs="Times New Roman"/>
          <w:sz w:val="24"/>
          <w:szCs w:val="24"/>
          <w:lang w:eastAsia="it-IT"/>
        </w:rPr>
        <w:lastRenderedPageBreak/>
        <w:t>elettorali, la configurazione dei quali resta affidata alla legge ordinaria» (</w:t>
      </w:r>
      <w:hyperlink r:id="rId24" w:history="1">
        <w:r w:rsidRPr="009F772A">
          <w:rPr>
            <w:rFonts w:ascii="Times New Roman" w:eastAsia="Times New Roman" w:hAnsi="Times New Roman" w:cs="Times New Roman"/>
            <w:color w:val="0000FF"/>
            <w:sz w:val="24"/>
            <w:szCs w:val="24"/>
            <w:u w:val="single"/>
            <w:lang w:eastAsia="it-IT"/>
          </w:rPr>
          <w:t>sentenza n. 429 del 1995</w:t>
        </w:r>
      </w:hyperlink>
      <w:r w:rsidRPr="009F772A">
        <w:rPr>
          <w:rFonts w:ascii="Times New Roman" w:eastAsia="Calibri" w:hAnsi="Times New Roman" w:cs="Times New Roman"/>
          <w:sz w:val="24"/>
          <w:szCs w:val="24"/>
          <w:lang w:eastAsia="it-IT"/>
        </w:rPr>
        <w:t>). Pertanto, la «determinazione delle formule e dei sistemi elettorali costituisce un ambito nel quale si esprime con un massimo di evidenza la politicità della scelta legislativa» (</w:t>
      </w:r>
      <w:hyperlink r:id="rId25" w:history="1">
        <w:r w:rsidRPr="009F772A">
          <w:rPr>
            <w:rFonts w:ascii="Times New Roman" w:eastAsia="Times New Roman" w:hAnsi="Times New Roman" w:cs="Times New Roman"/>
            <w:color w:val="0000FF"/>
            <w:sz w:val="24"/>
            <w:szCs w:val="24"/>
            <w:u w:val="single"/>
            <w:lang w:eastAsia="it-IT"/>
          </w:rPr>
          <w:t>sentenza n. 242 del 2012</w:t>
        </w:r>
      </w:hyperlink>
      <w:r w:rsidRPr="009F772A">
        <w:rPr>
          <w:rFonts w:ascii="Times New Roman" w:eastAsia="Times New Roman" w:hAnsi="Times New Roman" w:cs="Times New Roman"/>
          <w:sz w:val="24"/>
          <w:szCs w:val="24"/>
          <w:lang w:eastAsia="it-IT"/>
        </w:rPr>
        <w:t xml:space="preserve">; </w:t>
      </w:r>
      <w:hyperlink r:id="rId26" w:history="1">
        <w:r w:rsidRPr="009F772A">
          <w:rPr>
            <w:rFonts w:ascii="Times New Roman" w:eastAsia="Times New Roman" w:hAnsi="Times New Roman" w:cs="Times New Roman"/>
            <w:color w:val="0000FF"/>
            <w:sz w:val="24"/>
            <w:szCs w:val="24"/>
            <w:u w:val="single"/>
            <w:lang w:eastAsia="it-IT"/>
          </w:rPr>
          <w:t>ordinanza n. 260 del 2002</w:t>
        </w:r>
      </w:hyperlink>
      <w:r w:rsidRPr="009F772A">
        <w:rPr>
          <w:rFonts w:ascii="Times New Roman" w:eastAsia="Times New Roman" w:hAnsi="Times New Roman" w:cs="Times New Roman"/>
          <w:sz w:val="24"/>
          <w:szCs w:val="24"/>
          <w:lang w:eastAsia="it-IT"/>
        </w:rPr>
        <w:t xml:space="preserve">; </w:t>
      </w:r>
      <w:hyperlink r:id="rId27" w:history="1">
        <w:r w:rsidRPr="009F772A">
          <w:rPr>
            <w:rFonts w:ascii="Times New Roman" w:eastAsia="Times New Roman" w:hAnsi="Times New Roman" w:cs="Times New Roman"/>
            <w:color w:val="0000FF"/>
            <w:sz w:val="24"/>
            <w:szCs w:val="24"/>
            <w:u w:val="single"/>
            <w:lang w:eastAsia="it-IT"/>
          </w:rPr>
          <w:t>sentenza n. 107 del 1996</w:t>
        </w:r>
      </w:hyperlink>
      <w:r w:rsidRPr="009F772A">
        <w:rPr>
          <w:rFonts w:ascii="Times New Roman" w:eastAsia="Calibri" w:hAnsi="Times New Roman" w:cs="Times New Roman"/>
          <w:sz w:val="24"/>
          <w:szCs w:val="24"/>
          <w:lang w:eastAsia="it-IT"/>
        </w:rPr>
        <w:t>). Il principio costituzionale di eguaglianza del voto – ha inoltre rilevato questa Corte – esige che l’esercizio dell’elettorato attivo avvenga in condizione di parità, in quanto «ciascun voto contribuisce potenzialmente e con pari efficacia alla formazione degli organi elettivi» (</w:t>
      </w:r>
      <w:hyperlink r:id="rId28" w:history="1">
        <w:r w:rsidRPr="009F772A">
          <w:rPr>
            <w:rFonts w:ascii="Times New Roman" w:eastAsia="Times New Roman" w:hAnsi="Times New Roman" w:cs="Times New Roman"/>
            <w:color w:val="0000FF"/>
            <w:sz w:val="24"/>
            <w:szCs w:val="24"/>
            <w:u w:val="single"/>
            <w:lang w:eastAsia="it-IT"/>
          </w:rPr>
          <w:t>sentenza n. 43 del 1961</w:t>
        </w:r>
      </w:hyperlink>
      <w:r w:rsidRPr="009F772A">
        <w:rPr>
          <w:rFonts w:ascii="Times New Roman" w:eastAsia="Calibri" w:hAnsi="Times New Roman" w:cs="Times New Roman"/>
          <w:sz w:val="24"/>
          <w:szCs w:val="24"/>
          <w:lang w:eastAsia="it-IT"/>
        </w:rPr>
        <w:t>), ma «non si estende […] al risultato concreto della manifestazione di volontà dell’elettore […] che dipende […] esclusivamente dal sistema che il legislatore ordinario, non avendo la Costituzione disposto al riguardo, ha adottato per le elezioni politiche e amministrative, in relazione alle mutevoli esigenze che si ricollegano alle consultazioni popolari» (</w:t>
      </w:r>
      <w:hyperlink r:id="rId29" w:history="1">
        <w:r w:rsidRPr="009F772A">
          <w:rPr>
            <w:rFonts w:ascii="Times New Roman" w:eastAsia="Times New Roman" w:hAnsi="Times New Roman" w:cs="Times New Roman"/>
            <w:color w:val="0000FF"/>
            <w:sz w:val="24"/>
            <w:szCs w:val="24"/>
            <w:u w:val="single"/>
            <w:lang w:eastAsia="it-IT"/>
          </w:rPr>
          <w:t>sentenza n. 43 del 1961</w:t>
        </w:r>
      </w:hyperlink>
      <w:r w:rsidRPr="009F772A">
        <w:rPr>
          <w:rFonts w:ascii="Times New Roman" w:eastAsia="Calibri" w:hAnsi="Times New Roman" w:cs="Times New Roman"/>
          <w:sz w:val="24"/>
          <w:szCs w:val="24"/>
          <w:lang w:eastAsia="it-IT"/>
        </w:rPr>
        <w:t xml:space="preserve">).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Non c’è, in altri termini, un modello di sistema elettorale imposto dalla Carta costituzionale, in quanto quest’ultima lascia alla discrezionalità del legislatore la scelta del sistema che ritenga più idoneo ed efficace in considerazione del contesto storico.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Il sistema elettorale, tuttavia, pur costituendo espressione dell’ampia discrezionalità legislativa, non è esente da controllo, essendo sempre censurabile in sede di giudizio di costituzionalità quando risulti manifestamente irragionevole (</w:t>
      </w:r>
      <w:r w:rsidRPr="009F772A">
        <w:rPr>
          <w:rFonts w:ascii="Times New Roman" w:eastAsia="Times New Roman" w:hAnsi="Times New Roman" w:cs="Times New Roman"/>
          <w:sz w:val="24"/>
          <w:szCs w:val="24"/>
          <w:lang w:eastAsia="it-IT"/>
        </w:rPr>
        <w:t xml:space="preserve">sentenze </w:t>
      </w:r>
      <w:hyperlink r:id="rId30" w:history="1">
        <w:r w:rsidRPr="009F772A">
          <w:rPr>
            <w:rFonts w:ascii="Times New Roman" w:eastAsia="Times New Roman" w:hAnsi="Times New Roman" w:cs="Times New Roman"/>
            <w:color w:val="0000FF"/>
            <w:sz w:val="24"/>
            <w:szCs w:val="24"/>
            <w:u w:val="single"/>
            <w:lang w:eastAsia="it-IT"/>
          </w:rPr>
          <w:t>n. 242 del 2012</w:t>
        </w:r>
      </w:hyperlink>
      <w:r w:rsidRPr="009F772A">
        <w:rPr>
          <w:rFonts w:ascii="Times New Roman" w:eastAsia="Times New Roman" w:hAnsi="Times New Roman" w:cs="Times New Roman"/>
          <w:sz w:val="24"/>
          <w:szCs w:val="24"/>
          <w:lang w:eastAsia="it-IT"/>
        </w:rPr>
        <w:t xml:space="preserve"> e </w:t>
      </w:r>
      <w:hyperlink r:id="rId31" w:history="1">
        <w:r w:rsidRPr="009F772A">
          <w:rPr>
            <w:rFonts w:ascii="Times New Roman" w:eastAsia="Times New Roman" w:hAnsi="Times New Roman" w:cs="Times New Roman"/>
            <w:color w:val="0000FF"/>
            <w:sz w:val="24"/>
            <w:szCs w:val="24"/>
            <w:u w:val="single"/>
            <w:lang w:eastAsia="it-IT"/>
          </w:rPr>
          <w:t>n. 107 del 1996</w:t>
        </w:r>
      </w:hyperlink>
      <w:r w:rsidRPr="009F772A">
        <w:rPr>
          <w:rFonts w:ascii="Times New Roman" w:eastAsia="Times New Roman" w:hAnsi="Times New Roman" w:cs="Times New Roman"/>
          <w:sz w:val="24"/>
          <w:szCs w:val="24"/>
          <w:lang w:eastAsia="it-IT"/>
        </w:rPr>
        <w:t xml:space="preserve">; </w:t>
      </w:r>
      <w:hyperlink r:id="rId32" w:history="1">
        <w:r w:rsidRPr="009F772A">
          <w:rPr>
            <w:rFonts w:ascii="Times New Roman" w:eastAsia="Times New Roman" w:hAnsi="Times New Roman" w:cs="Times New Roman"/>
            <w:color w:val="0000FF"/>
            <w:sz w:val="24"/>
            <w:szCs w:val="24"/>
            <w:u w:val="single"/>
            <w:lang w:eastAsia="it-IT"/>
          </w:rPr>
          <w:t>ordinanza n. 260 del 2002</w:t>
        </w:r>
      </w:hyperlink>
      <w:r w:rsidRPr="009F772A">
        <w:rPr>
          <w:rFonts w:ascii="Times New Roman" w:eastAsia="Calibri" w:hAnsi="Times New Roman" w:cs="Times New Roman"/>
          <w:sz w:val="24"/>
          <w:szCs w:val="24"/>
          <w:lang w:eastAsia="it-IT"/>
        </w:rPr>
        <w:t>).</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Nella specie, proprio con riguardo alle norme della legge elettorale della Camera qui in esame, relative all’attribuzione del premio di maggioranza in difetto del presupposto di una soglia minima di voti o di seggi, questa Corte, pur negando la possibilità di sindacare in sede di giudizio di ammissibilità del </w:t>
      </w:r>
      <w:r w:rsidRPr="009F772A">
        <w:rPr>
          <w:rFonts w:ascii="Times New Roman" w:eastAsia="Calibri" w:hAnsi="Times New Roman" w:cs="Times New Roman"/>
          <w:i/>
          <w:sz w:val="24"/>
          <w:szCs w:val="24"/>
          <w:lang w:eastAsia="it-IT"/>
        </w:rPr>
        <w:t>referendum</w:t>
      </w:r>
      <w:r w:rsidRPr="009F772A">
        <w:rPr>
          <w:rFonts w:ascii="Times New Roman" w:eastAsia="Calibri" w:hAnsi="Times New Roman" w:cs="Times New Roman"/>
          <w:sz w:val="24"/>
          <w:szCs w:val="24"/>
          <w:lang w:eastAsia="it-IT"/>
        </w:rPr>
        <w:t xml:space="preserve"> abrogativo profili di illegittimità costituzionale, in particolare attinenti alla ragionevolezza delle predette norme, ha già segnalato l’esigenza che il Parlamento consideri con attenzione alcuni profili di un simile meccanismo. Alcuni aspetti problematici sono stati ravvisati nella circostanza che il meccanismo premiale è foriero di una eccessiva sovra-rappresentazione della lista di maggioranza relativa, in quanto consente ad una lista che abbia ottenuto un numero di voti anche relativamente esiguo di acquisire la maggioranza assoluta dei seggi. In tal modo si può verificare in concreto una distorsione fra voti espressi ed attribuzione di seggi che, pur essendo presente in qualsiasi sistema elettorale, nella specie assume una misura tale da comprometterne la compatibilità con il principio di eguaglianza del voto (</w:t>
      </w:r>
      <w:r w:rsidRPr="009F772A">
        <w:rPr>
          <w:rFonts w:ascii="Times New Roman" w:eastAsia="Times New Roman" w:hAnsi="Times New Roman" w:cs="Times New Roman"/>
          <w:sz w:val="24"/>
          <w:szCs w:val="24"/>
          <w:lang w:eastAsia="it-IT"/>
        </w:rPr>
        <w:t xml:space="preserve">sentenze </w:t>
      </w:r>
      <w:hyperlink r:id="rId33" w:history="1">
        <w:r w:rsidRPr="009F772A">
          <w:rPr>
            <w:rFonts w:ascii="Times New Roman" w:eastAsia="Times New Roman" w:hAnsi="Times New Roman" w:cs="Times New Roman"/>
            <w:color w:val="0000FF"/>
            <w:sz w:val="24"/>
            <w:szCs w:val="24"/>
            <w:u w:val="single"/>
            <w:lang w:eastAsia="it-IT"/>
          </w:rPr>
          <w:t>n. 15</w:t>
        </w:r>
      </w:hyperlink>
      <w:r w:rsidRPr="009F772A">
        <w:rPr>
          <w:rFonts w:ascii="Times New Roman" w:eastAsia="Times New Roman" w:hAnsi="Times New Roman" w:cs="Times New Roman"/>
          <w:sz w:val="24"/>
          <w:szCs w:val="24"/>
          <w:lang w:eastAsia="it-IT"/>
        </w:rPr>
        <w:t xml:space="preserve"> e </w:t>
      </w:r>
      <w:hyperlink r:id="rId34" w:history="1">
        <w:r w:rsidRPr="009F772A">
          <w:rPr>
            <w:rFonts w:ascii="Times New Roman" w:eastAsia="Times New Roman" w:hAnsi="Times New Roman" w:cs="Times New Roman"/>
            <w:color w:val="0000FF"/>
            <w:sz w:val="24"/>
            <w:szCs w:val="24"/>
            <w:u w:val="single"/>
            <w:lang w:eastAsia="it-IT"/>
          </w:rPr>
          <w:t>n. 16 del 2008</w:t>
        </w:r>
      </w:hyperlink>
      <w:r w:rsidRPr="009F772A">
        <w:rPr>
          <w:rFonts w:ascii="Times New Roman" w:eastAsia="Calibri" w:hAnsi="Times New Roman" w:cs="Times New Roman"/>
          <w:sz w:val="24"/>
          <w:szCs w:val="24"/>
          <w:lang w:eastAsia="it-IT"/>
        </w:rPr>
        <w:t xml:space="preserve">). Successivamente, questa Corte, stante l’inerzia del legislatore, ha rinnovato l’invito al Parlamento a considerare con attenzione i punti problematici della disciplina, </w:t>
      </w:r>
      <w:r w:rsidRPr="009F772A">
        <w:rPr>
          <w:rFonts w:ascii="Times New Roman" w:eastAsia="Calibri" w:hAnsi="Times New Roman" w:cs="Times New Roman"/>
          <w:color w:val="000000"/>
          <w:sz w:val="24"/>
          <w:szCs w:val="24"/>
          <w:lang w:eastAsia="it-IT"/>
        </w:rPr>
        <w:t xml:space="preserve">così come risultante dalle modifiche </w:t>
      </w:r>
      <w:r w:rsidRPr="009F772A">
        <w:rPr>
          <w:rFonts w:ascii="Times New Roman" w:eastAsia="Calibri" w:hAnsi="Times New Roman" w:cs="Times New Roman"/>
          <w:color w:val="000000"/>
          <w:sz w:val="24"/>
          <w:szCs w:val="24"/>
          <w:lang w:eastAsia="it-IT"/>
        </w:rPr>
        <w:lastRenderedPageBreak/>
        <w:t>introdotte</w:t>
      </w:r>
      <w:r w:rsidRPr="009F772A">
        <w:rPr>
          <w:rFonts w:ascii="Times New Roman" w:eastAsia="Calibri" w:hAnsi="Times New Roman" w:cs="Times New Roman"/>
          <w:sz w:val="24"/>
          <w:szCs w:val="24"/>
          <w:lang w:eastAsia="it-IT"/>
        </w:rPr>
        <w:t xml:space="preserve"> con la legge n. 270 del 2005, ed ha nuovamente sottolineato i profili di irrazionalità segnalati nelle precedenti occasioni sopra ricordate, insiti nell’«attribuzione dei premi di maggioranza senza la previsione di alcuna soglia minima di voti e/o di seggi» (</w:t>
      </w:r>
      <w:hyperlink r:id="rId35" w:history="1">
        <w:r w:rsidRPr="009F772A">
          <w:rPr>
            <w:rFonts w:ascii="Times New Roman" w:eastAsia="Times New Roman" w:hAnsi="Times New Roman" w:cs="Times New Roman"/>
            <w:color w:val="0000FF"/>
            <w:sz w:val="24"/>
            <w:szCs w:val="24"/>
            <w:u w:val="single"/>
            <w:lang w:eastAsia="it-IT"/>
          </w:rPr>
          <w:t>sentenza n. 13 del 2012</w:t>
        </w:r>
      </w:hyperlink>
      <w:r w:rsidRPr="009F772A">
        <w:rPr>
          <w:rFonts w:ascii="Times New Roman" w:eastAsia="Calibri" w:hAnsi="Times New Roman" w:cs="Times New Roman"/>
          <w:sz w:val="24"/>
          <w:szCs w:val="24"/>
          <w:lang w:eastAsia="it-IT"/>
        </w:rPr>
        <w:t xml:space="preserve">); profili ritenuti, tuttavia, insindacabili in una sede diversa dal giudizio di legittimità costituzionale.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Gli stessi rilievi, nella perdurante inerzia del legislatore ordinario, non possono che essere ribaditi e, conseguentemente, devono ritenersi fondate le censure concernenti l’art. 83, comma 1, n. 5, e comma 2, del </w:t>
      </w:r>
      <w:proofErr w:type="spellStart"/>
      <w:r w:rsidRPr="009F772A">
        <w:rPr>
          <w:rFonts w:ascii="Times New Roman" w:eastAsia="Calibri" w:hAnsi="Times New Roman" w:cs="Times New Roman"/>
          <w:sz w:val="24"/>
          <w:szCs w:val="24"/>
          <w:lang w:eastAsia="it-IT"/>
        </w:rPr>
        <w:t>d.P.R.</w:t>
      </w:r>
      <w:proofErr w:type="spellEnd"/>
      <w:r w:rsidRPr="009F772A">
        <w:rPr>
          <w:rFonts w:ascii="Times New Roman" w:eastAsia="Calibri" w:hAnsi="Times New Roman" w:cs="Times New Roman"/>
          <w:sz w:val="24"/>
          <w:szCs w:val="24"/>
          <w:lang w:eastAsia="it-IT"/>
        </w:rPr>
        <w:t xml:space="preserve"> n. 361 del 1957. Tali disposizioni, infatti, non superano lo scrutinio di proporzionalità e di ragionevolezza, al quale soggiacciono anche le norme inerenti ai sistemi elettorali.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In ambiti connotati da un’ampia discrezionalità legislativa, quale quello in esame, siffatto scrutinio impone a questa Corte di verificare che il bilanciamento degli interessi costituzionalmente rilevanti non sia stato realizzato con modalità tali da determinare il sacrificio o la compressione di uno di essi in misura eccessiva e pertanto incompatibile con il dettato costituzionale. Tale giudizio deve svolgersi «attraverso ponderazioni relative alla proporzionalità dei mezzi prescelti dal legislatore nella sua insindacabile discrezionalità rispetto alle esigenze obiettive da soddisfare o alle finalità che intende perseguire, tenuto conto delle circostanze e delle limitazioni concretamente sussistenti» (</w:t>
      </w:r>
      <w:hyperlink r:id="rId36" w:history="1">
        <w:r w:rsidRPr="009F772A">
          <w:rPr>
            <w:rFonts w:ascii="Times New Roman" w:eastAsia="Times New Roman" w:hAnsi="Times New Roman" w:cs="Times New Roman"/>
            <w:color w:val="0000FF"/>
            <w:sz w:val="24"/>
            <w:szCs w:val="24"/>
            <w:u w:val="single"/>
            <w:lang w:eastAsia="it-IT"/>
          </w:rPr>
          <w:t>sentenza n. 1130 del 1988</w:t>
        </w:r>
      </w:hyperlink>
      <w:r w:rsidRPr="009F772A">
        <w:rPr>
          <w:rFonts w:ascii="Times New Roman" w:eastAsia="Calibri" w:hAnsi="Times New Roman" w:cs="Times New Roman"/>
          <w:sz w:val="24"/>
          <w:szCs w:val="24"/>
          <w:lang w:eastAsia="it-IT"/>
        </w:rPr>
        <w:t>). Il test di proporzionalità utilizzato da questa Corte come da molte delle giurisdizioni costituzionali europee, spesso insieme con quello di ragionevolezza, ed essenziale strumento della Corte di giustizia dell’Unione europea per il controllo giurisdizionale di legittimità degli atti dell’Unione e degli Stati membri, richiede di valutare se la norma oggetto di scrutinio, con la misura e le modalità di applicazione stabilite, sia necessaria e idonea al conseguimento di obiettivi legittimamente perseguiti, in quanto, tra più misure appropriate, prescriva quella meno restrittiva dei diritti a confronto e stabilisca oneri non sproporzionati rispetto al perseguimento di detti obiettivi.</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Nella specie, le suddette condizioni non sono soddisfatte.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Le disposizioni censurate sono dirette ad agevolare la formazione di una adeguata maggioranza parlamentare, allo scopo di garantire la stabilità del governo del Paese e di rendere più rapido il processo decisionale, ciò che costituisce senz’altro un obiettivo costituzionalmente legittimo. Questo obiettivo è perseguito mediante un meccanismo premiale destinato ad essere attivato ogniqualvolta la votazione con il sistema proporzionale non abbia assicurato ad alcuna lista o coalizione di liste un numero di voti tale da tradursi in una maggioranza anche superiore a quella assoluta di seggi (340 su 630). Se dunque si verifica tale eventualità, il meccanismo premiale garantisce l’attribuzione di seggi aggiuntivi (fino alla soglia dei 340 seggi) a quella lista o coalizione di liste che abbia ottenuto anche </w:t>
      </w:r>
      <w:r w:rsidRPr="009F772A">
        <w:rPr>
          <w:rFonts w:ascii="Times New Roman" w:eastAsia="Calibri" w:hAnsi="Times New Roman" w:cs="Times New Roman"/>
          <w:sz w:val="24"/>
          <w:szCs w:val="24"/>
          <w:lang w:eastAsia="it-IT"/>
        </w:rPr>
        <w:lastRenderedPageBreak/>
        <w:t xml:space="preserve">un solo voto in più delle altre, e ciò pure nel caso che il numero di voti sia in assoluto molto esiguo, in difetto della previsione di una soglia minima di voti e/o di seggi.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Le disposizioni censurate non si limitano, tuttavia, ad introdurre un correttivo (ulteriore rispetto a quello già costituito dalla previsione di soglie di sbarramento all’accesso, di cui al n. 3 ed al n. 6 del medesimo comma 1 del citato art. 83, qui non censurati) al sistema di trasformazione dei voti in seggi «in ragione proporzionale», stabilito dall’art. 1, comma 2, del medesimo </w:t>
      </w:r>
      <w:proofErr w:type="spellStart"/>
      <w:r w:rsidRPr="009F772A">
        <w:rPr>
          <w:rFonts w:ascii="Times New Roman" w:eastAsia="Calibri" w:hAnsi="Times New Roman" w:cs="Times New Roman"/>
          <w:sz w:val="24"/>
          <w:szCs w:val="24"/>
          <w:lang w:eastAsia="it-IT"/>
        </w:rPr>
        <w:t>d.P.R.</w:t>
      </w:r>
      <w:proofErr w:type="spellEnd"/>
      <w:r w:rsidRPr="009F772A">
        <w:rPr>
          <w:rFonts w:ascii="Times New Roman" w:eastAsia="Calibri" w:hAnsi="Times New Roman" w:cs="Times New Roman"/>
          <w:sz w:val="24"/>
          <w:szCs w:val="24"/>
          <w:lang w:eastAsia="it-IT"/>
        </w:rPr>
        <w:t xml:space="preserve"> n. 361 del 1957, in vista del legittimo obiettivo di favorire la formazione di stabili maggioranze parlamentari e quindi di stabili governi, ma rovesciano la </w:t>
      </w:r>
      <w:r w:rsidRPr="009F772A">
        <w:rPr>
          <w:rFonts w:ascii="Times New Roman" w:eastAsia="Calibri" w:hAnsi="Times New Roman" w:cs="Times New Roman"/>
          <w:i/>
          <w:sz w:val="24"/>
          <w:szCs w:val="24"/>
          <w:lang w:eastAsia="it-IT"/>
        </w:rPr>
        <w:t>ratio</w:t>
      </w:r>
      <w:r w:rsidRPr="009F772A">
        <w:rPr>
          <w:rFonts w:ascii="Times New Roman" w:eastAsia="Calibri" w:hAnsi="Times New Roman" w:cs="Times New Roman"/>
          <w:sz w:val="24"/>
          <w:szCs w:val="24"/>
          <w:lang w:eastAsia="it-IT"/>
        </w:rPr>
        <w:t xml:space="preserve"> della formula elettorale prescelta dallo stesso legislatore del 2005, che è quella di assicurare la rappresentatività dell’assemblea parlamentare. In tal modo, dette norme producono una eccessiva divaricazione tra la composizione dell’organo della rappresentanza politica, che è al centro del sistema di democrazia rappresentativa e della forma di governo parlamentare prefigurati dalla Costituzione, e la volontà dei cittadini espressa attraverso il voto, che costituisce il principale strumento di manifestazione della sovranità popolare, secondo l’art. 1, secondo comma,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xml:space="preserve">.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In altri termini, le disposizioni in esame non impongono il raggiungimento di </w:t>
      </w:r>
      <w:proofErr w:type="gramStart"/>
      <w:r w:rsidRPr="009F772A">
        <w:rPr>
          <w:rFonts w:ascii="Times New Roman" w:eastAsia="Calibri" w:hAnsi="Times New Roman" w:cs="Times New Roman"/>
          <w:sz w:val="24"/>
          <w:szCs w:val="24"/>
          <w:lang w:eastAsia="it-IT"/>
        </w:rPr>
        <w:t>una  soglia</w:t>
      </w:r>
      <w:proofErr w:type="gramEnd"/>
      <w:r w:rsidRPr="009F772A">
        <w:rPr>
          <w:rFonts w:ascii="Times New Roman" w:eastAsia="Calibri" w:hAnsi="Times New Roman" w:cs="Times New Roman"/>
          <w:sz w:val="24"/>
          <w:szCs w:val="24"/>
          <w:lang w:eastAsia="it-IT"/>
        </w:rPr>
        <w:t xml:space="preserve"> minima di voti alla lista (o coalizione di liste) di maggioranza relativa dei voti; e ad essa assegnano automaticamente un numero anche molto elevato di seggi, tale da trasformare, in ipotesi, una formazione che ha conseguito una percentuale pur molto ridotta di suffragi in quella che raggiunge la maggioranza assoluta dei componenti dell’assemblea. Risulta, pertanto, palese che in tal modo esse consentono una illimitata compressione della rappresentatività dell’assemblea parlamentare, incompatibile con i principi costituzionali in base ai quali le assemblee parlamentari sono sedi esclusive della «rappresentanza politica nazionale» (art. 67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si fondano sull’espressione del voto e quindi della sovranità popolare, ed in virtù di ciò ad esse sono affidate funzioni fondamentali, dotate di «una caratterizzazione tipica ed infungibile» (</w:t>
      </w:r>
      <w:hyperlink r:id="rId37" w:history="1">
        <w:r w:rsidRPr="009F772A">
          <w:rPr>
            <w:rFonts w:ascii="Times New Roman" w:eastAsia="Times New Roman" w:hAnsi="Times New Roman" w:cs="Times New Roman"/>
            <w:color w:val="0000FF"/>
            <w:sz w:val="24"/>
            <w:szCs w:val="24"/>
            <w:u w:val="single"/>
            <w:lang w:eastAsia="it-IT"/>
          </w:rPr>
          <w:t>sentenza n. 106 del 2002</w:t>
        </w:r>
      </w:hyperlink>
      <w:r w:rsidRPr="009F772A">
        <w:rPr>
          <w:rFonts w:ascii="Times New Roman" w:eastAsia="Calibri" w:hAnsi="Times New Roman" w:cs="Times New Roman"/>
          <w:sz w:val="24"/>
          <w:szCs w:val="24"/>
          <w:lang w:eastAsia="it-IT"/>
        </w:rPr>
        <w:t xml:space="preserve">), fra le quali vi sono, accanto a quelle di indirizzo e controllo del governo, anche le delicate funzioni connesse alla stessa garanzia della Costituzione (art. 138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ciò che peraltro distingue il Parlamento da altre assemblee rappresentative di enti territoriali.</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Il meccanismo di attribuzione del premio di maggioranza prefigurato dalle norme censurate, inserite nel sistema proporzionale introdotto con la legge n. 270 del 2005, in quanto combinato con l’assenza di una ragionevole soglia di voti minima per competere all’assegnazione del premio, è pertanto tale da determinare un’alterazione del circuito democratico definito dalla Costituzione, basato sul principio fondamentale di eguaglianza del voto (art. 48, secondo comma,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xml:space="preserve">.). Esso, </w:t>
      </w:r>
      <w:r w:rsidRPr="009F772A">
        <w:rPr>
          <w:rFonts w:ascii="Times New Roman" w:eastAsia="Calibri" w:hAnsi="Times New Roman" w:cs="Times New Roman"/>
          <w:sz w:val="24"/>
          <w:szCs w:val="24"/>
          <w:lang w:eastAsia="it-IT"/>
        </w:rPr>
        <w:lastRenderedPageBreak/>
        <w:t>infatti, pur non vincolando il legislatore ordinario alla scelta di un determinato sistema, esige comunque che ciascun voto contribuisca potenzialmente e con pari efficacia alla formazione degli organi elettivi (</w:t>
      </w:r>
      <w:hyperlink r:id="rId38" w:history="1">
        <w:r w:rsidRPr="009F772A">
          <w:rPr>
            <w:rFonts w:ascii="Times New Roman" w:eastAsia="Times New Roman" w:hAnsi="Times New Roman" w:cs="Times New Roman"/>
            <w:color w:val="0000FF"/>
            <w:sz w:val="24"/>
            <w:szCs w:val="24"/>
            <w:u w:val="single"/>
            <w:lang w:eastAsia="it-IT"/>
          </w:rPr>
          <w:t>sentenza n. 43 del 1961</w:t>
        </w:r>
      </w:hyperlink>
      <w:r w:rsidRPr="009F772A">
        <w:rPr>
          <w:rFonts w:ascii="Times New Roman" w:eastAsia="Calibri" w:hAnsi="Times New Roman" w:cs="Times New Roman"/>
          <w:sz w:val="24"/>
          <w:szCs w:val="24"/>
          <w:lang w:eastAsia="it-IT"/>
        </w:rPr>
        <w:t>) ed assume sfumature diverse in funzione del sistema elettorale prescelto. In ordinamenti costituzionali omogenei a quello italiano, nei quali pure è contemplato detto principio e non è costituzionalizzata la formula elettorale, il giudice costituzionale ha espressamente riconosciuto, da tempo, che, qualora il legislatore adotti il sistema proporzionale, anche solo in modo parziale, esso genera nell’elettore la legittima aspettativa che non si determini uno squilibrio sugli effetti del voto, e cioè una diseguale valutazione del “peso” del voto “in uscita”, ai fini dell’attribuzione dei seggi, che non sia necessaria ad evitare un pregiudizio per la funzionalità dell’organo parlamentare (</w:t>
      </w:r>
      <w:proofErr w:type="spellStart"/>
      <w:r w:rsidRPr="009F772A">
        <w:rPr>
          <w:rFonts w:ascii="Times New Roman" w:eastAsia="Calibri" w:hAnsi="Times New Roman" w:cs="Times New Roman"/>
          <w:sz w:val="24"/>
          <w:szCs w:val="24"/>
          <w:lang w:eastAsia="it-IT"/>
        </w:rPr>
        <w:t>BVerfGE</w:t>
      </w:r>
      <w:proofErr w:type="spellEnd"/>
      <w:r w:rsidRPr="009F772A">
        <w:rPr>
          <w:rFonts w:ascii="Times New Roman" w:eastAsia="Calibri" w:hAnsi="Times New Roman" w:cs="Times New Roman"/>
          <w:sz w:val="24"/>
          <w:szCs w:val="24"/>
          <w:lang w:eastAsia="it-IT"/>
        </w:rPr>
        <w:t>, sentenza 3/11 del 25 luglio 2012; ma v. già la sentenza n. 197 del 22 maggio 1979 e la sentenza n. 1 del 5 aprile 1952).</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5"/>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Le norme censurate, pur perseguendo un obiettivo di rilievo costituzionale, qual è quello della stabilità del governo del Paese e dell’efficienza dei processi decisionali nell’ambito parlamentare, dettano una disciplina che non rispetta il vincolo del minor sacrificio possibile degli altri interessi e valori costituzionalmente protetti, ponendosi in contrasto con gli artt. 1, secondo comma, 3, 48, secondo comma, e 67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xml:space="preserve">. In definitiva, detta disciplina non è proporzionata rispetto all’obiettivo perseguito, posto che determina una compressione della funzione rappresentativa dell’assemblea, nonché dell’eguale diritto di voto, eccessiva e tale da produrre un’alterazione profonda della composizione della rappresentanza democratica, sulla quale si fonda l’intera architettura dell’ordinamento costituzionale vigente.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5"/>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Deve, quindi, essere dichiarata l’illegittimità costituzionale dell’art. 83, comma 1, n. 5, e comma 2, del </w:t>
      </w:r>
      <w:proofErr w:type="spellStart"/>
      <w:r w:rsidRPr="009F772A">
        <w:rPr>
          <w:rFonts w:ascii="Times New Roman" w:eastAsia="Calibri" w:hAnsi="Times New Roman" w:cs="Times New Roman"/>
          <w:sz w:val="24"/>
          <w:szCs w:val="24"/>
          <w:lang w:eastAsia="it-IT"/>
        </w:rPr>
        <w:t>d.P.R.</w:t>
      </w:r>
      <w:proofErr w:type="spellEnd"/>
      <w:r w:rsidRPr="009F772A">
        <w:rPr>
          <w:rFonts w:ascii="Times New Roman" w:eastAsia="Calibri" w:hAnsi="Times New Roman" w:cs="Times New Roman"/>
          <w:sz w:val="24"/>
          <w:szCs w:val="24"/>
          <w:lang w:eastAsia="it-IT"/>
        </w:rPr>
        <w:t xml:space="preserve"> n. 361 del 1957.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4.– Le medesime argomentazioni vanno svolte anche in relazione alle censure sollevate, in relazione agli stessi parametri costituzionali, nei confronti dell’art. 17, commi 2 e 4, del d.lgs. n. 533 del 1993, che disciplina il premio di maggioranza per le elezioni del Senato della Repubblica, prevedendo che l’Ufficio elettorale regionale, qualora la coalizione di liste o la singola lista, che abbiano ottenuto il maggior numero di voti validi espressi nell’àmbito della circoscrizione, non abbiano conseguito almeno il 55 per cento dei seggi assegnati alla regione, assegni alle medesime un numero di seggi ulteriore necessario per raggiungere il 55 per cento dei seggi assegnati alla regione.</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Anche queste norme, nell’attribuire in siffatto modo il premio della maggioranza assoluta, in ambito regionale, alla lista (o coalizione di liste) che abbia ottenuto semplicemente un numero maggiore di voti rispetto alle altre liste, in difetto del raggiungimento di una soglia minima, </w:t>
      </w:r>
      <w:r w:rsidRPr="009F772A">
        <w:rPr>
          <w:rFonts w:ascii="Times New Roman" w:eastAsia="Calibri" w:hAnsi="Times New Roman" w:cs="Times New Roman"/>
          <w:sz w:val="24"/>
          <w:szCs w:val="24"/>
          <w:lang w:eastAsia="it-IT"/>
        </w:rPr>
        <w:lastRenderedPageBreak/>
        <w:t xml:space="preserve">contengono una disciplina manifestamente irragionevole, che comprime la rappresentatività dell’assemblea parlamentare, attraverso la quale si esprime la sovranità popolare, in misura sproporzionata rispetto all’obiettivo perseguito (garantire la stabilità di governo e l’efficienza decisionale del sistema), incidendo anche sull’eguaglianza del voto, in violazione degli artt. 1, secondo comma, 3, 48, secondo comma, e 67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 Nella specie, il test di proporzionalità evidenzia, oltre al difetto di proporzionalità in senso stretto della disciplina censurata, anche l’inidoneità della stessa al raggiungimento dell’obiettivo perseguito, in modo più netto rispetto alla disciplina prevista per l’elezione della Camera dei deputati. Essa, infatti, stabilendo che l’attribuzione del premio di maggioranza è su scala regionale, produce l’effetto che la maggioranza in seno all’assemblea del Senato sia il risultato casuale di una somma di premi regionali, che può finire per rovesciare il risultato ottenuto dalle liste o coalizioni di liste su base nazionale, favorendo la formazione di maggioranze parlamentari non coincidenti nei due rami del Parlamento, pur in presenza di una distribuzione del voto nell’insieme sostanzialmente omogenea. Ciò rischia di compromettere sia il funzionamento della forma di governo parlamentare delineata dalla Costituzione repubblicana, nella quale il Governo deve avere la fiducia delle due Camere (art. 94, primo comma,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xml:space="preserve">.), sia l’esercizio della funzione legislativa, che l’art. 70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xml:space="preserve">. attribuisce collettivamente alla Camera ed al Senato. In definitiva, rischia di vanificare il risultato che si intende conseguire con un’adeguata stabilità della maggioranza parlamentare e del governo. E benché tali profili costituiscano, in larga misura, l’oggetto di scelte politiche riservate al legislatore ordinario, questa Corte ha tuttavia il dovere di verificare se la disciplina legislativa violi manifestamente, come nella specie, i principi di proporzionalità e ragionevolezza e, pertanto, sia lesiva degli artt. 1, secondo comma, 3, 48, secondo comma, e 67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xml:space="preserve">.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Deve, pertanto, dichiararsi l’illegittimità costituzionale dell’art. 17, commi 2 e 4, del d.lgs. n. 533 del 1993.</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5"/>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5.– Occorre, infine, esaminare le censure relative all’art. 4, comma 2, del </w:t>
      </w:r>
      <w:proofErr w:type="spellStart"/>
      <w:r w:rsidRPr="009F772A">
        <w:rPr>
          <w:rFonts w:ascii="Times New Roman" w:eastAsia="Calibri" w:hAnsi="Times New Roman" w:cs="Times New Roman"/>
          <w:sz w:val="24"/>
          <w:szCs w:val="24"/>
          <w:lang w:eastAsia="it-IT"/>
        </w:rPr>
        <w:t>d.P.R.</w:t>
      </w:r>
      <w:proofErr w:type="spellEnd"/>
      <w:r w:rsidRPr="009F772A">
        <w:rPr>
          <w:rFonts w:ascii="Times New Roman" w:eastAsia="Calibri" w:hAnsi="Times New Roman" w:cs="Times New Roman"/>
          <w:sz w:val="24"/>
          <w:szCs w:val="24"/>
          <w:lang w:eastAsia="it-IT"/>
        </w:rPr>
        <w:t xml:space="preserve"> n. 361 del 1957 e, in via consequenziale, all’art. 59, comma 1, del medesimo </w:t>
      </w:r>
      <w:proofErr w:type="spellStart"/>
      <w:r w:rsidRPr="009F772A">
        <w:rPr>
          <w:rFonts w:ascii="Times New Roman" w:eastAsia="Calibri" w:hAnsi="Times New Roman" w:cs="Times New Roman"/>
          <w:sz w:val="24"/>
          <w:szCs w:val="24"/>
          <w:lang w:eastAsia="it-IT"/>
        </w:rPr>
        <w:t>d.P.R.</w:t>
      </w:r>
      <w:proofErr w:type="spellEnd"/>
      <w:r w:rsidRPr="009F772A">
        <w:rPr>
          <w:rFonts w:ascii="Times New Roman" w:eastAsia="Calibri" w:hAnsi="Times New Roman" w:cs="Times New Roman"/>
          <w:sz w:val="24"/>
          <w:szCs w:val="24"/>
          <w:lang w:eastAsia="it-IT"/>
        </w:rPr>
        <w:t xml:space="preserve">, nonché all’art. 14, comma 1, del d.lgs. n. 533 del 1993, nella parte in cui, rispettivamente, prevedono: l’art. 4, comma 2, del </w:t>
      </w:r>
      <w:proofErr w:type="spellStart"/>
      <w:r w:rsidRPr="009F772A">
        <w:rPr>
          <w:rFonts w:ascii="Times New Roman" w:eastAsia="Calibri" w:hAnsi="Times New Roman" w:cs="Times New Roman"/>
          <w:sz w:val="24"/>
          <w:szCs w:val="24"/>
          <w:lang w:eastAsia="it-IT"/>
        </w:rPr>
        <w:t>d.P.R.</w:t>
      </w:r>
      <w:proofErr w:type="spellEnd"/>
      <w:r w:rsidRPr="009F772A">
        <w:rPr>
          <w:rFonts w:ascii="Times New Roman" w:eastAsia="Calibri" w:hAnsi="Times New Roman" w:cs="Times New Roman"/>
          <w:sz w:val="24"/>
          <w:szCs w:val="24"/>
          <w:lang w:eastAsia="it-IT"/>
        </w:rPr>
        <w:t xml:space="preserve"> n. 361 del 1957, che «Ogni elettore dispone di un voto per la scelta della lista ai fini dell’attribuzione dei seggi in ragione proporzionale, da esprimere su un’unica scheda recante il contrassegno di ciascuna lista»; l’art. 59 del medesimo </w:t>
      </w:r>
      <w:proofErr w:type="spellStart"/>
      <w:r w:rsidRPr="009F772A">
        <w:rPr>
          <w:rFonts w:ascii="Times New Roman" w:eastAsia="Calibri" w:hAnsi="Times New Roman" w:cs="Times New Roman"/>
          <w:sz w:val="24"/>
          <w:szCs w:val="24"/>
          <w:lang w:eastAsia="it-IT"/>
        </w:rPr>
        <w:t>d.P.R.</w:t>
      </w:r>
      <w:proofErr w:type="spellEnd"/>
      <w:r w:rsidRPr="009F772A">
        <w:rPr>
          <w:rFonts w:ascii="Times New Roman" w:eastAsia="Calibri" w:hAnsi="Times New Roman" w:cs="Times New Roman"/>
          <w:sz w:val="24"/>
          <w:szCs w:val="24"/>
          <w:lang w:eastAsia="it-IT"/>
        </w:rPr>
        <w:t xml:space="preserve"> n. 361, che «Una scheda valida per la scelta della lista rappresenta un voto di lista»; nonché l’art. 14, comma 1, del d.lgs. n. 533 del 1993, che «Il voto si </w:t>
      </w:r>
      <w:r w:rsidRPr="009F772A">
        <w:rPr>
          <w:rFonts w:ascii="Times New Roman" w:eastAsia="Calibri" w:hAnsi="Times New Roman" w:cs="Times New Roman"/>
          <w:sz w:val="24"/>
          <w:szCs w:val="24"/>
          <w:lang w:eastAsia="it-IT"/>
        </w:rPr>
        <w:lastRenderedPageBreak/>
        <w:t xml:space="preserve">esprime tracciando, con la matita, sulla scheda un solo segno, comunque apposto, sul rettangolo contenente il contrassegno della lista prescelta».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5"/>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Secondo il rimettente, tali disposizioni, non consentendo all’elettore di esprimere alcuna preferenza, ma solo di scegliere una lista di partito, cui è rimessa la designazione e la collocazione in lista di tutti i candidati, renderebbero il voto sostanzialmente “indiretto”, posto che i partiti non possono sostituirsi al corpo elettorale e che l’art. 67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xml:space="preserve">. presuppone l’esistenza di un mandato conferito direttamente dagli elettori. Ciò violerebbe gli artt. 56, primo comma, e 58, primo comma,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xml:space="preserve">., l’art. 117, primo comma,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xml:space="preserve">., in relazione all’art. 3 del protocollo 1 della CEDU, che riconosce al popolo il diritto alla “scelta del corpo legislativo”, e l’art. 49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xml:space="preserve">. Inoltre, sottraendo all’elettore la facoltà di scegliere l’eletto, farebbero sì che il voto non sia né libero, né personale, in violazione dell’art. 48, secondo comma,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5.</w:t>
      </w:r>
      <w:proofErr w:type="gramStart"/>
      <w:r w:rsidRPr="009F772A">
        <w:rPr>
          <w:rFonts w:ascii="Times New Roman" w:eastAsia="Calibri" w:hAnsi="Times New Roman" w:cs="Times New Roman"/>
          <w:sz w:val="24"/>
          <w:szCs w:val="24"/>
          <w:lang w:eastAsia="it-IT"/>
        </w:rPr>
        <w:t>1.–</w:t>
      </w:r>
      <w:proofErr w:type="gramEnd"/>
      <w:r w:rsidRPr="009F772A">
        <w:rPr>
          <w:rFonts w:ascii="Times New Roman" w:eastAsia="Calibri" w:hAnsi="Times New Roman" w:cs="Times New Roman"/>
          <w:sz w:val="24"/>
          <w:szCs w:val="24"/>
          <w:lang w:eastAsia="it-IT"/>
        </w:rPr>
        <w:t xml:space="preserve"> La questione è fondata nei termini di seguito precisati.</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Le norme censurate, concernenti le modalità di espressione del voto per l’elezione dei componenti, rispettivamente, della Camera dei deputati e del Senato della Repubblica, si inseriscono in un contesto normativo in base al quale tale voto avviene per liste concorrenti di candidati (art. 1, comma 1, del </w:t>
      </w:r>
      <w:proofErr w:type="spellStart"/>
      <w:r w:rsidRPr="009F772A">
        <w:rPr>
          <w:rFonts w:ascii="Times New Roman" w:eastAsia="Calibri" w:hAnsi="Times New Roman" w:cs="Times New Roman"/>
          <w:sz w:val="24"/>
          <w:szCs w:val="24"/>
          <w:lang w:eastAsia="it-IT"/>
        </w:rPr>
        <w:t>d.P.R.</w:t>
      </w:r>
      <w:proofErr w:type="spellEnd"/>
      <w:r w:rsidRPr="009F772A">
        <w:rPr>
          <w:rFonts w:ascii="Times New Roman" w:eastAsia="Calibri" w:hAnsi="Times New Roman" w:cs="Times New Roman"/>
          <w:sz w:val="24"/>
          <w:szCs w:val="24"/>
          <w:lang w:eastAsia="it-IT"/>
        </w:rPr>
        <w:t xml:space="preserve"> n. 361 del 1957; art. 1, comma 2, del d.lgs. n. 533 del 1993), presentati «secondo un determinato ordine», in numero «non inferiore a un terzo e non superiore ai seggi assegnati alla circoscrizione» (art. 18-</w:t>
      </w:r>
      <w:r w:rsidRPr="009F772A">
        <w:rPr>
          <w:rFonts w:ascii="Times New Roman" w:eastAsia="Calibri" w:hAnsi="Times New Roman" w:cs="Times New Roman"/>
          <w:i/>
          <w:sz w:val="24"/>
          <w:szCs w:val="24"/>
          <w:lang w:eastAsia="it-IT"/>
        </w:rPr>
        <w:t>bis</w:t>
      </w:r>
      <w:r w:rsidRPr="009F772A">
        <w:rPr>
          <w:rFonts w:ascii="Times New Roman" w:eastAsia="Calibri" w:hAnsi="Times New Roman" w:cs="Times New Roman"/>
          <w:sz w:val="24"/>
          <w:szCs w:val="24"/>
          <w:lang w:eastAsia="it-IT"/>
        </w:rPr>
        <w:t xml:space="preserve">, comma 3, del </w:t>
      </w:r>
      <w:proofErr w:type="spellStart"/>
      <w:r w:rsidRPr="009F772A">
        <w:rPr>
          <w:rFonts w:ascii="Times New Roman" w:eastAsia="Calibri" w:hAnsi="Times New Roman" w:cs="Times New Roman"/>
          <w:sz w:val="24"/>
          <w:szCs w:val="24"/>
          <w:lang w:eastAsia="it-IT"/>
        </w:rPr>
        <w:t>d.P.R.</w:t>
      </w:r>
      <w:proofErr w:type="spellEnd"/>
      <w:r w:rsidRPr="009F772A">
        <w:rPr>
          <w:rFonts w:ascii="Times New Roman" w:eastAsia="Calibri" w:hAnsi="Times New Roman" w:cs="Times New Roman"/>
          <w:sz w:val="24"/>
          <w:szCs w:val="24"/>
          <w:lang w:eastAsia="it-IT"/>
        </w:rPr>
        <w:t xml:space="preserve"> n. 361 del 1957 ed art. 8, comma 4, del d.lgs. n. 533 del 1993). Le circoscrizioni elettorali, la cui disciplina non è investita dalle censure qui esaminate, corrispondono sempre, per il Senato, ai territori delle Regioni (art. 2 del d.lgs. n. 533 del 1993); per la Camera dei deputati (Allegato A alla legge n. 270 del 2005), le circoscrizioni corrispondono ai territori regionali, con l’eccezione delle Regioni di maggiori dimensioni, nelle quali sono presenti due circoscrizioni (Piemonte, Veneto, Lazio, Campania e Sicilia) o tre (Lombardia).</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5"/>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 La ripartizione dei seggi tra le liste concorrenti è, inoltre, effettuata in ragione proporzionale, con l’eventuale attribuzione del premio di maggioranza (art. 1, comma 2, del </w:t>
      </w:r>
      <w:proofErr w:type="spellStart"/>
      <w:r w:rsidRPr="009F772A">
        <w:rPr>
          <w:rFonts w:ascii="Times New Roman" w:eastAsia="Calibri" w:hAnsi="Times New Roman" w:cs="Times New Roman"/>
          <w:sz w:val="24"/>
          <w:szCs w:val="24"/>
          <w:lang w:eastAsia="it-IT"/>
        </w:rPr>
        <w:t>d.P.R.</w:t>
      </w:r>
      <w:proofErr w:type="spellEnd"/>
      <w:r w:rsidRPr="009F772A">
        <w:rPr>
          <w:rFonts w:ascii="Times New Roman" w:eastAsia="Calibri" w:hAnsi="Times New Roman" w:cs="Times New Roman"/>
          <w:sz w:val="24"/>
          <w:szCs w:val="24"/>
          <w:lang w:eastAsia="it-IT"/>
        </w:rPr>
        <w:t xml:space="preserve"> n. 361 del 1957), che è definito, per il Senato, «di coalizione regionale» (art. 1, comma 2, d.lgs. n. 533 del 1993); e sono proclamati «eletti, nei limiti dei seggi ai quali ciascuna lista ha diritto, i candidati compresi nella lista medesima, secondo l’ordine di presentazione» nella lista (art. 84, comma 1, del </w:t>
      </w:r>
      <w:proofErr w:type="spellStart"/>
      <w:r w:rsidRPr="009F772A">
        <w:rPr>
          <w:rFonts w:ascii="Times New Roman" w:eastAsia="Calibri" w:hAnsi="Times New Roman" w:cs="Times New Roman"/>
          <w:sz w:val="24"/>
          <w:szCs w:val="24"/>
          <w:lang w:eastAsia="it-IT"/>
        </w:rPr>
        <w:t>d.P.R.</w:t>
      </w:r>
      <w:proofErr w:type="spellEnd"/>
      <w:r w:rsidRPr="009F772A">
        <w:rPr>
          <w:rFonts w:ascii="Times New Roman" w:eastAsia="Calibri" w:hAnsi="Times New Roman" w:cs="Times New Roman"/>
          <w:sz w:val="24"/>
          <w:szCs w:val="24"/>
          <w:lang w:eastAsia="it-IT"/>
        </w:rPr>
        <w:t xml:space="preserve"> n. 361 del 1957 ed art. 17, comma 7, del d.lgs. n. 533 del 1993).</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In questo quadro, le disposizioni censurate, nello stabilire che il voto espresso dall’elettore, destinato a determinare per intero la composizione della Camera e del Senato, è un voto per la scelta </w:t>
      </w:r>
      <w:r w:rsidRPr="009F772A">
        <w:rPr>
          <w:rFonts w:ascii="Times New Roman" w:eastAsia="Calibri" w:hAnsi="Times New Roman" w:cs="Times New Roman"/>
          <w:sz w:val="24"/>
          <w:szCs w:val="24"/>
          <w:lang w:eastAsia="it-IT"/>
        </w:rPr>
        <w:lastRenderedPageBreak/>
        <w:t>della lista, escludono ogni facoltà dell’elettore di incidere sull’elezione dei propri rappresentanti, la quale dipende, oltre che, ovviamente, dal numero dei seggi ottenuti dalla lista di appartenenza, dall’ordine di presentazione dei candidati nella stessa, ordine di presentazione che è sostanzialmente deciso dai partiti. La scelta dell’elettore, in altri termini, si traduce in un voto di preferenza esclusivamente per la lista, che – in quanto presentata in circoscrizioni elettorali molto ampie, come si è rilevato – contiene un numero assai elevato di candidati, che può corrispondere all’intero numero dei seggi assegnati alla circoscrizione, e li rende, di conseguenza, difficilmente conoscibili dall’elettore stesso.</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Una simile disciplina priva l’elettore di ogni margine di scelta dei propri rappresentanti, scelta che è totalmente rimessa ai partiti. A tal proposito, questa Corte ha chiarito che «le funzioni attribuite ai partiti politici dalla legge ordinaria al fine di eleggere le assemblee – quali la “presentazione di alternative elettorali” e la “selezione dei candidati alle cariche elettive pubbliche” – non consentono di desumere l’esistenza di attribuzioni costituzionali, ma costituiscono il modo in cui il legislatore ordinario ha ritenuto di raccordare il diritto, costituzionalmente riconosciuto ai cittadini, di associarsi in una pluralità di partiti con la rappresentanza politica, necessaria per concorrere nell’ambito del procedimento elettorale, e trovano solo un fondamento nello stesso art. 49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w:t>
      </w:r>
      <w:hyperlink r:id="rId39" w:history="1">
        <w:r w:rsidRPr="009F772A">
          <w:rPr>
            <w:rFonts w:ascii="Times New Roman" w:eastAsia="Times New Roman" w:hAnsi="Times New Roman" w:cs="Times New Roman"/>
            <w:color w:val="0000FF"/>
            <w:sz w:val="24"/>
            <w:szCs w:val="24"/>
            <w:u w:val="single"/>
            <w:lang w:eastAsia="it-IT"/>
          </w:rPr>
          <w:t>ordinanza n. 79 del 2006</w:t>
        </w:r>
      </w:hyperlink>
      <w:r w:rsidRPr="009F772A">
        <w:rPr>
          <w:rFonts w:ascii="Times New Roman" w:eastAsia="Calibri" w:hAnsi="Times New Roman" w:cs="Times New Roman"/>
          <w:sz w:val="24"/>
          <w:szCs w:val="24"/>
          <w:lang w:eastAsia="it-IT"/>
        </w:rPr>
        <w:t xml:space="preserve">). Simili funzioni devono, quindi, essere preordinate ad agevolare la partecipazione alla vita politica dei cittadini ed alla realizzazione di linee programmatiche che le formazioni politiche sottopongono al corpo elettorale, al fine di consentire una scelta più chiara e consapevole anche in riferimento ai candidati.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Sulla base di analoghi argomenti, questa Corte si è già espressa, sia pure con riferimento al sistema elettorale vigente nel 1975 per i Comuni al di sotto dei 5.000 abitanti, contraddistinto anche esso dalla ripartizione dei seggi in ragione proporzionale fra liste concorrenti di candidati. In quella occasione, la Corte ha affermato che la circostanza che il legislatore abbia lasciato ai partiti il compito di indicare l’ordine di presentazione delle candidature non lede in alcun modo la libertà di voto del cittadino: a condizione che quest’ultimo sia «pur sempre libero e garantito nella sua manifestazione di volontà, sia nella scelta del raggruppamento che concorre alle elezioni, sia nel votare questo o quel candidato incluso nella lista prescelta, attraverso il voto di preferenza» (</w:t>
      </w:r>
      <w:hyperlink r:id="rId40" w:history="1">
        <w:r w:rsidRPr="009F772A">
          <w:rPr>
            <w:rFonts w:ascii="Times New Roman" w:eastAsia="Times New Roman" w:hAnsi="Times New Roman" w:cs="Times New Roman"/>
            <w:color w:val="0000FF"/>
            <w:sz w:val="24"/>
            <w:szCs w:val="24"/>
            <w:u w:val="single"/>
            <w:lang w:eastAsia="it-IT"/>
          </w:rPr>
          <w:t>sentenza n. 203 del 1975</w:t>
        </w:r>
      </w:hyperlink>
      <w:r w:rsidRPr="009F772A">
        <w:rPr>
          <w:rFonts w:ascii="Times New Roman" w:eastAsia="Calibri" w:hAnsi="Times New Roman" w:cs="Times New Roman"/>
          <w:sz w:val="24"/>
          <w:szCs w:val="24"/>
          <w:lang w:eastAsia="it-IT"/>
        </w:rPr>
        <w:t>).</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Nella specie, tale libertà risulta compromessa, posto che il cittadino è chiamato a determinare l’elezione di tutti i deputati e di tutti senatori, votando un elenco spesso assai lungo (nelle circoscrizioni più popolose) di candidati, che difficilmente conosce. Questi, invero, sono individuati sulla base di scelte operate dai partiti, che si riflettono nell’ordine di presentazione, sì che anche </w:t>
      </w:r>
      <w:r w:rsidRPr="009F772A">
        <w:rPr>
          <w:rFonts w:ascii="Times New Roman" w:eastAsia="Calibri" w:hAnsi="Times New Roman" w:cs="Times New Roman"/>
          <w:sz w:val="24"/>
          <w:szCs w:val="24"/>
          <w:lang w:eastAsia="it-IT"/>
        </w:rPr>
        <w:lastRenderedPageBreak/>
        <w:t xml:space="preserve">l’aspettativa relativa all’elezione in riferimento allo stesso ordine di lista può essere delusa, tenuto conto della possibilità di candidature multiple e della facoltà dell’eletto di optare per altre circoscrizioni sulla base delle indicazioni del partito.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426"/>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In definitiva, è la circostanza che alla totalità dei parlamentari eletti, senza alcuna eccezione, manca il sostegno della indicazione personale dei cittadini, che ferisce la logica della rappresentanza consegnata nella Costituzione. Simili condizioni di voto, che impongono al cittadino, scegliendo una lista, di scegliere in blocco anche tutti i numerosi candidati in essa elencati, che non ha avuto modo di conoscere e valutare e che sono automaticamente destinati, in ragione della posizione in lista, a diventare deputati o senatori, rendono la disciplina in esame non comparabile né con altri sistemi caratterizzati da liste bloccate solo per una parte dei seggi, né con altri caratterizzati da circoscrizioni elettorali di dimensioni territorialmente ridotte, nelle quali il numero dei candidati da eleggere sia talmente esiguo da garantire l’effettiva conoscibilità degli stessi e con essa l’effettività della scelta e la libertà del voto (al pari di quanto accade nel caso dei collegi uninominali).</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397"/>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Le condizioni stabilite dalle norme censurate sono, viceversa, tali da alterare per l’intero complesso dei parlamentari il rapporto di rappresentanza fra elettori ed eletti. Anzi, impedendo che esso si costituisca correttamente e direttamente, coartano la libertà di scelta degli elettori nell’elezione dei propri rappresentanti in Parlamento, che costituisce una delle principali espressioni della sovranità popolare, e pertanto contraddicono il principio democratico, incidendo sulla stessa libertà del voto di cui all’art. 48 </w:t>
      </w:r>
      <w:proofErr w:type="spellStart"/>
      <w:r w:rsidRPr="009F772A">
        <w:rPr>
          <w:rFonts w:ascii="Times New Roman" w:eastAsia="Calibri" w:hAnsi="Times New Roman" w:cs="Times New Roman"/>
          <w:sz w:val="24"/>
          <w:szCs w:val="24"/>
          <w:lang w:eastAsia="it-IT"/>
        </w:rPr>
        <w:t>Cost</w:t>
      </w:r>
      <w:proofErr w:type="spellEnd"/>
      <w:r w:rsidRPr="009F772A">
        <w:rPr>
          <w:rFonts w:ascii="Times New Roman" w:eastAsia="Calibri" w:hAnsi="Times New Roman" w:cs="Times New Roman"/>
          <w:sz w:val="24"/>
          <w:szCs w:val="24"/>
          <w:lang w:eastAsia="it-IT"/>
        </w:rPr>
        <w:t>. (</w:t>
      </w:r>
      <w:hyperlink r:id="rId41" w:history="1">
        <w:r w:rsidRPr="009F772A">
          <w:rPr>
            <w:rFonts w:ascii="Times New Roman" w:eastAsia="Times New Roman" w:hAnsi="Times New Roman" w:cs="Times New Roman"/>
            <w:color w:val="0000FF"/>
            <w:sz w:val="24"/>
            <w:szCs w:val="24"/>
            <w:u w:val="single"/>
            <w:lang w:eastAsia="it-IT"/>
          </w:rPr>
          <w:t>sentenza n. 16 del 1978</w:t>
        </w:r>
      </w:hyperlink>
      <w:r w:rsidRPr="009F772A">
        <w:rPr>
          <w:rFonts w:ascii="Times New Roman" w:eastAsia="Calibri" w:hAnsi="Times New Roman" w:cs="Times New Roman"/>
          <w:sz w:val="24"/>
          <w:szCs w:val="24"/>
          <w:lang w:eastAsia="it-IT"/>
        </w:rPr>
        <w:t>).</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397"/>
        <w:jc w:val="both"/>
        <w:rPr>
          <w:rFonts w:ascii="Times New Roman" w:eastAsia="Times New Roman" w:hAnsi="Times New Roman" w:cs="Times New Roman"/>
          <w:sz w:val="24"/>
          <w:szCs w:val="24"/>
          <w:lang w:eastAsia="it-IT"/>
        </w:rPr>
      </w:pPr>
      <w:r w:rsidRPr="009F772A">
        <w:rPr>
          <w:rFonts w:ascii="Times New Roman" w:eastAsia="Calibri" w:hAnsi="Times New Roman" w:cs="Times New Roman"/>
          <w:sz w:val="24"/>
          <w:szCs w:val="24"/>
          <w:lang w:eastAsia="it-IT"/>
        </w:rPr>
        <w:t xml:space="preserve">Deve, pertanto, essere dichiarata l’illegittimità costituzionale degli artt. 4, comma 2, e 59 del </w:t>
      </w:r>
      <w:proofErr w:type="spellStart"/>
      <w:r w:rsidRPr="009F772A">
        <w:rPr>
          <w:rFonts w:ascii="Times New Roman" w:eastAsia="Calibri" w:hAnsi="Times New Roman" w:cs="Times New Roman"/>
          <w:sz w:val="24"/>
          <w:szCs w:val="24"/>
          <w:lang w:eastAsia="it-IT"/>
        </w:rPr>
        <w:t>d.P.R.</w:t>
      </w:r>
      <w:proofErr w:type="spellEnd"/>
      <w:r w:rsidRPr="009F772A">
        <w:rPr>
          <w:rFonts w:ascii="Times New Roman" w:eastAsia="Calibri" w:hAnsi="Times New Roman" w:cs="Times New Roman"/>
          <w:sz w:val="24"/>
          <w:szCs w:val="24"/>
          <w:lang w:eastAsia="it-IT"/>
        </w:rPr>
        <w:t xml:space="preserve"> n. 361 del 1957, nonché dell’art. 14, comma 1, del d.lgs. n. 533 del 1993, nella parte in cui non consentono all’elettore di esprimere una preferenza per i candidati, al fine di determinarne l’elezione.</w:t>
      </w:r>
      <w:r w:rsidRPr="009F772A">
        <w:rPr>
          <w:rFonts w:ascii="Times New Roman" w:eastAsia="Calibri" w:hAnsi="Times New Roman" w:cs="Times New Roman"/>
          <w:b/>
          <w:sz w:val="40"/>
          <w:szCs w:val="40"/>
          <w:lang w:eastAsia="it-IT"/>
        </w:rPr>
        <w:t>]</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397"/>
        <w:jc w:val="both"/>
        <w:rPr>
          <w:rFonts w:ascii="Times New Roman" w:eastAsia="Times New Roman" w:hAnsi="Times New Roman" w:cs="Times New Roman"/>
          <w:sz w:val="24"/>
          <w:szCs w:val="24"/>
          <w:u w:val="single"/>
          <w:lang w:eastAsia="it-IT"/>
        </w:rPr>
      </w:pPr>
      <w:r w:rsidRPr="009F772A">
        <w:rPr>
          <w:rFonts w:ascii="Times New Roman" w:eastAsia="Times New Roman" w:hAnsi="Times New Roman" w:cs="Times New Roman"/>
          <w:sz w:val="24"/>
          <w:szCs w:val="24"/>
          <w:lang w:eastAsia="it-IT"/>
        </w:rPr>
        <w:t>6</w:t>
      </w:r>
      <w:r w:rsidRPr="009F772A">
        <w:rPr>
          <w:rFonts w:ascii="Times New Roman" w:eastAsia="Times New Roman" w:hAnsi="Times New Roman" w:cs="Times New Roman"/>
          <w:sz w:val="24"/>
          <w:szCs w:val="24"/>
          <w:u w:val="single"/>
          <w:lang w:eastAsia="it-IT"/>
        </w:rPr>
        <w:t xml:space="preserve">.– La normativa che resta in vigore per effetto della dichiarata illegittimità costituzionale delle disposizioni oggetto delle questioni sollevate dalla Corte di cassazione è «complessivamente idonea a garantire il rinnovo, in ogni momento, dell’organo costituzionale elettivo», così come richiesto dalla costante giurisprudenza di questa Corte (da ultimo, </w:t>
      </w:r>
      <w:hyperlink r:id="rId42" w:history="1">
        <w:r w:rsidRPr="009F772A">
          <w:rPr>
            <w:rFonts w:ascii="Times New Roman" w:eastAsia="Times New Roman" w:hAnsi="Times New Roman" w:cs="Times New Roman"/>
            <w:color w:val="0000FF"/>
            <w:sz w:val="24"/>
            <w:szCs w:val="24"/>
            <w:u w:val="single"/>
            <w:lang w:eastAsia="it-IT"/>
          </w:rPr>
          <w:t>sentenza n. 13 del 2012</w:t>
        </w:r>
      </w:hyperlink>
      <w:r w:rsidRPr="009F772A">
        <w:rPr>
          <w:rFonts w:ascii="Times New Roman" w:eastAsia="Times New Roman" w:hAnsi="Times New Roman" w:cs="Times New Roman"/>
          <w:sz w:val="24"/>
          <w:szCs w:val="24"/>
          <w:u w:val="single"/>
          <w:lang w:eastAsia="it-IT"/>
        </w:rPr>
        <w:t>). Le leggi elettorali sono, infatti, “costituzionalmente necessarie”, in quanto «indispensabili per assicurare il funzionamento e la continuità degli organi costituzionali» (</w:t>
      </w:r>
      <w:hyperlink r:id="rId43" w:history="1">
        <w:r w:rsidRPr="009F772A">
          <w:rPr>
            <w:rFonts w:ascii="Times New Roman" w:eastAsia="Times New Roman" w:hAnsi="Times New Roman" w:cs="Times New Roman"/>
            <w:color w:val="0000FF"/>
            <w:sz w:val="24"/>
            <w:szCs w:val="24"/>
            <w:u w:val="single"/>
            <w:lang w:eastAsia="it-IT"/>
          </w:rPr>
          <w:t>sentenza n. 13 del 2012</w:t>
        </w:r>
      </w:hyperlink>
      <w:r w:rsidRPr="009F772A">
        <w:rPr>
          <w:rFonts w:ascii="Times New Roman" w:eastAsia="Times New Roman" w:hAnsi="Times New Roman" w:cs="Times New Roman"/>
          <w:sz w:val="24"/>
          <w:szCs w:val="24"/>
          <w:u w:val="single"/>
          <w:lang w:eastAsia="it-IT"/>
        </w:rPr>
        <w:t xml:space="preserve">; analogamente, sentenze </w:t>
      </w:r>
      <w:hyperlink r:id="rId44" w:history="1">
        <w:r w:rsidRPr="009F772A">
          <w:rPr>
            <w:rFonts w:ascii="Times New Roman" w:eastAsia="Times New Roman" w:hAnsi="Times New Roman" w:cs="Times New Roman"/>
            <w:color w:val="0000FF"/>
            <w:sz w:val="24"/>
            <w:szCs w:val="24"/>
            <w:u w:val="single"/>
            <w:lang w:eastAsia="it-IT"/>
          </w:rPr>
          <w:t>n. 15</w:t>
        </w:r>
      </w:hyperlink>
      <w:r w:rsidRPr="009F772A">
        <w:rPr>
          <w:rFonts w:ascii="Times New Roman" w:eastAsia="Times New Roman" w:hAnsi="Times New Roman" w:cs="Times New Roman"/>
          <w:sz w:val="24"/>
          <w:szCs w:val="24"/>
          <w:u w:val="single"/>
          <w:lang w:eastAsia="it-IT"/>
        </w:rPr>
        <w:t xml:space="preserve"> e </w:t>
      </w:r>
      <w:hyperlink r:id="rId45" w:history="1">
        <w:r w:rsidRPr="009F772A">
          <w:rPr>
            <w:rFonts w:ascii="Times New Roman" w:eastAsia="Times New Roman" w:hAnsi="Times New Roman" w:cs="Times New Roman"/>
            <w:color w:val="0000FF"/>
            <w:sz w:val="24"/>
            <w:szCs w:val="24"/>
            <w:u w:val="single"/>
            <w:lang w:eastAsia="it-IT"/>
          </w:rPr>
          <w:t>n. 16 del 2008</w:t>
        </w:r>
      </w:hyperlink>
      <w:r w:rsidRPr="009F772A">
        <w:rPr>
          <w:rFonts w:ascii="Times New Roman" w:eastAsia="Times New Roman" w:hAnsi="Times New Roman" w:cs="Times New Roman"/>
          <w:sz w:val="24"/>
          <w:szCs w:val="24"/>
          <w:u w:val="single"/>
          <w:lang w:eastAsia="it-IT"/>
        </w:rPr>
        <w:t xml:space="preserve">, </w:t>
      </w:r>
      <w:hyperlink r:id="rId46" w:history="1">
        <w:r w:rsidRPr="009F772A">
          <w:rPr>
            <w:rFonts w:ascii="Times New Roman" w:eastAsia="Times New Roman" w:hAnsi="Times New Roman" w:cs="Times New Roman"/>
            <w:color w:val="0000FF"/>
            <w:sz w:val="24"/>
            <w:szCs w:val="24"/>
            <w:u w:val="single"/>
            <w:lang w:eastAsia="it-IT"/>
          </w:rPr>
          <w:t>n. 13 del 1999</w:t>
        </w:r>
      </w:hyperlink>
      <w:r w:rsidRPr="009F772A">
        <w:rPr>
          <w:rFonts w:ascii="Times New Roman" w:eastAsia="Times New Roman" w:hAnsi="Times New Roman" w:cs="Times New Roman"/>
          <w:sz w:val="24"/>
          <w:szCs w:val="24"/>
          <w:u w:val="single"/>
          <w:lang w:eastAsia="it-IT"/>
        </w:rPr>
        <w:t xml:space="preserve">, </w:t>
      </w:r>
      <w:hyperlink r:id="rId47" w:history="1">
        <w:r w:rsidRPr="009F772A">
          <w:rPr>
            <w:rFonts w:ascii="Times New Roman" w:eastAsia="Times New Roman" w:hAnsi="Times New Roman" w:cs="Times New Roman"/>
            <w:color w:val="0000FF"/>
            <w:sz w:val="24"/>
            <w:szCs w:val="24"/>
            <w:u w:val="single"/>
            <w:lang w:eastAsia="it-IT"/>
          </w:rPr>
          <w:t>n. 26 del 1997</w:t>
        </w:r>
      </w:hyperlink>
      <w:r w:rsidRPr="009F772A">
        <w:rPr>
          <w:rFonts w:ascii="Times New Roman" w:eastAsia="Times New Roman" w:hAnsi="Times New Roman" w:cs="Times New Roman"/>
          <w:sz w:val="24"/>
          <w:szCs w:val="24"/>
          <w:u w:val="single"/>
          <w:lang w:eastAsia="it-IT"/>
        </w:rPr>
        <w:t xml:space="preserve">, </w:t>
      </w:r>
      <w:hyperlink r:id="rId48" w:history="1">
        <w:r w:rsidRPr="009F772A">
          <w:rPr>
            <w:rFonts w:ascii="Times New Roman" w:eastAsia="Times New Roman" w:hAnsi="Times New Roman" w:cs="Times New Roman"/>
            <w:color w:val="0000FF"/>
            <w:sz w:val="24"/>
            <w:szCs w:val="24"/>
            <w:u w:val="single"/>
            <w:lang w:eastAsia="it-IT"/>
          </w:rPr>
          <w:t>n. 5 del 1995</w:t>
        </w:r>
      </w:hyperlink>
      <w:r w:rsidRPr="009F772A">
        <w:rPr>
          <w:rFonts w:ascii="Times New Roman" w:eastAsia="Times New Roman" w:hAnsi="Times New Roman" w:cs="Times New Roman"/>
          <w:sz w:val="24"/>
          <w:szCs w:val="24"/>
          <w:u w:val="single"/>
          <w:lang w:eastAsia="it-IT"/>
        </w:rPr>
        <w:t xml:space="preserve">, </w:t>
      </w:r>
      <w:hyperlink r:id="rId49" w:history="1">
        <w:r w:rsidRPr="009F772A">
          <w:rPr>
            <w:rFonts w:ascii="Times New Roman" w:eastAsia="Times New Roman" w:hAnsi="Times New Roman" w:cs="Times New Roman"/>
            <w:color w:val="0000FF"/>
            <w:sz w:val="24"/>
            <w:szCs w:val="24"/>
            <w:u w:val="single"/>
            <w:lang w:eastAsia="it-IT"/>
          </w:rPr>
          <w:t>n. 32 del 1993</w:t>
        </w:r>
      </w:hyperlink>
      <w:r w:rsidRPr="009F772A">
        <w:rPr>
          <w:rFonts w:ascii="Times New Roman" w:eastAsia="Times New Roman" w:hAnsi="Times New Roman" w:cs="Times New Roman"/>
          <w:sz w:val="24"/>
          <w:szCs w:val="24"/>
          <w:u w:val="single"/>
          <w:lang w:eastAsia="it-IT"/>
        </w:rPr>
        <w:t xml:space="preserve">, </w:t>
      </w:r>
      <w:hyperlink r:id="rId50" w:history="1">
        <w:r w:rsidRPr="009F772A">
          <w:rPr>
            <w:rFonts w:ascii="Times New Roman" w:eastAsia="Times New Roman" w:hAnsi="Times New Roman" w:cs="Times New Roman"/>
            <w:color w:val="0000FF"/>
            <w:sz w:val="24"/>
            <w:szCs w:val="24"/>
            <w:u w:val="single"/>
            <w:lang w:eastAsia="it-IT"/>
          </w:rPr>
          <w:t>n. 47 del 1991</w:t>
        </w:r>
      </w:hyperlink>
      <w:r w:rsidRPr="009F772A">
        <w:rPr>
          <w:rFonts w:ascii="Times New Roman" w:eastAsia="Times New Roman" w:hAnsi="Times New Roman" w:cs="Times New Roman"/>
          <w:sz w:val="24"/>
          <w:szCs w:val="24"/>
          <w:u w:val="single"/>
          <w:lang w:eastAsia="it-IT"/>
        </w:rPr>
        <w:t xml:space="preserve">, </w:t>
      </w:r>
      <w:hyperlink r:id="rId51" w:history="1">
        <w:r w:rsidRPr="009F772A">
          <w:rPr>
            <w:rFonts w:ascii="Times New Roman" w:eastAsia="Times New Roman" w:hAnsi="Times New Roman" w:cs="Times New Roman"/>
            <w:color w:val="0000FF"/>
            <w:sz w:val="24"/>
            <w:szCs w:val="24"/>
            <w:u w:val="single"/>
            <w:lang w:eastAsia="it-IT"/>
          </w:rPr>
          <w:t xml:space="preserve">n. 29 del </w:t>
        </w:r>
        <w:r w:rsidRPr="009F772A">
          <w:rPr>
            <w:rFonts w:ascii="Times New Roman" w:eastAsia="Times New Roman" w:hAnsi="Times New Roman" w:cs="Times New Roman"/>
            <w:color w:val="0000FF"/>
            <w:sz w:val="24"/>
            <w:szCs w:val="24"/>
            <w:u w:val="single"/>
            <w:lang w:eastAsia="it-IT"/>
          </w:rPr>
          <w:lastRenderedPageBreak/>
          <w:t>1987</w:t>
        </w:r>
      </w:hyperlink>
      <w:r w:rsidRPr="009F772A">
        <w:rPr>
          <w:rFonts w:ascii="Times New Roman" w:eastAsia="Times New Roman" w:hAnsi="Times New Roman" w:cs="Times New Roman"/>
          <w:sz w:val="24"/>
          <w:szCs w:val="24"/>
          <w:u w:val="single"/>
          <w:lang w:eastAsia="it-IT"/>
        </w:rPr>
        <w:t xml:space="preserve">), dovendosi inoltre scongiurare l’eventualità di «paralizzare il potere di scioglimento del Presidente della Repubblica previsto dall’art. 88 </w:t>
      </w:r>
      <w:proofErr w:type="spellStart"/>
      <w:r w:rsidRPr="009F772A">
        <w:rPr>
          <w:rFonts w:ascii="Times New Roman" w:eastAsia="Times New Roman" w:hAnsi="Times New Roman" w:cs="Times New Roman"/>
          <w:sz w:val="24"/>
          <w:szCs w:val="24"/>
          <w:u w:val="single"/>
          <w:lang w:eastAsia="it-IT"/>
        </w:rPr>
        <w:t>Cost</w:t>
      </w:r>
      <w:proofErr w:type="spellEnd"/>
      <w:r w:rsidRPr="009F772A">
        <w:rPr>
          <w:rFonts w:ascii="Times New Roman" w:eastAsia="Times New Roman" w:hAnsi="Times New Roman" w:cs="Times New Roman"/>
          <w:sz w:val="24"/>
          <w:szCs w:val="24"/>
          <w:u w:val="single"/>
          <w:lang w:eastAsia="it-IT"/>
        </w:rPr>
        <w:t>.» (</w:t>
      </w:r>
      <w:hyperlink r:id="rId52" w:history="1">
        <w:r w:rsidRPr="009F772A">
          <w:rPr>
            <w:rFonts w:ascii="Times New Roman" w:eastAsia="Times New Roman" w:hAnsi="Times New Roman" w:cs="Times New Roman"/>
            <w:color w:val="0000FF"/>
            <w:sz w:val="24"/>
            <w:szCs w:val="24"/>
            <w:u w:val="single"/>
            <w:lang w:eastAsia="it-IT"/>
          </w:rPr>
          <w:t>sentenza n. 13 del 2012</w:t>
        </w:r>
      </w:hyperlink>
      <w:r w:rsidRPr="009F772A">
        <w:rPr>
          <w:rFonts w:ascii="Times New Roman" w:eastAsia="Times New Roman" w:hAnsi="Times New Roman" w:cs="Times New Roman"/>
          <w:sz w:val="24"/>
          <w:szCs w:val="24"/>
          <w:u w:val="single"/>
          <w:lang w:eastAsia="it-IT"/>
        </w:rPr>
        <w:t>).</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397"/>
        <w:jc w:val="both"/>
        <w:rPr>
          <w:rFonts w:ascii="Times New Roman" w:eastAsia="Times New Roman" w:hAnsi="Times New Roman" w:cs="Times New Roman"/>
          <w:sz w:val="24"/>
          <w:szCs w:val="24"/>
          <w:lang w:eastAsia="it-IT"/>
        </w:rPr>
      </w:pPr>
      <w:r w:rsidRPr="009F772A">
        <w:rPr>
          <w:rFonts w:ascii="Times New Roman" w:eastAsia="Times New Roman" w:hAnsi="Times New Roman" w:cs="Times New Roman"/>
          <w:sz w:val="24"/>
          <w:szCs w:val="24"/>
          <w:lang w:eastAsia="it-IT"/>
        </w:rPr>
        <w:t xml:space="preserve"> In particolare, la normativa che rimane in vigore stabilisce un meccanismo di trasformazione dei voti in seggi che consente l’attribuzione di tutti i seggi, in relazione a circoscrizioni elettorali che rimangono immutate, sia per la Camera che per il Senato. Ciò che resta, invero, è precisamente il meccanismo in ragione proporzionale delineato dall’art. 1 del </w:t>
      </w:r>
      <w:proofErr w:type="spellStart"/>
      <w:r w:rsidRPr="009F772A">
        <w:rPr>
          <w:rFonts w:ascii="Times New Roman" w:eastAsia="Times New Roman" w:hAnsi="Times New Roman" w:cs="Times New Roman"/>
          <w:sz w:val="24"/>
          <w:szCs w:val="24"/>
          <w:lang w:eastAsia="it-IT"/>
        </w:rPr>
        <w:t>d.P.R.</w:t>
      </w:r>
      <w:proofErr w:type="spellEnd"/>
      <w:r w:rsidRPr="009F772A">
        <w:rPr>
          <w:rFonts w:ascii="Times New Roman" w:eastAsia="Times New Roman" w:hAnsi="Times New Roman" w:cs="Times New Roman"/>
          <w:sz w:val="24"/>
          <w:szCs w:val="24"/>
          <w:lang w:eastAsia="it-IT"/>
        </w:rPr>
        <w:t xml:space="preserve"> n. 361 del 1957 e dall’art. 1 del d.lgs. n. 533 del 1993, depurato dell’attribuzione del premio di maggioranza; e le norme censurate riguardanti l’espressione del voto risultano integrate in modo da consentire un voto di preferenza. Non rientra tra i compiti di questa Corte valutare l’opportunità e/o l’efficacia di tale meccanismo, spettando ad essa solo di verificare la conformità alla Costituzione delle specifiche norme censurate e la possibilità immediata di procedere ad elezioni con la restante normativa, condizione, quest’ultima, connessa alla natura della legge elettorale di «legge costituzionalmente necessaria» (</w:t>
      </w:r>
      <w:hyperlink r:id="rId53" w:history="1">
        <w:r w:rsidRPr="009F772A">
          <w:rPr>
            <w:rFonts w:ascii="Times New Roman" w:eastAsia="Times New Roman" w:hAnsi="Times New Roman" w:cs="Times New Roman"/>
            <w:color w:val="0000FF"/>
            <w:sz w:val="24"/>
            <w:szCs w:val="24"/>
            <w:u w:val="single"/>
            <w:lang w:eastAsia="it-IT"/>
          </w:rPr>
          <w:t>sentenza n. 32 del 1993</w:t>
        </w:r>
      </w:hyperlink>
      <w:r w:rsidRPr="009F772A">
        <w:rPr>
          <w:rFonts w:ascii="Times New Roman" w:eastAsia="Times New Roman" w:hAnsi="Times New Roman" w:cs="Times New Roman"/>
          <w:sz w:val="24"/>
          <w:szCs w:val="24"/>
          <w:lang w:eastAsia="it-IT"/>
        </w:rPr>
        <w:t xml:space="preserve">). D’altra parte, la rimettente Corte di cassazione aveva significativamente puntualizzato che «la proposta questione di legittimità costituzionale non mira a far caducare l’intera legge n. 270/2005 né a sostituirla con un’altra eterogenea </w:t>
      </w:r>
      <w:proofErr w:type="spellStart"/>
      <w:r w:rsidRPr="009F772A">
        <w:rPr>
          <w:rFonts w:ascii="Times New Roman" w:eastAsia="Times New Roman" w:hAnsi="Times New Roman" w:cs="Times New Roman"/>
          <w:sz w:val="24"/>
          <w:szCs w:val="24"/>
          <w:lang w:eastAsia="it-IT"/>
        </w:rPr>
        <w:t>impingendo</w:t>
      </w:r>
      <w:proofErr w:type="spellEnd"/>
      <w:r w:rsidRPr="009F772A">
        <w:rPr>
          <w:rFonts w:ascii="Times New Roman" w:eastAsia="Times New Roman" w:hAnsi="Times New Roman" w:cs="Times New Roman"/>
          <w:sz w:val="24"/>
          <w:szCs w:val="24"/>
          <w:lang w:eastAsia="it-IT"/>
        </w:rPr>
        <w:t xml:space="preserve"> nella discrezionalità del legislatore, ma a ripristinare nella legge elettorale contenuti costituzionalmente obbligati (concernenti la disciplina del premio di maggioranza e delle preferenze), senza compromettere la permanente idoneità del sistema elettorale a garantire il rinnovo degli organi costituzionali», fatta salva «l’eventualità che si renda necessaria un’opera di mera cosmesi normativa e di ripulitura del testo per la presenza di frammenti normativi residui, che può essere realizzata dalla Corte costituzionale, avvalendosi dei poteri che ha a disposizione».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397"/>
        <w:jc w:val="both"/>
        <w:rPr>
          <w:rFonts w:ascii="Times New Roman" w:eastAsia="Times New Roman" w:hAnsi="Times New Roman" w:cs="Times New Roman"/>
          <w:sz w:val="24"/>
          <w:szCs w:val="24"/>
          <w:lang w:eastAsia="it-IT"/>
        </w:rPr>
      </w:pPr>
      <w:r w:rsidRPr="009F772A">
        <w:rPr>
          <w:rFonts w:ascii="Times New Roman" w:eastAsia="Times New Roman" w:hAnsi="Times New Roman" w:cs="Times New Roman"/>
          <w:sz w:val="24"/>
          <w:szCs w:val="24"/>
          <w:lang w:eastAsia="it-IT"/>
        </w:rPr>
        <w:t xml:space="preserve">La presente decisione non può andare al di là di quanto ipotizzato e richiesto dal giudice rimettente.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397"/>
        <w:jc w:val="both"/>
        <w:rPr>
          <w:rFonts w:ascii="Times New Roman" w:eastAsia="Times New Roman" w:hAnsi="Times New Roman" w:cs="Times New Roman"/>
          <w:sz w:val="24"/>
          <w:szCs w:val="24"/>
          <w:lang w:eastAsia="it-IT"/>
        </w:rPr>
      </w:pPr>
      <w:r w:rsidRPr="009F772A">
        <w:rPr>
          <w:rFonts w:ascii="Times New Roman" w:eastAsia="Times New Roman" w:hAnsi="Times New Roman" w:cs="Times New Roman"/>
          <w:sz w:val="24"/>
          <w:szCs w:val="24"/>
          <w:lang w:eastAsia="it-IT"/>
        </w:rPr>
        <w:t>Per quanto riguarda la possibilità per l’elettore di esprimere un voto di preferenza, eventuali apparenti inconvenienti, che comunque «non incidono sull’operatività del sistema elettorale, né paralizzano la funzionalità dell’organo» (</w:t>
      </w:r>
      <w:hyperlink r:id="rId54" w:history="1">
        <w:r w:rsidRPr="009F772A">
          <w:rPr>
            <w:rFonts w:ascii="Times New Roman" w:eastAsia="Times New Roman" w:hAnsi="Times New Roman" w:cs="Times New Roman"/>
            <w:color w:val="0000FF"/>
            <w:sz w:val="24"/>
            <w:szCs w:val="24"/>
            <w:u w:val="single"/>
            <w:lang w:eastAsia="it-IT"/>
          </w:rPr>
          <w:t>sentenza n. 32 del 1993</w:t>
        </w:r>
      </w:hyperlink>
      <w:r w:rsidRPr="009F772A">
        <w:rPr>
          <w:rFonts w:ascii="Times New Roman" w:eastAsia="Times New Roman" w:hAnsi="Times New Roman" w:cs="Times New Roman"/>
          <w:sz w:val="24"/>
          <w:szCs w:val="24"/>
          <w:lang w:eastAsia="it-IT"/>
        </w:rPr>
        <w:t xml:space="preserve">), possono essere risolti mediante l’impiego degli ordinari criteri d’interpretazione, alla luce di una rilettura delle norme già vigenti coerente con la pronuncia di questa Corte: come, ad esempio, con riferimento alle previsioni, di cui agli artt. 84, comma 1, del </w:t>
      </w:r>
      <w:proofErr w:type="spellStart"/>
      <w:r w:rsidRPr="009F772A">
        <w:rPr>
          <w:rFonts w:ascii="Times New Roman" w:eastAsia="Times New Roman" w:hAnsi="Times New Roman" w:cs="Times New Roman"/>
          <w:sz w:val="24"/>
          <w:szCs w:val="24"/>
          <w:lang w:eastAsia="it-IT"/>
        </w:rPr>
        <w:t>d.P.R.</w:t>
      </w:r>
      <w:proofErr w:type="spellEnd"/>
      <w:r w:rsidRPr="009F772A">
        <w:rPr>
          <w:rFonts w:ascii="Times New Roman" w:eastAsia="Times New Roman" w:hAnsi="Times New Roman" w:cs="Times New Roman"/>
          <w:sz w:val="24"/>
          <w:szCs w:val="24"/>
          <w:lang w:eastAsia="it-IT"/>
        </w:rPr>
        <w:t xml:space="preserve"> n. 361 del 1957, e 17, comma 7, del d.lgs. n. 533 del 1993, </w:t>
      </w:r>
      <w:r w:rsidRPr="009F772A">
        <w:rPr>
          <w:rFonts w:ascii="Times New Roman" w:eastAsia="Times New Roman" w:hAnsi="Times New Roman" w:cs="Times New Roman"/>
          <w:color w:val="000000"/>
          <w:sz w:val="24"/>
          <w:szCs w:val="24"/>
          <w:lang w:eastAsia="it-IT"/>
        </w:rPr>
        <w:t xml:space="preserve">che, nella parte in cui stabiliscono che sono proclamati eletti, nei limiti dei seggi ai quali ciascuna lista ha diritto, i candidati compresi nella lista medesima «secondo l’ordine di presentazione», non appaiono incompatibili con l’introduzione del voto di preferenza, dovendosi ritenere l’ordine di lista operante </w:t>
      </w:r>
      <w:r w:rsidRPr="009F772A">
        <w:rPr>
          <w:rFonts w:ascii="Times New Roman" w:eastAsia="Times New Roman" w:hAnsi="Times New Roman" w:cs="Times New Roman"/>
          <w:color w:val="000000"/>
          <w:sz w:val="24"/>
          <w:szCs w:val="24"/>
          <w:lang w:eastAsia="it-IT"/>
        </w:rPr>
        <w:lastRenderedPageBreak/>
        <w:t>solo in assenza di espressione della preferenza;</w:t>
      </w:r>
      <w:r w:rsidRPr="009F772A">
        <w:rPr>
          <w:rFonts w:ascii="Times New Roman" w:eastAsia="Times New Roman" w:hAnsi="Times New Roman" w:cs="Times New Roman"/>
          <w:sz w:val="24"/>
          <w:szCs w:val="24"/>
          <w:lang w:eastAsia="it-IT"/>
        </w:rPr>
        <w:t xml:space="preserve"> o, ancora, con riguardo alle modalità di redazione delle schede elettorali di cui all’art. 31 del </w:t>
      </w:r>
      <w:proofErr w:type="spellStart"/>
      <w:r w:rsidRPr="009F772A">
        <w:rPr>
          <w:rFonts w:ascii="Times New Roman" w:eastAsia="Times New Roman" w:hAnsi="Times New Roman" w:cs="Times New Roman"/>
          <w:sz w:val="24"/>
          <w:szCs w:val="24"/>
          <w:lang w:eastAsia="it-IT"/>
        </w:rPr>
        <w:t>d.P.R.</w:t>
      </w:r>
      <w:proofErr w:type="spellEnd"/>
      <w:r w:rsidRPr="009F772A">
        <w:rPr>
          <w:rFonts w:ascii="Times New Roman" w:eastAsia="Times New Roman" w:hAnsi="Times New Roman" w:cs="Times New Roman"/>
          <w:sz w:val="24"/>
          <w:szCs w:val="24"/>
          <w:lang w:eastAsia="it-IT"/>
        </w:rPr>
        <w:t xml:space="preserve"> n. 361 del 1957 ed all’art. 11, comma 3, del </w:t>
      </w:r>
      <w:proofErr w:type="spellStart"/>
      <w:r w:rsidRPr="009F772A">
        <w:rPr>
          <w:rFonts w:ascii="Times New Roman" w:eastAsia="Times New Roman" w:hAnsi="Times New Roman" w:cs="Times New Roman"/>
          <w:sz w:val="24"/>
          <w:szCs w:val="24"/>
          <w:lang w:eastAsia="it-IT"/>
        </w:rPr>
        <w:t>d.lgs</w:t>
      </w:r>
      <w:proofErr w:type="spellEnd"/>
      <w:r w:rsidRPr="009F772A">
        <w:rPr>
          <w:rFonts w:ascii="Times New Roman" w:eastAsia="Times New Roman" w:hAnsi="Times New Roman" w:cs="Times New Roman"/>
          <w:sz w:val="24"/>
          <w:szCs w:val="24"/>
          <w:lang w:eastAsia="it-IT"/>
        </w:rPr>
        <w:t xml:space="preserve"> n. 533 del 1993, che, nello stabilire che nella scheda devono essere riprodotti i contrassegni di tutte le liste regolarmente presentate nella circoscrizione, secondo il fac-simile di cui agli allegati, non escludono che quegli schemi siano integrati da uno spazio per l’espressione della preferenza; o, quanto alla possibilità di intendere l’espressione della preferenza come preferenza unica, in linea con quanto risultante dal referendum del 1991, ammesso con </w:t>
      </w:r>
      <w:hyperlink r:id="rId55" w:history="1">
        <w:r w:rsidRPr="009F772A">
          <w:rPr>
            <w:rFonts w:ascii="Times New Roman" w:eastAsia="Times New Roman" w:hAnsi="Times New Roman" w:cs="Times New Roman"/>
            <w:color w:val="0000FF"/>
            <w:sz w:val="24"/>
            <w:szCs w:val="24"/>
            <w:u w:val="single"/>
            <w:lang w:eastAsia="it-IT"/>
          </w:rPr>
          <w:t>sentenza n. 47 del 1991</w:t>
        </w:r>
      </w:hyperlink>
      <w:r w:rsidRPr="009F772A">
        <w:rPr>
          <w:rFonts w:ascii="Times New Roman" w:eastAsia="Times New Roman" w:hAnsi="Times New Roman" w:cs="Times New Roman"/>
          <w:sz w:val="24"/>
          <w:szCs w:val="24"/>
          <w:lang w:eastAsia="it-IT"/>
        </w:rPr>
        <w:t>, in relazione alle formule elettorali proporzionali. Simili eventuali inconvenienti potranno, d’altro canto, essere rimossi anche mediante interventi normativi secondari, meramente tecnici ed applicativi della presente pronuncia e delle soluzioni interpretative sopra indicate. Resta fermo ovviamente, che lo stesso legislatore ordinario, ove lo ritenga, «potrà correggere, modificare o integrare la disciplina residua» (</w:t>
      </w:r>
      <w:hyperlink r:id="rId56" w:history="1">
        <w:r w:rsidRPr="009F772A">
          <w:rPr>
            <w:rFonts w:ascii="Times New Roman" w:eastAsia="Times New Roman" w:hAnsi="Times New Roman" w:cs="Times New Roman"/>
            <w:color w:val="0000FF"/>
            <w:sz w:val="24"/>
            <w:szCs w:val="24"/>
            <w:u w:val="single"/>
            <w:lang w:eastAsia="it-IT"/>
          </w:rPr>
          <w:t>sentenza n. 32 del 1993</w:t>
        </w:r>
      </w:hyperlink>
      <w:r w:rsidRPr="009F772A">
        <w:rPr>
          <w:rFonts w:ascii="Times New Roman" w:eastAsia="Times New Roman" w:hAnsi="Times New Roman" w:cs="Times New Roman"/>
          <w:sz w:val="24"/>
          <w:szCs w:val="24"/>
          <w:lang w:eastAsia="it-IT"/>
        </w:rPr>
        <w:t xml:space="preserve">).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397"/>
        <w:jc w:val="both"/>
        <w:rPr>
          <w:rFonts w:ascii="Times New Roman" w:eastAsia="Times New Roman" w:hAnsi="Times New Roman" w:cs="Times New Roman"/>
          <w:sz w:val="24"/>
          <w:szCs w:val="24"/>
          <w:u w:val="single"/>
          <w:lang w:eastAsia="it-IT"/>
        </w:rPr>
      </w:pPr>
      <w:r w:rsidRPr="009F772A">
        <w:rPr>
          <w:rFonts w:ascii="Times New Roman" w:eastAsia="Times New Roman" w:hAnsi="Times New Roman" w:cs="Times New Roman"/>
          <w:sz w:val="24"/>
          <w:szCs w:val="24"/>
          <w:lang w:eastAsia="it-IT"/>
        </w:rPr>
        <w:t xml:space="preserve">7.– </w:t>
      </w:r>
      <w:r w:rsidRPr="009F772A">
        <w:rPr>
          <w:rFonts w:ascii="Times New Roman" w:eastAsia="Times New Roman" w:hAnsi="Times New Roman" w:cs="Times New Roman"/>
          <w:sz w:val="24"/>
          <w:szCs w:val="24"/>
          <w:u w:val="single"/>
          <w:lang w:eastAsia="it-IT"/>
        </w:rPr>
        <w:t xml:space="preserve">È evidente, infine, che la decisione che si assume, di annullamento delle norme censurate, avendo modificato </w:t>
      </w:r>
      <w:r w:rsidRPr="009F772A">
        <w:rPr>
          <w:rFonts w:ascii="Times New Roman" w:eastAsia="Times New Roman" w:hAnsi="Times New Roman" w:cs="Times New Roman"/>
          <w:i/>
          <w:sz w:val="24"/>
          <w:szCs w:val="24"/>
          <w:u w:val="single"/>
          <w:lang w:eastAsia="it-IT"/>
        </w:rPr>
        <w:t>in parte qua</w:t>
      </w:r>
      <w:r w:rsidRPr="009F772A">
        <w:rPr>
          <w:rFonts w:ascii="Times New Roman" w:eastAsia="Times New Roman" w:hAnsi="Times New Roman" w:cs="Times New Roman"/>
          <w:sz w:val="24"/>
          <w:szCs w:val="24"/>
          <w:u w:val="single"/>
          <w:lang w:eastAsia="it-IT"/>
        </w:rPr>
        <w:t xml:space="preserve"> la normativa che disciplina le elezioni per la Camera e per il Senato, produrrà i suoi effetti esclusivamente in occasione di una nuova consultazione elettorale, consultazione che si dovrà effettuare o secondo le regole contenute nella normativa che resta in vigore a seguito della presente decisione, ovvero secondo la nuova normativa elettorale eventualmente adottata dalle Camere.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397"/>
        <w:jc w:val="both"/>
        <w:rPr>
          <w:rFonts w:ascii="Times New Roman" w:eastAsia="Times New Roman" w:hAnsi="Times New Roman" w:cs="Times New Roman"/>
          <w:b/>
          <w:sz w:val="24"/>
          <w:szCs w:val="24"/>
          <w:lang w:eastAsia="it-IT"/>
        </w:rPr>
      </w:pPr>
      <w:r w:rsidRPr="009F772A">
        <w:rPr>
          <w:rFonts w:ascii="Times New Roman" w:eastAsia="Times New Roman" w:hAnsi="Times New Roman" w:cs="Times New Roman"/>
          <w:b/>
          <w:sz w:val="24"/>
          <w:szCs w:val="24"/>
          <w:lang w:eastAsia="it-IT"/>
        </w:rPr>
        <w:t xml:space="preserve">Essa, pertanto, non tocca in alcun modo gli atti posti in essere in conseguenza di quanto stabilito durante il vigore delle norme annullate, compresi gli esiti delle elezioni svoltesi e gli atti adottati dal Parlamento eletto. Vale appena ricordare che il principio secondo il quale gli effetti delle sentenze di accoglimento di questa Corte, alla stregua dell’art. 136 </w:t>
      </w:r>
      <w:proofErr w:type="spellStart"/>
      <w:r w:rsidRPr="009F772A">
        <w:rPr>
          <w:rFonts w:ascii="Times New Roman" w:eastAsia="Times New Roman" w:hAnsi="Times New Roman" w:cs="Times New Roman"/>
          <w:b/>
          <w:sz w:val="24"/>
          <w:szCs w:val="24"/>
          <w:lang w:eastAsia="it-IT"/>
        </w:rPr>
        <w:t>Cost</w:t>
      </w:r>
      <w:proofErr w:type="spellEnd"/>
      <w:r w:rsidRPr="009F772A">
        <w:rPr>
          <w:rFonts w:ascii="Times New Roman" w:eastAsia="Times New Roman" w:hAnsi="Times New Roman" w:cs="Times New Roman"/>
          <w:b/>
          <w:sz w:val="24"/>
          <w:szCs w:val="24"/>
          <w:lang w:eastAsia="it-IT"/>
        </w:rPr>
        <w:t>. e dell’art. 30 della legge n. 87 del 1953, risalgono fino al momento di entrata in vigore della norma annullata, principio «che suole essere enunciato con il ricorso alla formula della c.d. “retroattività” di dette sentenze, vale però soltanto per i rapporti tuttora pendenti, con conseguente esclusione di quelli esauriti, i quali rimangono regolati dalla legge dichiarata invalida» (</w:t>
      </w:r>
      <w:hyperlink r:id="rId57" w:history="1">
        <w:r w:rsidRPr="009F772A">
          <w:rPr>
            <w:rFonts w:ascii="Times New Roman" w:eastAsia="Times New Roman" w:hAnsi="Times New Roman" w:cs="Times New Roman"/>
            <w:b/>
            <w:color w:val="0000FF"/>
            <w:sz w:val="24"/>
            <w:szCs w:val="24"/>
            <w:u w:val="single"/>
            <w:lang w:eastAsia="it-IT"/>
          </w:rPr>
          <w:t>sentenza n. 139 del 1984</w:t>
        </w:r>
      </w:hyperlink>
      <w:r w:rsidRPr="009F772A">
        <w:rPr>
          <w:rFonts w:ascii="Times New Roman" w:eastAsia="Times New Roman" w:hAnsi="Times New Roman" w:cs="Times New Roman"/>
          <w:b/>
          <w:sz w:val="24"/>
          <w:szCs w:val="24"/>
          <w:lang w:eastAsia="it-IT"/>
        </w:rPr>
        <w:t xml:space="preserve">).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397"/>
        <w:jc w:val="both"/>
        <w:rPr>
          <w:rFonts w:ascii="Times New Roman" w:eastAsia="Times New Roman" w:hAnsi="Times New Roman" w:cs="Times New Roman"/>
          <w:b/>
          <w:sz w:val="24"/>
          <w:szCs w:val="24"/>
          <w:lang w:eastAsia="it-IT"/>
        </w:rPr>
      </w:pPr>
      <w:r w:rsidRPr="009F772A">
        <w:rPr>
          <w:rFonts w:ascii="Times New Roman" w:eastAsia="Times New Roman" w:hAnsi="Times New Roman" w:cs="Times New Roman"/>
          <w:b/>
          <w:sz w:val="24"/>
          <w:szCs w:val="24"/>
          <w:lang w:eastAsia="it-IT"/>
        </w:rPr>
        <w:t xml:space="preserve">Le elezioni che si sono svolte in applicazione anche delle norme elettorali dichiarate costituzionalmente illegittime costituiscono, in definitiva, e con ogni evidenza, un fatto concluso, posto che il processo di composizione delle Camere si compie con la proclamazione degli eletti. </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397"/>
        <w:jc w:val="both"/>
        <w:rPr>
          <w:rFonts w:ascii="Times New Roman" w:eastAsia="Times New Roman" w:hAnsi="Times New Roman" w:cs="Times New Roman"/>
          <w:b/>
          <w:sz w:val="24"/>
          <w:szCs w:val="24"/>
          <w:lang w:eastAsia="it-IT"/>
        </w:rPr>
      </w:pPr>
      <w:r w:rsidRPr="009F772A">
        <w:rPr>
          <w:rFonts w:ascii="Times New Roman" w:eastAsia="Times New Roman" w:hAnsi="Times New Roman" w:cs="Times New Roman"/>
          <w:b/>
          <w:sz w:val="24"/>
          <w:szCs w:val="24"/>
          <w:lang w:eastAsia="it-IT"/>
        </w:rPr>
        <w:t>Del pari, non sono riguardati gli atti che le Camere adotteranno prima che si svolgano nuove consultazioni elettorali.</w:t>
      </w:r>
    </w:p>
    <w:p w:rsidR="009F772A" w:rsidRPr="009F772A" w:rsidRDefault="009F772A" w:rsidP="009F7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0" w:beforeAutospacing="1" w:after="100" w:afterAutospacing="1" w:line="360" w:lineRule="auto"/>
        <w:ind w:firstLine="426"/>
        <w:jc w:val="both"/>
        <w:rPr>
          <w:rFonts w:ascii="Times New Roman" w:eastAsia="Times New Roman" w:hAnsi="Times New Roman" w:cs="Times New Roman"/>
          <w:b/>
          <w:sz w:val="24"/>
          <w:szCs w:val="24"/>
          <w:lang w:eastAsia="it-IT"/>
        </w:rPr>
      </w:pPr>
      <w:r w:rsidRPr="009F772A">
        <w:rPr>
          <w:rFonts w:ascii="Times New Roman" w:eastAsia="Calibri" w:hAnsi="Times New Roman" w:cs="Times New Roman"/>
          <w:b/>
          <w:sz w:val="24"/>
          <w:szCs w:val="24"/>
          <w:lang w:eastAsia="it-IT"/>
        </w:rPr>
        <w:lastRenderedPageBreak/>
        <w:t xml:space="preserve">Rileva nella specie il principio fondamentale della continuità dello Stato, che non è un’astrazione e dunque si realizza in concreto attraverso la continuità in particolare dei suoi organi costituzionali: di tutti gli organi costituzionali, a cominciare dal Parlamento. È pertanto fuori di ogni ragionevole dubbio – è appena il caso di ribadirlo – che nessuna incidenza è in grado di spiegare la presente decisione neppure con riferimento agli atti che le Camere adotteranno prima di nuove consultazioni elettorali: le Camere sono organi costituzionalmente necessari ed indefettibili e non possono in alcun momento cessare di esistere o perdere la capacità di deliberare. Tanto ciò è vero che, proprio al fine di assicurare la continuità dello Stato, è la stessa Costituzione a prevedere, ad esempio, a seguito delle elezioni, la </w:t>
      </w:r>
      <w:proofErr w:type="spellStart"/>
      <w:r w:rsidRPr="009F772A">
        <w:rPr>
          <w:rFonts w:ascii="Times New Roman" w:eastAsia="Calibri" w:hAnsi="Times New Roman" w:cs="Times New Roman"/>
          <w:b/>
          <w:i/>
          <w:sz w:val="24"/>
          <w:szCs w:val="24"/>
          <w:lang w:eastAsia="it-IT"/>
        </w:rPr>
        <w:t>prorogatio</w:t>
      </w:r>
      <w:proofErr w:type="spellEnd"/>
      <w:r w:rsidRPr="009F772A">
        <w:rPr>
          <w:rFonts w:ascii="Times New Roman" w:eastAsia="Calibri" w:hAnsi="Times New Roman" w:cs="Times New Roman"/>
          <w:b/>
          <w:i/>
          <w:sz w:val="24"/>
          <w:szCs w:val="24"/>
          <w:lang w:eastAsia="it-IT"/>
        </w:rPr>
        <w:t xml:space="preserve"> </w:t>
      </w:r>
      <w:r w:rsidRPr="009F772A">
        <w:rPr>
          <w:rFonts w:ascii="Times New Roman" w:eastAsia="Calibri" w:hAnsi="Times New Roman" w:cs="Times New Roman"/>
          <w:b/>
          <w:sz w:val="24"/>
          <w:szCs w:val="24"/>
          <w:lang w:eastAsia="it-IT"/>
        </w:rPr>
        <w:t>dei poteri delle Camere precedenti «</w:t>
      </w:r>
      <w:proofErr w:type="spellStart"/>
      <w:r w:rsidRPr="009F772A">
        <w:rPr>
          <w:rFonts w:ascii="Times New Roman" w:eastAsia="Calibri" w:hAnsi="Times New Roman" w:cs="Times New Roman"/>
          <w:b/>
          <w:sz w:val="24"/>
          <w:szCs w:val="24"/>
          <w:lang w:eastAsia="it-IT"/>
        </w:rPr>
        <w:t>finchè</w:t>
      </w:r>
      <w:proofErr w:type="spellEnd"/>
      <w:r w:rsidRPr="009F772A">
        <w:rPr>
          <w:rFonts w:ascii="Times New Roman" w:eastAsia="Calibri" w:hAnsi="Times New Roman" w:cs="Times New Roman"/>
          <w:b/>
          <w:sz w:val="24"/>
          <w:szCs w:val="24"/>
          <w:lang w:eastAsia="it-IT"/>
        </w:rPr>
        <w:t xml:space="preserve"> non siano riunite le nuove Camere» (art. 61 </w:t>
      </w:r>
      <w:proofErr w:type="spellStart"/>
      <w:r w:rsidRPr="009F772A">
        <w:rPr>
          <w:rFonts w:ascii="Times New Roman" w:eastAsia="Calibri" w:hAnsi="Times New Roman" w:cs="Times New Roman"/>
          <w:b/>
          <w:sz w:val="24"/>
          <w:szCs w:val="24"/>
          <w:lang w:eastAsia="it-IT"/>
        </w:rPr>
        <w:t>Cost</w:t>
      </w:r>
      <w:proofErr w:type="spellEnd"/>
      <w:r w:rsidRPr="009F772A">
        <w:rPr>
          <w:rFonts w:ascii="Times New Roman" w:eastAsia="Calibri" w:hAnsi="Times New Roman" w:cs="Times New Roman"/>
          <w:b/>
          <w:sz w:val="24"/>
          <w:szCs w:val="24"/>
          <w:lang w:eastAsia="it-IT"/>
        </w:rPr>
        <w:t xml:space="preserve">.), come anche a prescrivere che le Camere, «anche se sciolte, sono appositamente convocate e si riuniscono entro cinque giorni» per la conversione in legge di </w:t>
      </w:r>
      <w:proofErr w:type="spellStart"/>
      <w:r w:rsidRPr="009F772A">
        <w:rPr>
          <w:rFonts w:ascii="Times New Roman" w:eastAsia="Calibri" w:hAnsi="Times New Roman" w:cs="Times New Roman"/>
          <w:b/>
          <w:sz w:val="24"/>
          <w:szCs w:val="24"/>
          <w:lang w:eastAsia="it-IT"/>
        </w:rPr>
        <w:t>decreti-legge</w:t>
      </w:r>
      <w:proofErr w:type="spellEnd"/>
      <w:r w:rsidRPr="009F772A">
        <w:rPr>
          <w:rFonts w:ascii="Times New Roman" w:eastAsia="Calibri" w:hAnsi="Times New Roman" w:cs="Times New Roman"/>
          <w:b/>
          <w:sz w:val="24"/>
          <w:szCs w:val="24"/>
          <w:lang w:eastAsia="it-IT"/>
        </w:rPr>
        <w:t xml:space="preserve"> adottati dal Governo (art. 77, secondo comma, </w:t>
      </w:r>
      <w:proofErr w:type="spellStart"/>
      <w:r w:rsidRPr="009F772A">
        <w:rPr>
          <w:rFonts w:ascii="Times New Roman" w:eastAsia="Calibri" w:hAnsi="Times New Roman" w:cs="Times New Roman"/>
          <w:b/>
          <w:sz w:val="24"/>
          <w:szCs w:val="24"/>
          <w:lang w:eastAsia="it-IT"/>
        </w:rPr>
        <w:t>Cost</w:t>
      </w:r>
      <w:proofErr w:type="spellEnd"/>
      <w:r w:rsidRPr="009F772A">
        <w:rPr>
          <w:rFonts w:ascii="Times New Roman" w:eastAsia="Calibri" w:hAnsi="Times New Roman" w:cs="Times New Roman"/>
          <w:b/>
          <w:sz w:val="24"/>
          <w:szCs w:val="24"/>
          <w:lang w:eastAsia="it-IT"/>
        </w:rPr>
        <w:t>.).</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397"/>
        <w:jc w:val="center"/>
        <w:rPr>
          <w:rFonts w:ascii="Times New Roman" w:eastAsia="Times New Roman" w:hAnsi="Times New Roman" w:cs="Times New Roman"/>
          <w:sz w:val="24"/>
          <w:szCs w:val="24"/>
          <w:lang w:eastAsia="it-IT"/>
        </w:rPr>
      </w:pPr>
      <w:r w:rsidRPr="009F772A">
        <w:rPr>
          <w:rFonts w:ascii="Times New Roman" w:eastAsia="Times New Roman" w:hAnsi="Times New Roman" w:cs="Times New Roman"/>
          <w:smallCaps/>
          <w:sz w:val="20"/>
          <w:szCs w:val="24"/>
          <w:lang w:eastAsia="it-IT"/>
        </w:rPr>
        <w:t>PER QUESTI MOTIVI</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397"/>
        <w:jc w:val="center"/>
        <w:rPr>
          <w:rFonts w:ascii="Times New Roman" w:eastAsia="Times New Roman" w:hAnsi="Times New Roman" w:cs="Times New Roman"/>
          <w:sz w:val="24"/>
          <w:szCs w:val="24"/>
          <w:lang w:eastAsia="it-IT"/>
        </w:rPr>
      </w:pPr>
      <w:r w:rsidRPr="009F772A">
        <w:rPr>
          <w:rFonts w:ascii="Times New Roman" w:eastAsia="Times New Roman" w:hAnsi="Times New Roman" w:cs="Times New Roman"/>
          <w:sz w:val="24"/>
          <w:szCs w:val="24"/>
          <w:lang w:eastAsia="it-IT"/>
        </w:rPr>
        <w:t>LA CORTE COSTITUZIONALE</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397"/>
        <w:jc w:val="both"/>
        <w:rPr>
          <w:rFonts w:ascii="Times New Roman" w:eastAsia="Times New Roman" w:hAnsi="Times New Roman" w:cs="Times New Roman"/>
          <w:sz w:val="24"/>
          <w:szCs w:val="24"/>
          <w:lang w:eastAsia="it-IT"/>
        </w:rPr>
      </w:pPr>
      <w:r w:rsidRPr="009F772A">
        <w:rPr>
          <w:rFonts w:ascii="Times New Roman" w:eastAsia="Times New Roman" w:hAnsi="Times New Roman" w:cs="Times New Roman"/>
          <w:sz w:val="24"/>
          <w:szCs w:val="24"/>
          <w:lang w:eastAsia="it-IT"/>
        </w:rPr>
        <w:t xml:space="preserve">1) </w:t>
      </w:r>
      <w:r w:rsidRPr="009F772A">
        <w:rPr>
          <w:rFonts w:ascii="Times New Roman" w:eastAsia="Times New Roman" w:hAnsi="Times New Roman" w:cs="Times New Roman"/>
          <w:i/>
          <w:sz w:val="24"/>
          <w:szCs w:val="24"/>
          <w:lang w:eastAsia="it-IT"/>
        </w:rPr>
        <w:t>dichiara</w:t>
      </w:r>
      <w:r w:rsidRPr="009F772A">
        <w:rPr>
          <w:rFonts w:ascii="Times New Roman" w:eastAsia="Times New Roman" w:hAnsi="Times New Roman" w:cs="Times New Roman"/>
          <w:sz w:val="24"/>
          <w:szCs w:val="24"/>
          <w:lang w:eastAsia="it-IT"/>
        </w:rPr>
        <w:t xml:space="preserve"> l’illegittimità costituzionale dell’art. 83, comma 1, n. 5, e comma 2, del </w:t>
      </w:r>
      <w:proofErr w:type="spellStart"/>
      <w:r w:rsidRPr="009F772A">
        <w:rPr>
          <w:rFonts w:ascii="Times New Roman" w:eastAsia="Times New Roman" w:hAnsi="Times New Roman" w:cs="Times New Roman"/>
          <w:sz w:val="24"/>
          <w:szCs w:val="24"/>
          <w:lang w:eastAsia="it-IT"/>
        </w:rPr>
        <w:t>d.P.R.</w:t>
      </w:r>
      <w:proofErr w:type="spellEnd"/>
      <w:r w:rsidRPr="009F772A">
        <w:rPr>
          <w:rFonts w:ascii="Times New Roman" w:eastAsia="Times New Roman" w:hAnsi="Times New Roman" w:cs="Times New Roman"/>
          <w:sz w:val="24"/>
          <w:szCs w:val="24"/>
          <w:lang w:eastAsia="it-IT"/>
        </w:rPr>
        <w:t xml:space="preserve"> 30 marzo 1957 n. 361 (Approvazione del testo unico delle leggi recanti norme per la elezione della Camera dei deputati);</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397"/>
        <w:jc w:val="both"/>
        <w:rPr>
          <w:rFonts w:ascii="Times New Roman" w:eastAsia="Times New Roman" w:hAnsi="Times New Roman" w:cs="Times New Roman"/>
          <w:sz w:val="24"/>
          <w:szCs w:val="24"/>
          <w:lang w:eastAsia="it-IT"/>
        </w:rPr>
      </w:pPr>
      <w:r w:rsidRPr="009F772A">
        <w:rPr>
          <w:rFonts w:ascii="Times New Roman" w:eastAsia="Times New Roman" w:hAnsi="Times New Roman" w:cs="Times New Roman"/>
          <w:sz w:val="24"/>
          <w:szCs w:val="24"/>
          <w:lang w:eastAsia="it-IT"/>
        </w:rPr>
        <w:t xml:space="preserve">2) </w:t>
      </w:r>
      <w:r w:rsidRPr="009F772A">
        <w:rPr>
          <w:rFonts w:ascii="Times New Roman" w:eastAsia="Times New Roman" w:hAnsi="Times New Roman" w:cs="Times New Roman"/>
          <w:i/>
          <w:sz w:val="24"/>
          <w:szCs w:val="24"/>
          <w:lang w:eastAsia="it-IT"/>
        </w:rPr>
        <w:t xml:space="preserve">dichiara </w:t>
      </w:r>
      <w:r w:rsidRPr="009F772A">
        <w:rPr>
          <w:rFonts w:ascii="Times New Roman" w:eastAsia="Times New Roman" w:hAnsi="Times New Roman" w:cs="Times New Roman"/>
          <w:sz w:val="24"/>
          <w:szCs w:val="24"/>
          <w:lang w:eastAsia="it-IT"/>
        </w:rPr>
        <w:t>l’illegittimità costituzionale dell’art. 17, commi 2 e 4, del decreto legislativo 20 dicembre 1993, n. 533 (Testo unico delle leggi recanti norme per l’elezione del Senato della Repubblica);</w:t>
      </w:r>
    </w:p>
    <w:p w:rsidR="009F772A" w:rsidRPr="009F772A" w:rsidRDefault="009F772A" w:rsidP="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397"/>
        <w:jc w:val="both"/>
        <w:rPr>
          <w:rFonts w:ascii="Times New Roman" w:eastAsia="Times New Roman" w:hAnsi="Times New Roman" w:cs="Times New Roman"/>
          <w:sz w:val="24"/>
          <w:szCs w:val="24"/>
          <w:lang w:eastAsia="it-IT"/>
        </w:rPr>
      </w:pPr>
      <w:r w:rsidRPr="009F772A">
        <w:rPr>
          <w:rFonts w:ascii="Times New Roman" w:eastAsia="Times New Roman" w:hAnsi="Times New Roman" w:cs="Times New Roman"/>
          <w:sz w:val="24"/>
          <w:szCs w:val="24"/>
          <w:lang w:eastAsia="it-IT"/>
        </w:rPr>
        <w:t xml:space="preserve">3) </w:t>
      </w:r>
      <w:r w:rsidRPr="009F772A">
        <w:rPr>
          <w:rFonts w:ascii="Times New Roman" w:eastAsia="Times New Roman" w:hAnsi="Times New Roman" w:cs="Times New Roman"/>
          <w:i/>
          <w:sz w:val="24"/>
          <w:szCs w:val="24"/>
          <w:lang w:eastAsia="it-IT"/>
        </w:rPr>
        <w:t xml:space="preserve">dichiara </w:t>
      </w:r>
      <w:r w:rsidRPr="009F772A">
        <w:rPr>
          <w:rFonts w:ascii="Times New Roman" w:eastAsia="Times New Roman" w:hAnsi="Times New Roman" w:cs="Times New Roman"/>
          <w:sz w:val="24"/>
          <w:szCs w:val="24"/>
          <w:lang w:eastAsia="it-IT"/>
        </w:rPr>
        <w:t xml:space="preserve">l’illegittimità costituzionale degli artt. 4, comma 2, e 59 del </w:t>
      </w:r>
      <w:proofErr w:type="spellStart"/>
      <w:r w:rsidRPr="009F772A">
        <w:rPr>
          <w:rFonts w:ascii="Times New Roman" w:eastAsia="Times New Roman" w:hAnsi="Times New Roman" w:cs="Times New Roman"/>
          <w:sz w:val="24"/>
          <w:szCs w:val="24"/>
          <w:lang w:eastAsia="it-IT"/>
        </w:rPr>
        <w:t>d.P.R.</w:t>
      </w:r>
      <w:proofErr w:type="spellEnd"/>
      <w:r w:rsidRPr="009F772A">
        <w:rPr>
          <w:rFonts w:ascii="Times New Roman" w:eastAsia="Times New Roman" w:hAnsi="Times New Roman" w:cs="Times New Roman"/>
          <w:sz w:val="24"/>
          <w:szCs w:val="24"/>
          <w:lang w:eastAsia="it-IT"/>
        </w:rPr>
        <w:t xml:space="preserve"> n. 361 del 1957, nonché dell’art. 14, comma 1, del d.lgs. n. 533 del 1993, nella parte in cui non consentono all’elettore di esprimere una preferenza per i candidati.</w:t>
      </w:r>
      <w:bookmarkStart w:id="0" w:name="_GoBack"/>
      <w:bookmarkEnd w:id="0"/>
    </w:p>
    <w:sectPr w:rsidR="009F772A" w:rsidRPr="009F77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12"/>
    <w:rsid w:val="00176365"/>
    <w:rsid w:val="00401608"/>
    <w:rsid w:val="00454A12"/>
    <w:rsid w:val="009F7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7977"/>
  <w15:chartTrackingRefBased/>
  <w15:docId w15:val="{7EFF0E5A-9FB2-46E2-A343-D827B639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9F772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pelle">
    <w:name w:val="spelle"/>
    <w:basedOn w:val="Carpredefinitoparagrafo"/>
    <w:rsid w:val="009F772A"/>
  </w:style>
  <w:style w:type="character" w:styleId="Collegamentoipertestuale">
    <w:name w:val="Hyperlink"/>
    <w:basedOn w:val="Carpredefinitoparagrafo"/>
    <w:uiPriority w:val="99"/>
    <w:semiHidden/>
    <w:unhideWhenUsed/>
    <w:rsid w:val="009F772A"/>
  </w:style>
  <w:style w:type="character" w:styleId="Collegamentovisitato">
    <w:name w:val="FollowedHyperlink"/>
    <w:basedOn w:val="Carpredefinitoparagrafo"/>
    <w:uiPriority w:val="99"/>
    <w:semiHidden/>
    <w:unhideWhenUsed/>
    <w:rsid w:val="009F772A"/>
    <w:rPr>
      <w:color w:val="800080"/>
      <w:u w:val="single"/>
    </w:rPr>
  </w:style>
  <w:style w:type="character" w:customStyle="1" w:styleId="grame">
    <w:name w:val="grame"/>
    <w:basedOn w:val="Carpredefinitoparagrafo"/>
    <w:rsid w:val="009F772A"/>
  </w:style>
  <w:style w:type="paragraph" w:styleId="PreformattatoHTML">
    <w:name w:val="HTML Preformatted"/>
    <w:basedOn w:val="Normale"/>
    <w:link w:val="PreformattatoHTMLCarattere"/>
    <w:uiPriority w:val="99"/>
    <w:semiHidden/>
    <w:unhideWhenUsed/>
    <w:rsid w:val="009F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9F772A"/>
    <w:rPr>
      <w:rFonts w:ascii="Courier New" w:eastAsia="Times New Roman" w:hAnsi="Courier New" w:cs="Courier New"/>
      <w:sz w:val="20"/>
      <w:szCs w:val="20"/>
      <w:lang w:eastAsia="it-IT"/>
    </w:rPr>
  </w:style>
  <w:style w:type="paragraph" w:styleId="NormaleWeb">
    <w:name w:val="Normal (Web)"/>
    <w:basedOn w:val="Normale"/>
    <w:uiPriority w:val="99"/>
    <w:semiHidden/>
    <w:unhideWhenUsed/>
    <w:rsid w:val="009F772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8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iurcost.org/decisioni/2013/0091s-13.html" TargetMode="External"/><Relationship Id="rId18" Type="http://schemas.openxmlformats.org/officeDocument/2006/relationships/hyperlink" Target="http://www.giurcost.org/decisioni/2000/0004s-00.html" TargetMode="External"/><Relationship Id="rId26" Type="http://schemas.openxmlformats.org/officeDocument/2006/relationships/hyperlink" Target="http://www.giurcost.org/decisioni/2002/0260o-02.html" TargetMode="External"/><Relationship Id="rId39" Type="http://schemas.openxmlformats.org/officeDocument/2006/relationships/hyperlink" Target="http://www.giurcost.org/decisioni/2006/0079o-06.html" TargetMode="External"/><Relationship Id="rId21" Type="http://schemas.openxmlformats.org/officeDocument/2006/relationships/hyperlink" Target="http://www.giurcost.org/decisioni/1996/0387s-96.htm" TargetMode="External"/><Relationship Id="rId34" Type="http://schemas.openxmlformats.org/officeDocument/2006/relationships/hyperlink" Target="http://www.giurcost.org/decisioni/2008/0016s-08.html" TargetMode="External"/><Relationship Id="rId42" Type="http://schemas.openxmlformats.org/officeDocument/2006/relationships/hyperlink" Target="http://www.giurcost.org/decisioni/2012/0013s-12.html" TargetMode="External"/><Relationship Id="rId47" Type="http://schemas.openxmlformats.org/officeDocument/2006/relationships/hyperlink" Target="http://www.giurcost.org/decisioni/1997/0026s-97.htm" TargetMode="External"/><Relationship Id="rId50" Type="http://schemas.openxmlformats.org/officeDocument/2006/relationships/hyperlink" Target="http://www.giurcost.org/decisioni/1991/0047s-91.html" TargetMode="External"/><Relationship Id="rId55" Type="http://schemas.openxmlformats.org/officeDocument/2006/relationships/hyperlink" Target="http://www.giurcost.org/decisioni/1991/0047s-91.html" TargetMode="External"/><Relationship Id="rId7" Type="http://schemas.openxmlformats.org/officeDocument/2006/relationships/hyperlink" Target="http://www.giurcost.org/fonti/parametri/049.pdf" TargetMode="External"/><Relationship Id="rId2" Type="http://schemas.openxmlformats.org/officeDocument/2006/relationships/settings" Target="settings.xml"/><Relationship Id="rId16" Type="http://schemas.openxmlformats.org/officeDocument/2006/relationships/hyperlink" Target="http://www.giurcost.org/decisioni/2012/0061s-12.html" TargetMode="External"/><Relationship Id="rId29" Type="http://schemas.openxmlformats.org/officeDocument/2006/relationships/hyperlink" Target="http://www.giurcost.org/decisioni/1961/0043s-61html" TargetMode="External"/><Relationship Id="rId11" Type="http://schemas.openxmlformats.org/officeDocument/2006/relationships/hyperlink" Target="http://www.giurcost.org/fonti/parametri/Convention_ITA" TargetMode="External"/><Relationship Id="rId24" Type="http://schemas.openxmlformats.org/officeDocument/2006/relationships/hyperlink" Target="http://www.giurcost.org/decisioni/1995/0429s-95.htm" TargetMode="External"/><Relationship Id="rId32" Type="http://schemas.openxmlformats.org/officeDocument/2006/relationships/hyperlink" Target="http://www.giurcost.org/decisioni/2002/0260o-02.html" TargetMode="External"/><Relationship Id="rId37" Type="http://schemas.openxmlformats.org/officeDocument/2006/relationships/hyperlink" Target="http://www.giurcost.org/decisioni/2002/0106s-02.html" TargetMode="External"/><Relationship Id="rId40" Type="http://schemas.openxmlformats.org/officeDocument/2006/relationships/hyperlink" Target="http://www.giurcost.org/decisioni/1975/0203s-75.html" TargetMode="External"/><Relationship Id="rId45" Type="http://schemas.openxmlformats.org/officeDocument/2006/relationships/hyperlink" Target="http://www.giurcost.org/decisioni/2008/0016s-08.html" TargetMode="External"/><Relationship Id="rId53" Type="http://schemas.openxmlformats.org/officeDocument/2006/relationships/hyperlink" Target="http://www.giurcost.org/decisioni/1993/0032s-93.html" TargetMode="External"/><Relationship Id="rId58" Type="http://schemas.openxmlformats.org/officeDocument/2006/relationships/fontTable" Target="fontTable.xml"/><Relationship Id="rId5" Type="http://schemas.openxmlformats.org/officeDocument/2006/relationships/hyperlink" Target="http://www.giurcost.org/fonti/parametri/003.pdf" TargetMode="External"/><Relationship Id="rId19" Type="http://schemas.openxmlformats.org/officeDocument/2006/relationships/hyperlink" Target="http://www.giurcost.org/decisioni/1957/0059s-57.html" TargetMode="External"/><Relationship Id="rId4" Type="http://schemas.openxmlformats.org/officeDocument/2006/relationships/hyperlink" Target="http://www.normattiva.it/uri-res/N2Ls?urn:nir:stato:decreto.del.presidente.della.repubblica:1957-03-30;361!vig=" TargetMode="External"/><Relationship Id="rId9" Type="http://schemas.openxmlformats.org/officeDocument/2006/relationships/hyperlink" Target="http://www.giurcost.org/fonti/parametri/058.pdf" TargetMode="External"/><Relationship Id="rId14" Type="http://schemas.openxmlformats.org/officeDocument/2006/relationships/hyperlink" Target="http://www.giurcost.org/decisioni/2012/0280s-12.html" TargetMode="External"/><Relationship Id="rId22" Type="http://schemas.openxmlformats.org/officeDocument/2006/relationships/hyperlink" Target="http://www.giurcost.org/decisioni/1991/0384s-91.html" TargetMode="External"/><Relationship Id="rId27" Type="http://schemas.openxmlformats.org/officeDocument/2006/relationships/hyperlink" Target="http://www.giurcost.org/decisioni/1996/0107s-96.htm" TargetMode="External"/><Relationship Id="rId30" Type="http://schemas.openxmlformats.org/officeDocument/2006/relationships/hyperlink" Target="http://www.giurcost.org/decisioni/2012/0242s-12.html" TargetMode="External"/><Relationship Id="rId35" Type="http://schemas.openxmlformats.org/officeDocument/2006/relationships/hyperlink" Target="http://www.giurcost.org/decisioni/2012/0013s-12.html" TargetMode="External"/><Relationship Id="rId43" Type="http://schemas.openxmlformats.org/officeDocument/2006/relationships/hyperlink" Target="http://www.giurcost.org/decisioni/2012/0013s-12.html" TargetMode="External"/><Relationship Id="rId48" Type="http://schemas.openxmlformats.org/officeDocument/2006/relationships/hyperlink" Target="http://www.giurcost.org/decisioni/1995/0005s-95.htm" TargetMode="External"/><Relationship Id="rId56" Type="http://schemas.openxmlformats.org/officeDocument/2006/relationships/hyperlink" Target="http://www.giurcost.org/decisioni/1993/0032s-93.html" TargetMode="External"/><Relationship Id="rId8" Type="http://schemas.openxmlformats.org/officeDocument/2006/relationships/hyperlink" Target="http://www.giurcost.org/fonti/parametri/056.pdf" TargetMode="External"/><Relationship Id="rId51" Type="http://schemas.openxmlformats.org/officeDocument/2006/relationships/hyperlink" Target="http://www.giurcost.org/decisioni/1987/0029s-87.html" TargetMode="External"/><Relationship Id="rId3" Type="http://schemas.openxmlformats.org/officeDocument/2006/relationships/webSettings" Target="webSettings.xml"/><Relationship Id="rId12" Type="http://schemas.openxmlformats.org/officeDocument/2006/relationships/hyperlink" Target="http://www.giurcost.org/decisioni/1994/0263s-94.html" TargetMode="External"/><Relationship Id="rId17" Type="http://schemas.openxmlformats.org/officeDocument/2006/relationships/hyperlink" Target="http://www.giurcost.org/decisioni/2010/0270s-10.html" TargetMode="External"/><Relationship Id="rId25" Type="http://schemas.openxmlformats.org/officeDocument/2006/relationships/hyperlink" Target="http://www.giurcost.org/decisioni/2012/0242s-12.html" TargetMode="External"/><Relationship Id="rId33" Type="http://schemas.openxmlformats.org/officeDocument/2006/relationships/hyperlink" Target="http://www.giurcost.org/decisioni/2008/0015s-08.html" TargetMode="External"/><Relationship Id="rId38" Type="http://schemas.openxmlformats.org/officeDocument/2006/relationships/hyperlink" Target="http://www.giurcost.org/decisioni/1961/0043s-61.html" TargetMode="External"/><Relationship Id="rId46" Type="http://schemas.openxmlformats.org/officeDocument/2006/relationships/hyperlink" Target="http://www.giurcost.org/decisioni/1999/0013s-99.html" TargetMode="External"/><Relationship Id="rId59" Type="http://schemas.openxmlformats.org/officeDocument/2006/relationships/theme" Target="theme/theme1.xml"/><Relationship Id="rId20" Type="http://schemas.openxmlformats.org/officeDocument/2006/relationships/hyperlink" Target="http://www.giurcost.org/decisioni/1957/0059s-57.html" TargetMode="External"/><Relationship Id="rId41" Type="http://schemas.openxmlformats.org/officeDocument/2006/relationships/hyperlink" Target="http://www.giurcost.org/decisioni/1978/0016s-78.html" TargetMode="External"/><Relationship Id="rId54" Type="http://schemas.openxmlformats.org/officeDocument/2006/relationships/hyperlink" Target="http://www.giurcost.org/decisioni/1993/0032s-93.html" TargetMode="External"/><Relationship Id="rId1" Type="http://schemas.openxmlformats.org/officeDocument/2006/relationships/styles" Target="styles.xml"/><Relationship Id="rId6" Type="http://schemas.openxmlformats.org/officeDocument/2006/relationships/hyperlink" Target="http://www.giurcost.org/fonti/parametri/048.pdf" TargetMode="External"/><Relationship Id="rId15" Type="http://schemas.openxmlformats.org/officeDocument/2006/relationships/hyperlink" Target="http://www.giurcost.org/decisioni/2012/0279s-12.html" TargetMode="External"/><Relationship Id="rId23" Type="http://schemas.openxmlformats.org/officeDocument/2006/relationships/hyperlink" Target="http://www.giurcost.org/decisioni/1976/0226s-76.html" TargetMode="External"/><Relationship Id="rId28" Type="http://schemas.openxmlformats.org/officeDocument/2006/relationships/hyperlink" Target="http://www.giurcost.org/decisioni/1961/0043s-61.html" TargetMode="External"/><Relationship Id="rId36" Type="http://schemas.openxmlformats.org/officeDocument/2006/relationships/hyperlink" Target="http://www.giurcost.org/decisioni/1988/1130s-88.html" TargetMode="External"/><Relationship Id="rId49" Type="http://schemas.openxmlformats.org/officeDocument/2006/relationships/hyperlink" Target="http://www.giurcost.org/decisioni/1993/0032s-93.html" TargetMode="External"/><Relationship Id="rId57" Type="http://schemas.openxmlformats.org/officeDocument/2006/relationships/hyperlink" Target="http://www.giurcost.org/decisioni/1984/0139s-84.html" TargetMode="External"/><Relationship Id="rId10" Type="http://schemas.openxmlformats.org/officeDocument/2006/relationships/hyperlink" Target="http://www.giurcost.org/fonti/parametri/117.pdf" TargetMode="External"/><Relationship Id="rId31" Type="http://schemas.openxmlformats.org/officeDocument/2006/relationships/hyperlink" Target="http://www.giurcost.org/decisioni/1996/0107s-96.htm" TargetMode="External"/><Relationship Id="rId44" Type="http://schemas.openxmlformats.org/officeDocument/2006/relationships/hyperlink" Target="http://www.giurcost.org/decisioni/2008/0015s-08.html" TargetMode="External"/><Relationship Id="rId52" Type="http://schemas.openxmlformats.org/officeDocument/2006/relationships/hyperlink" Target="http://www.giurcost.org/decisioni/2012/0013s-12.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7339</Words>
  <Characters>41836</Characters>
  <Application>Microsoft Office Word</Application>
  <DocSecurity>0</DocSecurity>
  <Lines>348</Lines>
  <Paragraphs>98</Paragraphs>
  <ScaleCrop>false</ScaleCrop>
  <Company>Hewlett-Packard Company</Company>
  <LinksUpToDate>false</LinksUpToDate>
  <CharactersWithSpaces>49077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gp.dolso@libero.it</dc:creator>
  <cp:keywords/>
  <dc:description/>
  <cp:lastModifiedBy>gp.dolso@libero.it</cp:lastModifiedBy>
  <cp:revision>3</cp:revision>
  <dcterms:created xsi:type="dcterms:W3CDTF">2019-03-18T19:41:00Z</dcterms:created>
  <dcterms:modified xsi:type="dcterms:W3CDTF">2019-03-18T19:48:00Z</dcterms:modified>
</cp:coreProperties>
</file>