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7F9" w:rsidRDefault="00A81BCA" w:rsidP="00A81BCA">
      <w:pPr>
        <w:spacing w:after="0"/>
        <w:rPr>
          <w:b/>
          <w:sz w:val="24"/>
          <w:szCs w:val="24"/>
          <w:lang w:val="en-GB"/>
        </w:rPr>
      </w:pPr>
      <w:bookmarkStart w:id="0" w:name="_GoBack"/>
      <w:bookmarkEnd w:id="0"/>
      <w:r w:rsidRPr="00A81BCA">
        <w:rPr>
          <w:b/>
          <w:sz w:val="24"/>
          <w:szCs w:val="24"/>
          <w:lang w:val="en-GB"/>
        </w:rPr>
        <w:t xml:space="preserve">8) Sublease of the spaces covered by the contract </w:t>
      </w:r>
    </w:p>
    <w:p w:rsidR="00A81BCA" w:rsidRPr="00A81BCA" w:rsidRDefault="006F4790" w:rsidP="00A81BCA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Compliant with the article 36 of the Rule 392/1978 is allowed the sublease of one or more spaces belonging to the rented property, as long as the renter notifies expressly the lessor through registered letter with reasonable notice.</w:t>
      </w:r>
    </w:p>
    <w:sectPr w:rsidR="00A81BCA" w:rsidRPr="00A81B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CA"/>
    <w:rsid w:val="001F67F9"/>
    <w:rsid w:val="006009FA"/>
    <w:rsid w:val="006F4790"/>
    <w:rsid w:val="00A8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BB22E-F63A-6949-AACC-940EFCED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GIULIANA ZHU</cp:lastModifiedBy>
  <cp:revision>2</cp:revision>
  <dcterms:created xsi:type="dcterms:W3CDTF">2019-05-07T06:04:00Z</dcterms:created>
  <dcterms:modified xsi:type="dcterms:W3CDTF">2019-05-07T06:04:00Z</dcterms:modified>
</cp:coreProperties>
</file>