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A5" w:rsidRPr="00C74888" w:rsidRDefault="000938A5">
      <w:pPr>
        <w:rPr>
          <w:lang w:val="it-IT"/>
        </w:rPr>
      </w:pPr>
    </w:p>
    <w:p w:rsidR="00C74888" w:rsidRPr="00C74888" w:rsidRDefault="00C74888" w:rsidP="00C74888">
      <w:pPr>
        <w:spacing w:after="0" w:line="360" w:lineRule="auto"/>
        <w:rPr>
          <w:rFonts w:eastAsia="Times New Roman" w:cstheme="minorHAnsi"/>
          <w:sz w:val="32"/>
          <w:szCs w:val="32"/>
          <w:lang w:val="it-IT" w:eastAsia="en-GB"/>
        </w:rPr>
      </w:pPr>
      <w:bookmarkStart w:id="0" w:name="_GoBack"/>
      <w:r w:rsidRPr="00C74888">
        <w:rPr>
          <w:rFonts w:eastAsia="Times New Roman" w:cstheme="minorHAnsi"/>
          <w:sz w:val="32"/>
          <w:szCs w:val="32"/>
          <w:lang w:val="it-IT" w:eastAsia="en-GB"/>
        </w:rPr>
        <w:t>L’economia digitale</w:t>
      </w:r>
      <w:bookmarkEnd w:id="0"/>
      <w:r w:rsidRPr="00C74888">
        <w:rPr>
          <w:rFonts w:eastAsia="Times New Roman" w:cstheme="minorHAnsi"/>
          <w:sz w:val="32"/>
          <w:szCs w:val="32"/>
          <w:lang w:val="it-IT" w:eastAsia="en-GB"/>
        </w:rPr>
        <w:t xml:space="preserve"> cambia il contesto delle strategie di posizionamento</w:t>
      </w:r>
    </w:p>
    <w:p w:rsidR="00C74888" w:rsidRPr="00C74888" w:rsidRDefault="00C74888" w:rsidP="00C74888">
      <w:pPr>
        <w:spacing w:after="0" w:line="360" w:lineRule="auto"/>
        <w:rPr>
          <w:rFonts w:eastAsia="Times New Roman" w:cstheme="minorHAnsi"/>
          <w:sz w:val="32"/>
          <w:szCs w:val="32"/>
          <w:lang w:val="it-IT" w:eastAsia="en-GB"/>
        </w:rPr>
      </w:pPr>
      <w:r w:rsidRPr="00C74888">
        <w:rPr>
          <w:rFonts w:eastAsia="Times New Roman" w:cstheme="minorHAnsi"/>
          <w:sz w:val="32"/>
          <w:szCs w:val="32"/>
          <w:lang w:val="it-IT" w:eastAsia="en-GB"/>
        </w:rPr>
        <w:t xml:space="preserve">Digital marketing nei mercati dei beauty </w:t>
      </w:r>
      <w:proofErr w:type="gramStart"/>
      <w:r w:rsidRPr="00C74888">
        <w:rPr>
          <w:rFonts w:eastAsia="Times New Roman" w:cstheme="minorHAnsi"/>
          <w:sz w:val="32"/>
          <w:szCs w:val="32"/>
          <w:lang w:val="it-IT" w:eastAsia="en-GB"/>
        </w:rPr>
        <w:t>brands</w:t>
      </w:r>
      <w:proofErr w:type="gramEnd"/>
    </w:p>
    <w:p w:rsidR="00C74888" w:rsidRPr="00C74888" w:rsidRDefault="00C74888" w:rsidP="00C74888">
      <w:pPr>
        <w:spacing w:after="0" w:line="360" w:lineRule="auto"/>
        <w:rPr>
          <w:rFonts w:eastAsia="Times New Roman" w:cstheme="minorHAnsi"/>
          <w:sz w:val="28"/>
          <w:szCs w:val="28"/>
          <w:lang w:val="it-IT" w:eastAsia="en-GB"/>
        </w:rPr>
      </w:pPr>
      <w:r w:rsidRPr="00C74888">
        <w:rPr>
          <w:rFonts w:eastAsia="Times New Roman" w:cstheme="minorHAnsi"/>
          <w:sz w:val="28"/>
          <w:szCs w:val="28"/>
          <w:lang w:val="it-IT" w:eastAsia="en-GB"/>
        </w:rPr>
        <w:t xml:space="preserve">Anna Claudia </w:t>
      </w:r>
      <w:proofErr w:type="spellStart"/>
      <w:r w:rsidRPr="00C74888">
        <w:rPr>
          <w:rFonts w:eastAsia="Times New Roman" w:cstheme="minorHAnsi"/>
          <w:sz w:val="28"/>
          <w:szCs w:val="28"/>
          <w:lang w:val="it-IT" w:eastAsia="en-GB"/>
        </w:rPr>
        <w:t>Pellicelli</w:t>
      </w:r>
      <w:proofErr w:type="spellEnd"/>
    </w:p>
    <w:p w:rsidR="00C74888" w:rsidRPr="00C74888" w:rsidRDefault="00C74888" w:rsidP="00C74888">
      <w:pPr>
        <w:spacing w:after="0" w:line="360" w:lineRule="auto"/>
        <w:rPr>
          <w:rFonts w:eastAsia="Times New Roman" w:cstheme="minorHAnsi"/>
          <w:sz w:val="24"/>
          <w:szCs w:val="24"/>
          <w:lang w:val="it-IT" w:eastAsia="en-GB"/>
        </w:rPr>
      </w:pPr>
      <w:hyperlink r:id="rId4" w:history="1">
        <w:r w:rsidRPr="00C74888">
          <w:rPr>
            <w:rStyle w:val="Collegamentoipertestuale"/>
            <w:rFonts w:eastAsia="Times New Roman" w:cstheme="minorHAnsi"/>
            <w:sz w:val="24"/>
            <w:szCs w:val="24"/>
            <w:lang w:val="it-IT" w:eastAsia="en-GB"/>
          </w:rPr>
          <w:t>https://iris.unito.it/retrieve/handle/2318/1644647/363098/unico.pdf1</w:t>
        </w:r>
      </w:hyperlink>
      <w:r w:rsidRPr="00C74888">
        <w:rPr>
          <w:rFonts w:eastAsia="Times New Roman" w:cstheme="minorHAnsi"/>
          <w:sz w:val="24"/>
          <w:szCs w:val="24"/>
          <w:lang w:val="it-IT" w:eastAsia="en-GB"/>
        </w:rPr>
        <w:t>.</w:t>
      </w:r>
    </w:p>
    <w:p w:rsidR="00C74888" w:rsidRPr="00C74888" w:rsidRDefault="00C74888" w:rsidP="00C74888">
      <w:pPr>
        <w:spacing w:after="0" w:line="360" w:lineRule="auto"/>
        <w:rPr>
          <w:rFonts w:eastAsia="Times New Roman" w:cstheme="minorHAnsi"/>
          <w:sz w:val="24"/>
          <w:szCs w:val="24"/>
          <w:lang w:val="it-IT" w:eastAsia="en-GB"/>
        </w:rPr>
      </w:pPr>
    </w:p>
    <w:p w:rsidR="00C74888" w:rsidRPr="00C74888" w:rsidRDefault="00C74888" w:rsidP="00C74888">
      <w:pPr>
        <w:spacing w:after="0" w:line="360" w:lineRule="auto"/>
        <w:rPr>
          <w:rFonts w:eastAsia="Times New Roman" w:cstheme="minorHAnsi"/>
          <w:sz w:val="24"/>
          <w:szCs w:val="24"/>
          <w:lang w:val="it-IT" w:eastAsia="en-GB"/>
        </w:rPr>
      </w:pPr>
      <w:r w:rsidRPr="00C74888">
        <w:rPr>
          <w:rFonts w:eastAsia="Times New Roman" w:cstheme="minorHAnsi"/>
          <w:sz w:val="24"/>
          <w:szCs w:val="24"/>
          <w:lang w:val="it-IT" w:eastAsia="en-GB"/>
        </w:rPr>
        <w:t>Introduzione</w:t>
      </w:r>
    </w:p>
    <w:p w:rsidR="00C74888" w:rsidRPr="00C74888" w:rsidRDefault="00C74888" w:rsidP="00C74888">
      <w:pPr>
        <w:spacing w:after="0" w:line="360" w:lineRule="auto"/>
        <w:rPr>
          <w:rFonts w:eastAsia="Times New Roman" w:cstheme="minorHAnsi"/>
          <w:sz w:val="24"/>
          <w:szCs w:val="24"/>
          <w:lang w:val="it-IT" w:eastAsia="en-GB"/>
        </w:rPr>
      </w:pPr>
    </w:p>
    <w:p w:rsidR="00C74888" w:rsidRPr="00C74888" w:rsidRDefault="00C74888" w:rsidP="00C74888">
      <w:pPr>
        <w:spacing w:after="0" w:line="360" w:lineRule="auto"/>
        <w:rPr>
          <w:rFonts w:eastAsia="Times New Roman" w:cstheme="minorHAnsi"/>
          <w:sz w:val="24"/>
          <w:szCs w:val="24"/>
          <w:lang w:val="it-IT" w:eastAsia="en-GB"/>
        </w:rPr>
      </w:pPr>
      <w:r w:rsidRPr="00C74888">
        <w:rPr>
          <w:rFonts w:eastAsia="Times New Roman" w:cstheme="minorHAnsi"/>
          <w:sz w:val="24"/>
          <w:szCs w:val="24"/>
          <w:lang w:val="it-IT" w:eastAsia="en-GB"/>
        </w:rPr>
        <w:t>Negli ultimi decenni il progresso tecnologico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ha gradualmente aperto una nuova fase indicata con l’espressione ‘economia digitale’, che ha modificato la struttura di molti mercati e i fattori della concorrenza, ha abbassato i costi di transazione (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Coase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, 1990; 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Tapscott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>, 2006), ha favorito l’accesso ai mercati globali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e la mass 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customization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, trasformando la 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value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chain di molte imprese (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Kotler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>, 2017).Nell’economia digitale, la bilancia del potere di negoziazione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nello scambio tra impresa e consumatore si sposta a favore del secondo per la crescente facilità di accesso alle informazioni(Kelly, 1998). Come spesso avviene quando nel mercato sopraggiungono cambiamenti radicali, occorre considerare il fenomeno sotto due aspetti: la domanda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e l’offerta. Dal lato della domanda, le implicazioni del maggiore accesso dei clienti alle informazioni si manifestano in tre modi principali: a) pressioni verso il basso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sui prezzi dei prodotti e dei servizi che non hanno un vero vantaggio competitivo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o un vero point of 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difference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>; b) maggiore potenziale di mercato</w:t>
      </w:r>
      <w:r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demand-led; c) maggiori attese del cliente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per qualità più alta di prodotti e servizi.</w:t>
      </w:r>
      <w:r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Dal lato dell’offerta l’economia digitale consente di: a) ridurre i costi di raccolta delle informazioni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sulle attese dei potenziali clienti e sul comportamento di acquisto; b) allargare e approfondire le relazioni con i clienti; c) aumentare la capacità di personalizzare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la 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value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proposition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(insieme di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benefici che l’impresa promette al consumatore); d) orientare meglio la politica dei prezzi; e) ridurre i costi di selezione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del target.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In una logica di comunicazione integrata</w:t>
      </w:r>
      <w:r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(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Brondoni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>, 1997), emerge come le aziende abbiano dovuto adattarsi ad interagire con un consumatore più maturo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>ed esigente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non solo in termini di prezzi, ma anche di shopping 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experience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>.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</w:t>
      </w:r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Questo capitolo illustra come le </w:t>
      </w:r>
      <w:proofErr w:type="spellStart"/>
      <w:r w:rsidRPr="00C74888">
        <w:rPr>
          <w:rFonts w:eastAsia="Times New Roman" w:cstheme="minorHAnsi"/>
          <w:sz w:val="24"/>
          <w:szCs w:val="24"/>
          <w:lang w:val="it-IT" w:eastAsia="en-GB"/>
        </w:rPr>
        <w:t>virtual</w:t>
      </w:r>
      <w:proofErr w:type="spellEnd"/>
      <w:r w:rsidRPr="00C74888">
        <w:rPr>
          <w:rFonts w:eastAsia="Times New Roman" w:cstheme="minorHAnsi"/>
          <w:sz w:val="24"/>
          <w:szCs w:val="24"/>
          <w:lang w:val="it-IT" w:eastAsia="en-GB"/>
        </w:rPr>
        <w:t xml:space="preserve"> communities abbiano cambiato le strategie di marketing e le regole del posizionamento. Hanno dato più potere al compratore, ma anche vantaggi al venditore.</w:t>
      </w:r>
    </w:p>
    <w:p w:rsidR="00C74888" w:rsidRPr="00C74888" w:rsidRDefault="00C74888">
      <w:pPr>
        <w:rPr>
          <w:lang w:val="it-IT"/>
        </w:rPr>
      </w:pPr>
    </w:p>
    <w:sectPr w:rsidR="00C74888" w:rsidRPr="00C74888" w:rsidSect="00B66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88"/>
    <w:rsid w:val="000938A5"/>
    <w:rsid w:val="00B66811"/>
    <w:rsid w:val="00C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2232"/>
  <w15:chartTrackingRefBased/>
  <w15:docId w15:val="{E5E3932B-97BC-4DB1-925F-4D90F157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48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is.unito.it/retrieve/handle/2318/1644647/363098/unico.pdf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1</cp:revision>
  <dcterms:created xsi:type="dcterms:W3CDTF">2019-05-12T18:45:00Z</dcterms:created>
  <dcterms:modified xsi:type="dcterms:W3CDTF">2019-05-12T18:52:00Z</dcterms:modified>
</cp:coreProperties>
</file>