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4A" w:rsidRDefault="00E97A4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PAS 059  Argomenti trattati a lezione</w:t>
      </w:r>
    </w:p>
    <w:p w:rsidR="00110205" w:rsidRPr="00735744" w:rsidRDefault="00110205">
      <w:pPr>
        <w:rPr>
          <w:rFonts w:ascii="Tahoma" w:hAnsi="Tahoma" w:cs="Tahoma"/>
          <w:sz w:val="24"/>
          <w:szCs w:val="24"/>
        </w:rPr>
      </w:pPr>
      <w:r w:rsidRPr="00735744">
        <w:rPr>
          <w:rFonts w:ascii="Tahoma" w:hAnsi="Tahoma" w:cs="Tahoma"/>
          <w:sz w:val="24"/>
          <w:szCs w:val="24"/>
        </w:rPr>
        <w:t>Carsismo</w:t>
      </w:r>
    </w:p>
    <w:p w:rsidR="00110205" w:rsidRPr="00735744" w:rsidRDefault="00110205">
      <w:pPr>
        <w:rPr>
          <w:rFonts w:ascii="Tahoma" w:hAnsi="Tahoma" w:cs="Tahoma"/>
          <w:sz w:val="24"/>
          <w:szCs w:val="24"/>
        </w:rPr>
      </w:pPr>
      <w:r w:rsidRPr="00735744">
        <w:rPr>
          <w:rFonts w:ascii="Tahoma" w:hAnsi="Tahoma" w:cs="Tahoma"/>
          <w:sz w:val="24"/>
          <w:szCs w:val="24"/>
        </w:rPr>
        <w:t>Il paesaggio carsico</w:t>
      </w:r>
    </w:p>
    <w:p w:rsidR="00110205" w:rsidRPr="00735744" w:rsidRDefault="00110205">
      <w:pPr>
        <w:rPr>
          <w:rFonts w:ascii="Tahoma" w:hAnsi="Tahoma" w:cs="Tahoma"/>
          <w:sz w:val="24"/>
          <w:szCs w:val="24"/>
        </w:rPr>
      </w:pPr>
      <w:r w:rsidRPr="00735744">
        <w:rPr>
          <w:rFonts w:ascii="Tahoma" w:hAnsi="Tahoma" w:cs="Tahoma"/>
          <w:sz w:val="24"/>
          <w:szCs w:val="24"/>
        </w:rPr>
        <w:t>Fattori che condizionano la genesi del carsismo</w:t>
      </w:r>
    </w:p>
    <w:p w:rsidR="00110205" w:rsidRDefault="00110205">
      <w:pPr>
        <w:rPr>
          <w:rFonts w:ascii="Tahoma" w:hAnsi="Tahoma" w:cs="Tahoma"/>
          <w:sz w:val="24"/>
          <w:szCs w:val="24"/>
        </w:rPr>
      </w:pPr>
      <w:r w:rsidRPr="00735744">
        <w:rPr>
          <w:rFonts w:ascii="Tahoma" w:hAnsi="Tahoma" w:cs="Tahoma"/>
          <w:sz w:val="24"/>
          <w:szCs w:val="24"/>
        </w:rPr>
        <w:t>Morfologie ipogee carsiche</w:t>
      </w:r>
      <w:r w:rsidR="00E97A4A">
        <w:rPr>
          <w:rFonts w:ascii="Tahoma" w:hAnsi="Tahoma" w:cs="Tahoma"/>
          <w:sz w:val="24"/>
          <w:szCs w:val="24"/>
        </w:rPr>
        <w:t xml:space="preserve"> e cenni sull’idrologia carsica</w:t>
      </w:r>
    </w:p>
    <w:p w:rsidR="00E97A4A" w:rsidRDefault="00E97A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Caratteristiche dell’idrologia superficiale  del Friuli Venezia Giulia</w:t>
      </w:r>
    </w:p>
    <w:p w:rsidR="00E97A4A" w:rsidRDefault="00E97A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Il Tagliamento</w:t>
      </w:r>
      <w:bookmarkStart w:id="0" w:name="_GoBack"/>
      <w:bookmarkEnd w:id="0"/>
    </w:p>
    <w:p w:rsidR="00E97A4A" w:rsidRDefault="00E97A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linea delle risorgive</w:t>
      </w:r>
    </w:p>
    <w:p w:rsidR="00E97A4A" w:rsidRDefault="00E97A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Porosità e permeabilità in rocce e sedimenti</w:t>
      </w:r>
    </w:p>
    <w:p w:rsidR="00E97A4A" w:rsidRPr="00735744" w:rsidRDefault="00E97A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L’influenza dell’uomo sul ciclo dell’acqua</w:t>
      </w:r>
    </w:p>
    <w:sectPr w:rsidR="00E97A4A" w:rsidRPr="007357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05"/>
    <w:rsid w:val="00110205"/>
    <w:rsid w:val="00160F0D"/>
    <w:rsid w:val="00735744"/>
    <w:rsid w:val="00E9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25868A-0C97-47BF-B6C8-683290BA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19AF-6757-4C06-BF58-B1D67A13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Furio</cp:lastModifiedBy>
  <cp:revision>4</cp:revision>
  <dcterms:created xsi:type="dcterms:W3CDTF">2014-05-16T13:20:00Z</dcterms:created>
  <dcterms:modified xsi:type="dcterms:W3CDTF">2014-05-29T12:33:00Z</dcterms:modified>
</cp:coreProperties>
</file>