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E7921" w:rsidTr="00DD7C8B">
        <w:tc>
          <w:tcPr>
            <w:tcW w:w="3209" w:type="dxa"/>
          </w:tcPr>
          <w:p w:rsidR="007E7921" w:rsidRDefault="00810E33">
            <w:r>
              <w:t>MOMESSO VALENTINA</w:t>
            </w:r>
          </w:p>
          <w:p w:rsidR="00F13B35" w:rsidRDefault="00F13B35"/>
        </w:tc>
        <w:tc>
          <w:tcPr>
            <w:tcW w:w="3209" w:type="dxa"/>
          </w:tcPr>
          <w:p w:rsidR="007E7921" w:rsidRDefault="000A37EB">
            <w:r>
              <w:t xml:space="preserve">Matricola </w:t>
            </w:r>
            <w:r w:rsidR="00810E33">
              <w:t>SF0101766</w:t>
            </w:r>
          </w:p>
        </w:tc>
        <w:tc>
          <w:tcPr>
            <w:tcW w:w="3210" w:type="dxa"/>
          </w:tcPr>
          <w:p w:rsidR="007E7921" w:rsidRDefault="007E7921"/>
        </w:tc>
      </w:tr>
      <w:tr w:rsidR="007E7921" w:rsidTr="00DD7C8B">
        <w:tc>
          <w:tcPr>
            <w:tcW w:w="3209" w:type="dxa"/>
          </w:tcPr>
          <w:p w:rsidR="007E7921" w:rsidRDefault="007E7921"/>
        </w:tc>
        <w:tc>
          <w:tcPr>
            <w:tcW w:w="3209" w:type="dxa"/>
          </w:tcPr>
          <w:p w:rsidR="007E7921" w:rsidRDefault="00D833F2">
            <w:r>
              <w:t>Descrizione</w:t>
            </w:r>
            <w:r w:rsidR="005034A7">
              <w:t xml:space="preserve"> (</w:t>
            </w:r>
            <w:r w:rsidR="008668C8">
              <w:t>la descrizione della ricerca sta in questa colonna)</w:t>
            </w:r>
          </w:p>
        </w:tc>
        <w:tc>
          <w:tcPr>
            <w:tcW w:w="3210" w:type="dxa"/>
          </w:tcPr>
          <w:p w:rsidR="007E7921" w:rsidRDefault="00D833F2">
            <w:r>
              <w:t>Osservazion</w:t>
            </w:r>
            <w:r w:rsidR="005034A7">
              <w:t>i, critiche, suggerimenti..</w:t>
            </w:r>
          </w:p>
        </w:tc>
      </w:tr>
      <w:tr w:rsidR="00AD7285" w:rsidTr="00DD7C8B">
        <w:tc>
          <w:tcPr>
            <w:tcW w:w="3209" w:type="dxa"/>
          </w:tcPr>
          <w:p w:rsidR="00AD7285" w:rsidRDefault="00AD7285" w:rsidP="0075328F">
            <w:r>
              <w:t>Cognome, Nome, (anno), ecc..</w:t>
            </w:r>
          </w:p>
        </w:tc>
        <w:tc>
          <w:tcPr>
            <w:tcW w:w="3209" w:type="dxa"/>
          </w:tcPr>
          <w:p w:rsidR="00AD7285" w:rsidRDefault="00C50126">
            <w:r>
              <w:t>Garantire il diritto allo studio e favorire la riuscita dei minori</w:t>
            </w:r>
            <w:r w:rsidR="00F01608">
              <w:t xml:space="preserve"> che vivono fuori dalla famiglia d’origine.</w:t>
            </w:r>
          </w:p>
          <w:p w:rsidR="00F01608" w:rsidRDefault="00F01608"/>
          <w:p w:rsidR="00F01608" w:rsidRDefault="00A1524D">
            <w:r>
              <w:t xml:space="preserve">Ricerca di Paola </w:t>
            </w:r>
            <w:proofErr w:type="spellStart"/>
            <w:r w:rsidR="009A6795">
              <w:t>Ricchiardi</w:t>
            </w:r>
            <w:proofErr w:type="spellEnd"/>
            <w:r w:rsidR="009A6795">
              <w:t xml:space="preserve"> e </w:t>
            </w:r>
            <w:r w:rsidR="0043521C">
              <w:t xml:space="preserve">Cristina </w:t>
            </w:r>
            <w:proofErr w:type="spellStart"/>
            <w:r w:rsidR="0043521C">
              <w:t>Coggi</w:t>
            </w:r>
            <w:proofErr w:type="spellEnd"/>
            <w:r w:rsidR="0043521C">
              <w:t>.</w:t>
            </w:r>
          </w:p>
          <w:p w:rsidR="0043521C" w:rsidRDefault="0043521C">
            <w:r>
              <w:t xml:space="preserve">Pubblicata il </w:t>
            </w:r>
            <w:r w:rsidR="00A43E7B">
              <w:t>28 luglio 2019.</w:t>
            </w:r>
          </w:p>
          <w:p w:rsidR="00A43E7B" w:rsidRDefault="00A43E7B"/>
          <w:p w:rsidR="00AD14A9" w:rsidRDefault="00AD14A9" w:rsidP="00AD14A9">
            <w:r>
              <w:t xml:space="preserve">Riferimenti: “Linee guida per il diritto allo studio delle alunne degli alunni fuori dalla famiglia di origine”; Tavolo Nazionale Affidi, Casa dell’Affidamento di Torino e </w:t>
            </w:r>
            <w:proofErr w:type="spellStart"/>
            <w:r>
              <w:t>dell’Anfa</w:t>
            </w:r>
            <w:proofErr w:type="spellEnd"/>
            <w:r>
              <w:t xml:space="preserve"> Nazionale.</w:t>
            </w:r>
          </w:p>
          <w:p w:rsidR="00A43E7B" w:rsidRDefault="00AD14A9">
            <w:r>
              <w:t xml:space="preserve">    </w:t>
            </w:r>
          </w:p>
        </w:tc>
        <w:tc>
          <w:tcPr>
            <w:tcW w:w="3210" w:type="dxa"/>
          </w:tcPr>
          <w:p w:rsidR="00AD7285" w:rsidRDefault="00AD7285"/>
        </w:tc>
      </w:tr>
      <w:tr w:rsidR="00BD7BFA" w:rsidTr="00DD7C8B">
        <w:tc>
          <w:tcPr>
            <w:tcW w:w="3209" w:type="dxa"/>
          </w:tcPr>
          <w:p w:rsidR="00BD7BFA" w:rsidRDefault="003A394A">
            <w:r>
              <w:t>Abstract</w:t>
            </w:r>
          </w:p>
        </w:tc>
        <w:tc>
          <w:tcPr>
            <w:tcW w:w="3209" w:type="dxa"/>
          </w:tcPr>
          <w:p w:rsidR="00BD7BFA" w:rsidRDefault="007C2C08">
            <w:r>
              <w:t xml:space="preserve">La ricerca mostra i problemi di inserimento </w:t>
            </w:r>
            <w:r w:rsidR="009E56F5">
              <w:t xml:space="preserve">scolastico e apprendimento che </w:t>
            </w:r>
            <w:r w:rsidR="00C35878">
              <w:t>i minori cresciuti fuori dalla famiglia di orine sono costretti ad affrontare.</w:t>
            </w:r>
            <w:r w:rsidR="00A24833">
              <w:t xml:space="preserve"> </w:t>
            </w:r>
            <w:r w:rsidR="00FF6DAE">
              <w:t xml:space="preserve">Questo </w:t>
            </w:r>
            <w:r w:rsidR="00A24833">
              <w:t>studio focalizza l’attenzione sui minori</w:t>
            </w:r>
            <w:r w:rsidR="00F54DB9">
              <w:t xml:space="preserve"> in affido e analizza </w:t>
            </w:r>
            <w:r w:rsidR="008E4B11">
              <w:t>le difficoltà nella scolarizzazione che i genitori hanno individuato</w:t>
            </w:r>
            <w:r w:rsidR="00B20DED">
              <w:t>. I</w:t>
            </w:r>
            <w:r w:rsidR="00586A87">
              <w:t>llustra</w:t>
            </w:r>
            <w:r w:rsidR="00B20DED">
              <w:t xml:space="preserve"> quindi</w:t>
            </w:r>
            <w:r w:rsidR="00586A87">
              <w:t xml:space="preserve"> le </w:t>
            </w:r>
            <w:r w:rsidR="00B20DED">
              <w:t>“</w:t>
            </w:r>
            <w:r w:rsidR="00586A87">
              <w:t>Linee guida</w:t>
            </w:r>
            <w:r w:rsidR="00C82D55">
              <w:t xml:space="preserve"> per il diritto allo studio</w:t>
            </w:r>
            <w:r w:rsidR="006658BB">
              <w:t xml:space="preserve"> degli alunni e delle alunne </w:t>
            </w:r>
            <w:r w:rsidR="00D55AD0">
              <w:t>al di fuori della famiglia di origine</w:t>
            </w:r>
            <w:r w:rsidR="00B20DED">
              <w:t xml:space="preserve">” </w:t>
            </w:r>
            <w:r w:rsidR="00DB7E83">
              <w:t>ideate per contrastare</w:t>
            </w:r>
            <w:r w:rsidR="00D55AD0">
              <w:t xml:space="preserve"> </w:t>
            </w:r>
            <w:r w:rsidR="00DB7E83">
              <w:t>gli ostacoli</w:t>
            </w:r>
            <w:r w:rsidR="00F02EC9">
              <w:t xml:space="preserve"> all’apprendimento, derivati probabilmente da </w:t>
            </w:r>
            <w:r w:rsidR="00FF3338">
              <w:t>trascuranza e maltrattamenti durante i primi anni di vita</w:t>
            </w:r>
            <w:r w:rsidR="002018DD">
              <w:t xml:space="preserve"> e miglior</w:t>
            </w:r>
            <w:r w:rsidR="002F0F74">
              <w:t>are le loro condizioni scolastiche.</w:t>
            </w:r>
          </w:p>
        </w:tc>
        <w:tc>
          <w:tcPr>
            <w:tcW w:w="3210" w:type="dxa"/>
          </w:tcPr>
          <w:p w:rsidR="00BD7BFA" w:rsidRDefault="00BD7BFA"/>
        </w:tc>
      </w:tr>
      <w:tr w:rsidR="00BD7BFA" w:rsidTr="00DD7C8B">
        <w:tc>
          <w:tcPr>
            <w:tcW w:w="3209" w:type="dxa"/>
          </w:tcPr>
          <w:p w:rsidR="00BD7BFA" w:rsidRDefault="00BE0D25">
            <w:r>
              <w:t xml:space="preserve">Introduzione </w:t>
            </w:r>
          </w:p>
        </w:tc>
        <w:tc>
          <w:tcPr>
            <w:tcW w:w="3209" w:type="dxa"/>
          </w:tcPr>
          <w:p w:rsidR="00BD7BFA" w:rsidRDefault="00770096">
            <w:r>
              <w:t xml:space="preserve">Le linee guida per il diritto allo studio riguardano </w:t>
            </w:r>
            <w:r w:rsidR="00343916">
              <w:t>circa 44.000 soggetti tra minori</w:t>
            </w:r>
            <w:r w:rsidR="00282CE7">
              <w:t xml:space="preserve"> stranieri</w:t>
            </w:r>
            <w:r w:rsidR="00343916">
              <w:t xml:space="preserve"> non accompagnati</w:t>
            </w:r>
            <w:r w:rsidR="003B175B">
              <w:t xml:space="preserve"> e </w:t>
            </w:r>
            <w:r w:rsidR="00ED2F4C">
              <w:t xml:space="preserve">bambini e ragazzi in affidamento familiare o ospiti di </w:t>
            </w:r>
            <w:r w:rsidR="00913D93">
              <w:t>comunità</w:t>
            </w:r>
            <w:r w:rsidR="00FD125D">
              <w:t xml:space="preserve">, sottoposti a </w:t>
            </w:r>
            <w:r w:rsidR="003B175B">
              <w:t>provvedimento delle autorità giudiziarie.</w:t>
            </w:r>
            <w:r w:rsidR="00BB5A81">
              <w:t xml:space="preserve"> Nella ricerca verranno descritte le difficoltà di questi minori a scuol</w:t>
            </w:r>
            <w:r w:rsidR="00055C1D">
              <w:t>a</w:t>
            </w:r>
            <w:r w:rsidR="00BB5A81">
              <w:t xml:space="preserve"> e le cause scatenanti</w:t>
            </w:r>
            <w:r w:rsidR="00055C1D">
              <w:t>.</w:t>
            </w:r>
          </w:p>
        </w:tc>
        <w:tc>
          <w:tcPr>
            <w:tcW w:w="3210" w:type="dxa"/>
          </w:tcPr>
          <w:p w:rsidR="00BD7BFA" w:rsidRDefault="00BD7BFA"/>
        </w:tc>
      </w:tr>
      <w:tr w:rsidR="00BD7BFA" w:rsidTr="00DD7C8B">
        <w:tc>
          <w:tcPr>
            <w:tcW w:w="3209" w:type="dxa"/>
          </w:tcPr>
          <w:p w:rsidR="00BD7BFA" w:rsidRDefault="00275CAA">
            <w:r>
              <w:lastRenderedPageBreak/>
              <w:t>Materiali e metodi</w:t>
            </w:r>
          </w:p>
        </w:tc>
        <w:tc>
          <w:tcPr>
            <w:tcW w:w="3209" w:type="dxa"/>
          </w:tcPr>
          <w:p w:rsidR="00293BCB" w:rsidRDefault="00C121BF" w:rsidP="00293BCB">
            <w:r>
              <w:t xml:space="preserve">Oggetto della ricerca sono i minori cresciuti </w:t>
            </w:r>
            <w:r w:rsidR="006A0448">
              <w:t>in un contesto diverso da quello della famiglia biologica</w:t>
            </w:r>
            <w:r w:rsidR="008D4CE2">
              <w:t>,</w:t>
            </w:r>
            <w:r w:rsidR="006A0448">
              <w:t xml:space="preserve"> che si trovano a dover affrontare difficoltà legate all’ apprendimento</w:t>
            </w:r>
            <w:r w:rsidR="00901902">
              <w:t xml:space="preserve"> e che di conseguenza </w:t>
            </w:r>
            <w:r w:rsidR="00F7001A">
              <w:t xml:space="preserve">presentano un insuccesso scolastico molto più frequente rispetto ai coetanei, anche a parità di </w:t>
            </w:r>
            <w:r w:rsidR="000A4763">
              <w:t>livello economico e sociale.</w:t>
            </w:r>
            <w:r w:rsidR="00486EDE">
              <w:t xml:space="preserve"> </w:t>
            </w:r>
            <w:r w:rsidR="00293BCB">
              <w:t>A tale esito contribuiscono soprattutto le difficoltà emotivo-affettive e l’instabilità delle collocazioni in affido o nelle strutture.</w:t>
            </w:r>
          </w:p>
          <w:p w:rsidR="00EA33B8" w:rsidRDefault="00293BCB">
            <w:r>
              <w:t>Si evidenziano difficoltà precoci e crescenti e si rilevano alte percentuali di minori “out of care” nel circuito dell’educazione speciale. Frequenti bocciature, esclusione dal gruppo, frequenze scolastiche incostanti e provvedimenti disciplinari caratterizzano la carriera scolastica di questi minori e mettono a rischio il loro futuro, aumentando il rischio che sviluppino dipendenze da alcool, sostanze o dall’assistenza pubblica, che entrino in circuit</w:t>
            </w:r>
            <w:r w:rsidR="00915455">
              <w:t>i criminosi o si trovino senza fissa dimora</w:t>
            </w:r>
            <w:r w:rsidR="00CF0E90">
              <w:t>.</w:t>
            </w:r>
          </w:p>
          <w:p w:rsidR="00CF0E90" w:rsidRDefault="00A408E4">
            <w:r>
              <w:t>Per rilevare la presenza di questi problemi scolastici, alle famiglie che ospitano i minori è stato sottoposto un questionario.</w:t>
            </w:r>
          </w:p>
        </w:tc>
        <w:tc>
          <w:tcPr>
            <w:tcW w:w="3210" w:type="dxa"/>
          </w:tcPr>
          <w:p w:rsidR="00BD7BFA" w:rsidRDefault="00BD7BFA"/>
        </w:tc>
      </w:tr>
      <w:tr w:rsidR="00AD7285" w:rsidTr="00DD7C8B">
        <w:tc>
          <w:tcPr>
            <w:tcW w:w="3209" w:type="dxa"/>
          </w:tcPr>
          <w:p w:rsidR="00BD7BFA" w:rsidRDefault="00D4500F">
            <w:r>
              <w:t>Risultati</w:t>
            </w:r>
          </w:p>
        </w:tc>
        <w:tc>
          <w:tcPr>
            <w:tcW w:w="3209" w:type="dxa"/>
          </w:tcPr>
          <w:p w:rsidR="00AD7285" w:rsidRDefault="00706BC5" w:rsidP="00CF0E90">
            <w:r>
              <w:t>Per quanto riguarda i dati anagrafici</w:t>
            </w:r>
            <w:r w:rsidR="00E34D72">
              <w:t xml:space="preserve">, nel gruppo analizzato emerge </w:t>
            </w:r>
            <w:r w:rsidR="007170DD">
              <w:t xml:space="preserve">una prevalenza di maschi </w:t>
            </w:r>
            <w:r w:rsidR="00FC4C60">
              <w:t>e un’alta percentuale di stranieri.</w:t>
            </w:r>
            <w:r w:rsidR="007D435E">
              <w:t xml:space="preserve"> Le maggiori difficoltà</w:t>
            </w:r>
            <w:r w:rsidR="00457FB8">
              <w:t xml:space="preserve"> di tipo burocratico </w:t>
            </w:r>
            <w:r w:rsidR="007D435E">
              <w:t xml:space="preserve">riscontrate </w:t>
            </w:r>
            <w:r w:rsidR="000017D2" w:rsidRPr="000017D2">
              <w:t>rigua</w:t>
            </w:r>
            <w:r w:rsidR="000017D2">
              <w:t>rdano l</w:t>
            </w:r>
            <w:r w:rsidR="000017D2" w:rsidRPr="000017D2">
              <w:t>’iscrizione</w:t>
            </w:r>
            <w:r w:rsidR="004D447B">
              <w:t xml:space="preserve"> alla scuola dell’infanzia e primar</w:t>
            </w:r>
            <w:r w:rsidR="00D6409D">
              <w:t>ia</w:t>
            </w:r>
            <w:r w:rsidR="004E7DD7">
              <w:t xml:space="preserve">. </w:t>
            </w:r>
            <w:r w:rsidR="00D21831">
              <w:t>La crescita delle difficoltà di apprendimento coincide con l’aumento del livello</w:t>
            </w:r>
            <w:r w:rsidR="007459CB">
              <w:t xml:space="preserve"> scolastico, con un picco nella scuola secondaria </w:t>
            </w:r>
            <w:r w:rsidR="003A4682">
              <w:t>di primo grado.</w:t>
            </w:r>
            <w:r w:rsidR="00152FDC">
              <w:t xml:space="preserve"> Più di un bambino su tre però presenta </w:t>
            </w:r>
            <w:r w:rsidR="00920726">
              <w:t>difficoltà di apprendimento già durante la scuola dell’infanzia</w:t>
            </w:r>
            <w:r w:rsidR="00F354A8">
              <w:t xml:space="preserve">, </w:t>
            </w:r>
            <w:r w:rsidR="00F354A8">
              <w:lastRenderedPageBreak/>
              <w:t xml:space="preserve">ipotizzando ritardi </w:t>
            </w:r>
            <w:r w:rsidR="00B61E5B">
              <w:t>evidenti e difficoltà significative.</w:t>
            </w:r>
          </w:p>
          <w:p w:rsidR="001D03C8" w:rsidRDefault="004F69FD" w:rsidP="00CF0E90">
            <w:r>
              <w:t xml:space="preserve">Percentuali importanti riguardano i problemi legati </w:t>
            </w:r>
            <w:r w:rsidR="00585D28">
              <w:t>al comportamento, al mantenimento dell’attenzione</w:t>
            </w:r>
            <w:r w:rsidR="00713363">
              <w:t xml:space="preserve"> e all’auto motivazione. Percentuali che crescono </w:t>
            </w:r>
            <w:r w:rsidR="000017D2">
              <w:t>nei</w:t>
            </w:r>
            <w:r w:rsidR="00713363">
              <w:t xml:space="preserve"> soggetti con DSA</w:t>
            </w:r>
            <w:r w:rsidR="00BB2542">
              <w:t xml:space="preserve"> (8% dei minori analizzati).</w:t>
            </w:r>
            <w:r w:rsidR="0096245F">
              <w:t xml:space="preserve"> Per i minori stranieri sopra i 15 anni si aggiunge il problema </w:t>
            </w:r>
            <w:r w:rsidR="00DD3D43">
              <w:t xml:space="preserve">dell’inserimento scolastico con </w:t>
            </w:r>
            <w:r w:rsidR="007B74B1">
              <w:t>un forte gap tra l’età anagrafica e le competenze.</w:t>
            </w:r>
          </w:p>
          <w:p w:rsidR="005804BF" w:rsidRDefault="005804BF" w:rsidP="00CF0E90">
            <w:r>
              <w:t xml:space="preserve">Altri fattori che incidono </w:t>
            </w:r>
            <w:r w:rsidR="00F65ADA">
              <w:t>negativamente sono</w:t>
            </w:r>
            <w:r w:rsidR="0014076C">
              <w:t xml:space="preserve"> il forzato </w:t>
            </w:r>
            <w:r w:rsidR="006F6AC1">
              <w:t>allontanamento dai genitori</w:t>
            </w:r>
            <w:r w:rsidR="00D20234">
              <w:t xml:space="preserve">, </w:t>
            </w:r>
            <w:r w:rsidR="000678BA">
              <w:t xml:space="preserve">maltrattamenti e abusi sessuali, forme di dipendenza di uno o entrambi i genitori, </w:t>
            </w:r>
            <w:r w:rsidR="00E70C97">
              <w:t>relazioni familiari conflittual</w:t>
            </w:r>
            <w:r w:rsidR="00BB78E3">
              <w:t>i</w:t>
            </w:r>
            <w:r w:rsidR="00E70C97">
              <w:t xml:space="preserve"> e problemi di natura fisica, psichica </w:t>
            </w:r>
            <w:r w:rsidR="00457FB8">
              <w:t>o psichiatrica.</w:t>
            </w:r>
          </w:p>
          <w:p w:rsidR="00920726" w:rsidRDefault="00920726" w:rsidP="00CF0E90"/>
        </w:tc>
        <w:tc>
          <w:tcPr>
            <w:tcW w:w="3210" w:type="dxa"/>
          </w:tcPr>
          <w:p w:rsidR="00AD7285" w:rsidRDefault="00B54AD1">
            <w:r>
              <w:lastRenderedPageBreak/>
              <w:t>L’integrazione dei grafici per dimos</w:t>
            </w:r>
            <w:r w:rsidR="001B2AD8">
              <w:t xml:space="preserve">trare i risultati del </w:t>
            </w:r>
            <w:r w:rsidR="00E12F8E">
              <w:t xml:space="preserve">questionario </w:t>
            </w:r>
            <w:r w:rsidR="001B2AD8">
              <w:t xml:space="preserve">permette una più </w:t>
            </w:r>
            <w:r w:rsidR="00E53374">
              <w:t>semplice e immediata acquisizione e interpretazione dei dati</w:t>
            </w:r>
            <w:r w:rsidR="00902EF6">
              <w:t>, facilitando la comprensione dell</w:t>
            </w:r>
            <w:r w:rsidR="00CE476D">
              <w:t xml:space="preserve">e </w:t>
            </w:r>
            <w:r w:rsidR="00E12F8E">
              <w:t>rilevazioni effettuate.</w:t>
            </w:r>
          </w:p>
        </w:tc>
      </w:tr>
      <w:tr w:rsidR="00BD7BFA" w:rsidTr="00DD7C8B">
        <w:tc>
          <w:tcPr>
            <w:tcW w:w="3209" w:type="dxa"/>
          </w:tcPr>
          <w:p w:rsidR="00BD7BFA" w:rsidRDefault="002F3F0D">
            <w:r>
              <w:t>Conclusioni</w:t>
            </w:r>
          </w:p>
        </w:tc>
        <w:tc>
          <w:tcPr>
            <w:tcW w:w="3209" w:type="dxa"/>
          </w:tcPr>
          <w:p w:rsidR="00EC7CCC" w:rsidRDefault="00EC7CCC">
            <w:r>
              <w:t xml:space="preserve">Gli insegnanti sono chiamati a </w:t>
            </w:r>
            <w:r w:rsidR="000C6291">
              <w:t xml:space="preserve">cogliere i segnali di disagio </w:t>
            </w:r>
            <w:r w:rsidR="008F7586">
              <w:t xml:space="preserve">degli alunni e a muoversi per intervenire. È </w:t>
            </w:r>
            <w:r w:rsidR="00155641">
              <w:t xml:space="preserve">necessaria quindi una formazione che </w:t>
            </w:r>
            <w:r w:rsidR="005F3200">
              <w:t xml:space="preserve">consenta </w:t>
            </w:r>
            <w:r w:rsidR="00E86E94">
              <w:t xml:space="preserve">di acquisire le informazioni </w:t>
            </w:r>
            <w:r w:rsidR="00DD36FD">
              <w:t>per poter agire in maniera consona,</w:t>
            </w:r>
            <w:r w:rsidR="00315E06">
              <w:t xml:space="preserve"> collaborando con le altre figure che supportano il minore.</w:t>
            </w:r>
          </w:p>
          <w:p w:rsidR="00B20A83" w:rsidRDefault="00342AF9">
            <w:r>
              <w:t>I</w:t>
            </w:r>
            <w:r w:rsidR="00315E06">
              <w:t xml:space="preserve">noltre i </w:t>
            </w:r>
            <w:r>
              <w:t xml:space="preserve">dati rilevati confermano che </w:t>
            </w:r>
            <w:r w:rsidR="00780C0E">
              <w:t xml:space="preserve">i minori “out of care” </w:t>
            </w:r>
            <w:r w:rsidR="00571057">
              <w:t>presentano maggiori difficoltà di apprendimento e che l</w:t>
            </w:r>
            <w:r w:rsidR="00A42931">
              <w:t>’</w:t>
            </w:r>
            <w:r w:rsidR="00A42931">
              <w:t>insuccesso a scuola diventa predittivo di un difficile adattamento alla vita.</w:t>
            </w:r>
          </w:p>
          <w:p w:rsidR="00BD7BFA" w:rsidRDefault="004A7C26">
            <w:r>
              <w:t>Le difficoltà d</w:t>
            </w:r>
            <w:r w:rsidR="00DC7E18">
              <w:t xml:space="preserve">i questi minori </w:t>
            </w:r>
            <w:r w:rsidR="00F8144E">
              <w:t xml:space="preserve">evidenziano </w:t>
            </w:r>
            <w:r w:rsidR="00DF5C73">
              <w:t xml:space="preserve">l’urgenza di dare vita </w:t>
            </w:r>
            <w:r w:rsidR="00127A11">
              <w:t>a interventi nelle scuole</w:t>
            </w:r>
            <w:r w:rsidR="00E42B46">
              <w:t xml:space="preserve">: per far fronte a situazioni complesse </w:t>
            </w:r>
            <w:r w:rsidR="00867BFB">
              <w:t xml:space="preserve">le soluzioni devono coinvolgere </w:t>
            </w:r>
            <w:r w:rsidR="003E4F50">
              <w:t xml:space="preserve">più soggetti e aspetti. Questo servirà </w:t>
            </w:r>
            <w:r w:rsidR="00127A11">
              <w:t>per poi</w:t>
            </w:r>
            <w:r w:rsidR="00DE48B4">
              <w:t xml:space="preserve"> orientare le disposizioni ministeriali.</w:t>
            </w:r>
          </w:p>
          <w:p w:rsidR="00BB157C" w:rsidRDefault="008B6AC4">
            <w:r>
              <w:t xml:space="preserve">Sarebbe utile anche tenere </w:t>
            </w:r>
            <w:r w:rsidR="00446F2F">
              <w:t xml:space="preserve">un’anagrafe </w:t>
            </w:r>
            <w:r w:rsidR="00BB157C">
              <w:t xml:space="preserve">nazionale dei minori che crescono al di fuori della famiglia d’origine per </w:t>
            </w:r>
            <w:r w:rsidR="00B20A83">
              <w:t>poter condurre ulteriori indagini.</w:t>
            </w:r>
          </w:p>
        </w:tc>
        <w:tc>
          <w:tcPr>
            <w:tcW w:w="3210" w:type="dxa"/>
          </w:tcPr>
          <w:p w:rsidR="00BD7BFA" w:rsidRDefault="00BD7BFA"/>
        </w:tc>
      </w:tr>
      <w:tr w:rsidR="003A394A" w:rsidTr="00DD7C8B">
        <w:tc>
          <w:tcPr>
            <w:tcW w:w="3209" w:type="dxa"/>
          </w:tcPr>
          <w:p w:rsidR="003A394A" w:rsidRDefault="00D32EDB">
            <w:r>
              <w:lastRenderedPageBreak/>
              <w:t>Bibliografia</w:t>
            </w:r>
          </w:p>
        </w:tc>
        <w:tc>
          <w:tcPr>
            <w:tcW w:w="3209" w:type="dxa"/>
          </w:tcPr>
          <w:p w:rsidR="00646EBE" w:rsidRDefault="00646EBE" w:rsidP="00646EBE">
            <w:proofErr w:type="spellStart"/>
            <w:r>
              <w:t>Belotti</w:t>
            </w:r>
            <w:proofErr w:type="spellEnd"/>
            <w:r>
              <w:t>, V. (2010).</w:t>
            </w:r>
          </w:p>
          <w:p w:rsidR="00646EBE" w:rsidRDefault="00646EBE" w:rsidP="00646EBE">
            <w:r>
              <w:t xml:space="preserve">Berlin, M., </w:t>
            </w:r>
            <w:proofErr w:type="spellStart"/>
            <w:r>
              <w:t>Vinnerljung</w:t>
            </w:r>
            <w:proofErr w:type="spellEnd"/>
            <w:r>
              <w:t xml:space="preserve">, B., &amp; </w:t>
            </w:r>
            <w:proofErr w:type="spellStart"/>
            <w:r>
              <w:t>Hjern</w:t>
            </w:r>
            <w:proofErr w:type="spellEnd"/>
            <w:r>
              <w:t>, A. (2011).</w:t>
            </w:r>
          </w:p>
          <w:p w:rsidR="00646EBE" w:rsidRDefault="00646EBE" w:rsidP="00646EBE">
            <w:proofErr w:type="spellStart"/>
            <w:r>
              <w:t>Brännström</w:t>
            </w:r>
            <w:proofErr w:type="spellEnd"/>
            <w:r>
              <w:t xml:space="preserve">, L., </w:t>
            </w:r>
            <w:proofErr w:type="spellStart"/>
            <w:r>
              <w:t>Vinnerljung</w:t>
            </w:r>
            <w:proofErr w:type="spellEnd"/>
            <w:r>
              <w:t xml:space="preserve">, B., &amp; </w:t>
            </w:r>
            <w:proofErr w:type="spellStart"/>
            <w:r>
              <w:t>Hjern</w:t>
            </w:r>
            <w:proofErr w:type="spellEnd"/>
            <w:r>
              <w:t>, A. (2015).</w:t>
            </w:r>
          </w:p>
          <w:p w:rsidR="00646EBE" w:rsidRDefault="00646EBE" w:rsidP="00646EBE">
            <w:r>
              <w:t xml:space="preserve">Flynn, R.J., </w:t>
            </w:r>
            <w:proofErr w:type="spellStart"/>
            <w:r>
              <w:t>Ghazal</w:t>
            </w:r>
            <w:proofErr w:type="spellEnd"/>
            <w:r>
              <w:t xml:space="preserve">, H., Legault, L., </w:t>
            </w:r>
            <w:proofErr w:type="spellStart"/>
            <w:r>
              <w:t>Vandermeulen</w:t>
            </w:r>
            <w:proofErr w:type="spellEnd"/>
            <w:r>
              <w:t xml:space="preserve">, G., &amp; </w:t>
            </w:r>
            <w:proofErr w:type="spellStart"/>
            <w:r>
              <w:t>Petrick</w:t>
            </w:r>
            <w:proofErr w:type="spellEnd"/>
            <w:r>
              <w:t xml:space="preserve"> S. (2004). </w:t>
            </w:r>
            <w:proofErr w:type="spellStart"/>
            <w:r>
              <w:t>Forsman</w:t>
            </w:r>
            <w:proofErr w:type="spellEnd"/>
            <w:r>
              <w:t xml:space="preserve">, H., &amp; </w:t>
            </w:r>
            <w:proofErr w:type="spellStart"/>
            <w:r>
              <w:t>Vinnerljung</w:t>
            </w:r>
            <w:proofErr w:type="spellEnd"/>
            <w:r>
              <w:t xml:space="preserve">, B. (2012). Jackson, S., &amp; Cameron, C. (2012). </w:t>
            </w:r>
            <w:proofErr w:type="spellStart"/>
            <w:r>
              <w:t>Vinnerljung</w:t>
            </w:r>
            <w:proofErr w:type="spellEnd"/>
            <w:r>
              <w:t xml:space="preserve">, B., Berlin, M., &amp; </w:t>
            </w:r>
            <w:proofErr w:type="spellStart"/>
            <w:r>
              <w:t>Hjern,A</w:t>
            </w:r>
            <w:proofErr w:type="spellEnd"/>
            <w:r>
              <w:t>. (2010).</w:t>
            </w:r>
          </w:p>
          <w:p w:rsidR="003A394A" w:rsidRDefault="00646EBE">
            <w:proofErr w:type="spellStart"/>
            <w:r>
              <w:t>Zetlin</w:t>
            </w:r>
            <w:proofErr w:type="spellEnd"/>
            <w:r>
              <w:t xml:space="preserve">, A., </w:t>
            </w:r>
            <w:proofErr w:type="spellStart"/>
            <w:r>
              <w:t>MacLeod</w:t>
            </w:r>
            <w:proofErr w:type="spellEnd"/>
            <w:r>
              <w:t xml:space="preserve">, E., &amp; </w:t>
            </w:r>
            <w:proofErr w:type="spellStart"/>
            <w:r>
              <w:t>Kimm</w:t>
            </w:r>
            <w:proofErr w:type="spellEnd"/>
            <w:r>
              <w:t>, C. (2012).</w:t>
            </w:r>
          </w:p>
        </w:tc>
        <w:tc>
          <w:tcPr>
            <w:tcW w:w="3210" w:type="dxa"/>
          </w:tcPr>
          <w:p w:rsidR="003A394A" w:rsidRDefault="003A394A"/>
        </w:tc>
      </w:tr>
    </w:tbl>
    <w:p w:rsidR="007E7921" w:rsidRDefault="007E7921" w:rsidP="00A42931"/>
    <w:sectPr w:rsidR="007E79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1"/>
    <w:rsid w:val="000017D2"/>
    <w:rsid w:val="0004405E"/>
    <w:rsid w:val="00055C1D"/>
    <w:rsid w:val="000678BA"/>
    <w:rsid w:val="000A37EB"/>
    <w:rsid w:val="000A4763"/>
    <w:rsid w:val="000C6291"/>
    <w:rsid w:val="00127A11"/>
    <w:rsid w:val="0014076C"/>
    <w:rsid w:val="00152FDC"/>
    <w:rsid w:val="00155641"/>
    <w:rsid w:val="00170AE6"/>
    <w:rsid w:val="00193CC6"/>
    <w:rsid w:val="001B2AD8"/>
    <w:rsid w:val="001D03C8"/>
    <w:rsid w:val="002018DD"/>
    <w:rsid w:val="00275CAA"/>
    <w:rsid w:val="00275FAC"/>
    <w:rsid w:val="00282CE7"/>
    <w:rsid w:val="00293BCB"/>
    <w:rsid w:val="002C1D02"/>
    <w:rsid w:val="002F0F74"/>
    <w:rsid w:val="002F3F0D"/>
    <w:rsid w:val="00315E06"/>
    <w:rsid w:val="00342AF9"/>
    <w:rsid w:val="00343916"/>
    <w:rsid w:val="00347C00"/>
    <w:rsid w:val="0036070E"/>
    <w:rsid w:val="00390AFB"/>
    <w:rsid w:val="00396580"/>
    <w:rsid w:val="003A394A"/>
    <w:rsid w:val="003A4682"/>
    <w:rsid w:val="003B175B"/>
    <w:rsid w:val="003E4F50"/>
    <w:rsid w:val="0043521C"/>
    <w:rsid w:val="00444E6B"/>
    <w:rsid w:val="00446F2F"/>
    <w:rsid w:val="00457FB8"/>
    <w:rsid w:val="00486546"/>
    <w:rsid w:val="00486EDE"/>
    <w:rsid w:val="00494ACB"/>
    <w:rsid w:val="004A504F"/>
    <w:rsid w:val="004A7C26"/>
    <w:rsid w:val="004C288F"/>
    <w:rsid w:val="004D447B"/>
    <w:rsid w:val="004E7DD7"/>
    <w:rsid w:val="004F69FD"/>
    <w:rsid w:val="005034A7"/>
    <w:rsid w:val="005053C6"/>
    <w:rsid w:val="00571057"/>
    <w:rsid w:val="005804BF"/>
    <w:rsid w:val="00585D28"/>
    <w:rsid w:val="00586A87"/>
    <w:rsid w:val="005F3200"/>
    <w:rsid w:val="00623FC5"/>
    <w:rsid w:val="00646EBE"/>
    <w:rsid w:val="006658BB"/>
    <w:rsid w:val="00672386"/>
    <w:rsid w:val="006A0448"/>
    <w:rsid w:val="006B0C5F"/>
    <w:rsid w:val="006D5C23"/>
    <w:rsid w:val="006F6AC1"/>
    <w:rsid w:val="00706BC5"/>
    <w:rsid w:val="00713363"/>
    <w:rsid w:val="007170DD"/>
    <w:rsid w:val="007459CB"/>
    <w:rsid w:val="00770096"/>
    <w:rsid w:val="00780C0E"/>
    <w:rsid w:val="007B4464"/>
    <w:rsid w:val="007B74B1"/>
    <w:rsid w:val="007C2C08"/>
    <w:rsid w:val="007D435E"/>
    <w:rsid w:val="007E7921"/>
    <w:rsid w:val="00810E33"/>
    <w:rsid w:val="008403EE"/>
    <w:rsid w:val="008668C8"/>
    <w:rsid w:val="00867BFB"/>
    <w:rsid w:val="008878E4"/>
    <w:rsid w:val="008B6AC4"/>
    <w:rsid w:val="008D4CE2"/>
    <w:rsid w:val="008E4A76"/>
    <w:rsid w:val="008E4B11"/>
    <w:rsid w:val="008F7586"/>
    <w:rsid w:val="00901902"/>
    <w:rsid w:val="00902EF6"/>
    <w:rsid w:val="00913D93"/>
    <w:rsid w:val="00915455"/>
    <w:rsid w:val="00920726"/>
    <w:rsid w:val="0096245F"/>
    <w:rsid w:val="009A6795"/>
    <w:rsid w:val="009B70CC"/>
    <w:rsid w:val="009E56F5"/>
    <w:rsid w:val="00A1524D"/>
    <w:rsid w:val="00A24833"/>
    <w:rsid w:val="00A408E4"/>
    <w:rsid w:val="00A42931"/>
    <w:rsid w:val="00A43E7B"/>
    <w:rsid w:val="00A84DBE"/>
    <w:rsid w:val="00AB2A5B"/>
    <w:rsid w:val="00AD14A9"/>
    <w:rsid w:val="00AD7285"/>
    <w:rsid w:val="00B20A83"/>
    <w:rsid w:val="00B20DED"/>
    <w:rsid w:val="00B37C87"/>
    <w:rsid w:val="00B54AD1"/>
    <w:rsid w:val="00B61E5B"/>
    <w:rsid w:val="00B854E0"/>
    <w:rsid w:val="00BB157C"/>
    <w:rsid w:val="00BB2542"/>
    <w:rsid w:val="00BB5A81"/>
    <w:rsid w:val="00BB78E3"/>
    <w:rsid w:val="00BD7BFA"/>
    <w:rsid w:val="00BE0D25"/>
    <w:rsid w:val="00C121BF"/>
    <w:rsid w:val="00C27A56"/>
    <w:rsid w:val="00C35878"/>
    <w:rsid w:val="00C50126"/>
    <w:rsid w:val="00C5645D"/>
    <w:rsid w:val="00C82D55"/>
    <w:rsid w:val="00CE476D"/>
    <w:rsid w:val="00CF0E90"/>
    <w:rsid w:val="00D20234"/>
    <w:rsid w:val="00D21831"/>
    <w:rsid w:val="00D32EDB"/>
    <w:rsid w:val="00D403FD"/>
    <w:rsid w:val="00D42DD4"/>
    <w:rsid w:val="00D4500F"/>
    <w:rsid w:val="00D55AD0"/>
    <w:rsid w:val="00D6409D"/>
    <w:rsid w:val="00D833F2"/>
    <w:rsid w:val="00DA5AA1"/>
    <w:rsid w:val="00DB5FB9"/>
    <w:rsid w:val="00DB7E83"/>
    <w:rsid w:val="00DC7E18"/>
    <w:rsid w:val="00DD36FD"/>
    <w:rsid w:val="00DD3D43"/>
    <w:rsid w:val="00DD7C8B"/>
    <w:rsid w:val="00DE48B4"/>
    <w:rsid w:val="00DF5C73"/>
    <w:rsid w:val="00E12F8E"/>
    <w:rsid w:val="00E21CDB"/>
    <w:rsid w:val="00E309F0"/>
    <w:rsid w:val="00E34D72"/>
    <w:rsid w:val="00E42B46"/>
    <w:rsid w:val="00E53374"/>
    <w:rsid w:val="00E70C97"/>
    <w:rsid w:val="00E86E94"/>
    <w:rsid w:val="00EA33B8"/>
    <w:rsid w:val="00EC7CCC"/>
    <w:rsid w:val="00ED2F4C"/>
    <w:rsid w:val="00ED6205"/>
    <w:rsid w:val="00EF77D2"/>
    <w:rsid w:val="00F01608"/>
    <w:rsid w:val="00F02EC9"/>
    <w:rsid w:val="00F03AC2"/>
    <w:rsid w:val="00F13B35"/>
    <w:rsid w:val="00F304CE"/>
    <w:rsid w:val="00F31F8C"/>
    <w:rsid w:val="00F354A8"/>
    <w:rsid w:val="00F54DB9"/>
    <w:rsid w:val="00F63C4B"/>
    <w:rsid w:val="00F65ADA"/>
    <w:rsid w:val="00F7001A"/>
    <w:rsid w:val="00F7727E"/>
    <w:rsid w:val="00F8144E"/>
    <w:rsid w:val="00FA2714"/>
    <w:rsid w:val="00FC4C60"/>
    <w:rsid w:val="00FD125D"/>
    <w:rsid w:val="00FF3338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205C51"/>
  <w15:chartTrackingRefBased/>
  <w15:docId w15:val="{0A5561AF-16D8-7945-AFE0-A1DA768F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BCB"/>
  </w:style>
  <w:style w:type="paragraph" w:styleId="Titolo1">
    <w:name w:val="heading 1"/>
    <w:basedOn w:val="Normale"/>
    <w:link w:val="Titolo1Carattere"/>
    <w:uiPriority w:val="9"/>
    <w:qFormat/>
    <w:rsid w:val="00F7727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7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7727E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MOMESSO VALENTINA [SF0101766]</dc:creator>
  <cp:keywords/>
  <dc:description/>
  <cp:lastModifiedBy>MOMESSO VALENTINA [SF0101766]</cp:lastModifiedBy>
  <cp:revision>2</cp:revision>
  <dcterms:created xsi:type="dcterms:W3CDTF">2021-01-17T13:29:00Z</dcterms:created>
  <dcterms:modified xsi:type="dcterms:W3CDTF">2021-01-17T13:29:00Z</dcterms:modified>
</cp:coreProperties>
</file>