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0AEFA" w14:textId="6D7DB9A7" w:rsidR="005B7A08" w:rsidRPr="000975C5" w:rsidRDefault="007D29A2" w:rsidP="00DE6A76">
      <w:pPr>
        <w:spacing w:line="240" w:lineRule="auto"/>
      </w:pPr>
      <w:r w:rsidRPr="000975C5">
        <w:t xml:space="preserve">Il presente lavoro si propone di mettere a confronto </w:t>
      </w:r>
      <w:r w:rsidR="005B7A08" w:rsidRPr="000975C5">
        <w:t>il modo in cui la figura dello scrittore Stefano D’Arrigo è stata trattata in una selezione di storie letterarie</w:t>
      </w:r>
      <w:r w:rsidR="00CB1AF1" w:rsidRPr="000975C5">
        <w:t>,</w:t>
      </w:r>
      <w:r w:rsidR="005B7A08" w:rsidRPr="000975C5">
        <w:t xml:space="preserve"> e lo spazio ad essa dedicato</w:t>
      </w:r>
      <w:r w:rsidR="00CB1AF1" w:rsidRPr="000975C5">
        <w:t>.</w:t>
      </w:r>
    </w:p>
    <w:p w14:paraId="08484DC0" w14:textId="5919FEF5" w:rsidR="007D29A2" w:rsidRPr="000975C5" w:rsidRDefault="005B7A08" w:rsidP="00DE6A76">
      <w:pPr>
        <w:spacing w:line="240" w:lineRule="auto"/>
        <w:rPr>
          <w:highlight w:val="magenta"/>
        </w:rPr>
      </w:pPr>
      <w:r w:rsidRPr="000975C5">
        <w:t xml:space="preserve">In totale sono stati analizzati sei </w:t>
      </w:r>
      <w:r w:rsidR="00002E28" w:rsidRPr="000975C5">
        <w:t>manuali</w:t>
      </w:r>
      <w:r w:rsidRPr="000975C5">
        <w:t xml:space="preserve">. In un primo momento, si è presa visione dell’indice dei nomi presente alla fine di </w:t>
      </w:r>
      <w:r w:rsidR="00002E28" w:rsidRPr="000975C5">
        <w:t>ogni libro</w:t>
      </w:r>
      <w:r w:rsidRPr="000975C5">
        <w:t>, allo scopo di</w:t>
      </w:r>
      <w:r w:rsidR="00002E28" w:rsidRPr="000975C5">
        <w:t xml:space="preserve"> </w:t>
      </w:r>
      <w:r w:rsidRPr="000975C5">
        <w:t>individuare le pagine su D’Arrigo</w:t>
      </w:r>
      <w:r w:rsidR="00002E28" w:rsidRPr="000975C5">
        <w:t xml:space="preserve">; </w:t>
      </w:r>
      <w:r w:rsidRPr="000975C5">
        <w:t xml:space="preserve">poi, si è visionato l’indice iniziale per comprendere all’interno di quale </w:t>
      </w:r>
      <w:r w:rsidR="00002E28" w:rsidRPr="000975C5">
        <w:t xml:space="preserve">sezione e </w:t>
      </w:r>
      <w:r w:rsidRPr="000975C5">
        <w:t>capitolo</w:t>
      </w:r>
      <w:r w:rsidR="00002E28" w:rsidRPr="000975C5">
        <w:t xml:space="preserve"> </w:t>
      </w:r>
      <w:r w:rsidRPr="000975C5">
        <w:t xml:space="preserve">fosse collocata quella porzione di testo. In seguito, si è potuto procedere con la lettura e l’analisi contenutistica </w:t>
      </w:r>
      <w:r w:rsidR="00002E28" w:rsidRPr="000975C5">
        <w:t xml:space="preserve">del paragrafo </w:t>
      </w:r>
      <w:r w:rsidR="00CB1AF1" w:rsidRPr="000975C5">
        <w:t>d’interesse</w:t>
      </w:r>
      <w:r w:rsidR="00002E28" w:rsidRPr="000975C5">
        <w:t xml:space="preserve"> per </w:t>
      </w:r>
      <w:r w:rsidR="00DE6A76" w:rsidRPr="000975C5">
        <w:t xml:space="preserve">questa </w:t>
      </w:r>
      <w:r w:rsidR="00002E28" w:rsidRPr="000975C5">
        <w:t>indagine.</w:t>
      </w:r>
    </w:p>
    <w:p w14:paraId="2C37BBC2" w14:textId="0139483D" w:rsidR="009E7E92" w:rsidRPr="000975C5" w:rsidRDefault="00D07A8D" w:rsidP="00DE6A76">
      <w:pPr>
        <w:spacing w:line="240" w:lineRule="auto"/>
        <w:rPr>
          <w:iCs/>
        </w:rPr>
      </w:pPr>
      <w:r w:rsidRPr="000975C5">
        <w:t xml:space="preserve">Il </w:t>
      </w:r>
      <w:r w:rsidRPr="000975C5">
        <w:rPr>
          <w:b/>
          <w:bCs/>
        </w:rPr>
        <w:t>primo</w:t>
      </w:r>
      <w:r w:rsidRPr="000975C5">
        <w:t xml:space="preserve"> manuale preso in esa</w:t>
      </w:r>
      <w:bookmarkStart w:id="0" w:name="_GoBack"/>
      <w:bookmarkEnd w:id="0"/>
      <w:r w:rsidRPr="000975C5">
        <w:t>me è stato</w:t>
      </w:r>
      <w:r w:rsidR="00A227DC" w:rsidRPr="000975C5">
        <w:t xml:space="preserve"> </w:t>
      </w:r>
      <w:r w:rsidR="00A227DC" w:rsidRPr="000975C5">
        <w:rPr>
          <w:i/>
        </w:rPr>
        <w:t>Il Novecento: apparati ideologici, ceto intellettuale, sistemi formali nella letteratura italiana contemporanea</w:t>
      </w:r>
      <w:r w:rsidR="00A227DC" w:rsidRPr="000975C5">
        <w:rPr>
          <w:iCs/>
        </w:rPr>
        <w:t xml:space="preserve"> di Romano Luperini, pubblicato </w:t>
      </w:r>
      <w:r w:rsidR="00A91A3B" w:rsidRPr="000975C5">
        <w:rPr>
          <w:iCs/>
        </w:rPr>
        <w:t>da</w:t>
      </w:r>
      <w:r w:rsidR="00A227DC" w:rsidRPr="000975C5">
        <w:rPr>
          <w:iCs/>
        </w:rPr>
        <w:t xml:space="preserve"> Loescher nel 1981. </w:t>
      </w:r>
    </w:p>
    <w:p w14:paraId="712AD28C" w14:textId="64181EA4" w:rsidR="00A227DC" w:rsidRPr="000975C5" w:rsidRDefault="00A227DC" w:rsidP="00DE6A76">
      <w:pPr>
        <w:spacing w:line="240" w:lineRule="auto"/>
        <w:rPr>
          <w:iCs/>
        </w:rPr>
      </w:pPr>
      <w:r w:rsidRPr="000975C5">
        <w:rPr>
          <w:iCs/>
        </w:rPr>
        <w:t xml:space="preserve">Innanzitutto, </w:t>
      </w:r>
      <w:r w:rsidR="000A1A11" w:rsidRPr="000975C5">
        <w:rPr>
          <w:iCs/>
        </w:rPr>
        <w:t>è utile fare una breve osservazione sull’anno di pubblicazione.</w:t>
      </w:r>
      <w:r w:rsidR="0040610D" w:rsidRPr="000975C5">
        <w:rPr>
          <w:iCs/>
        </w:rPr>
        <w:t xml:space="preserve"> </w:t>
      </w:r>
      <w:r w:rsidR="000A1A11" w:rsidRPr="000975C5">
        <w:rPr>
          <w:iCs/>
        </w:rPr>
        <w:t xml:space="preserve">Nel 1981, D’Arrigo era ancora </w:t>
      </w:r>
      <w:r w:rsidR="008C783E" w:rsidRPr="000975C5">
        <w:rPr>
          <w:iCs/>
        </w:rPr>
        <w:t>in vita</w:t>
      </w:r>
      <w:r w:rsidR="000A1A11" w:rsidRPr="000975C5">
        <w:rPr>
          <w:iCs/>
        </w:rPr>
        <w:t xml:space="preserve">, </w:t>
      </w:r>
      <w:r w:rsidR="008C783E" w:rsidRPr="000975C5">
        <w:rPr>
          <w:iCs/>
        </w:rPr>
        <w:t xml:space="preserve">solo sei anni prima il suo romanzo </w:t>
      </w:r>
      <w:proofErr w:type="spellStart"/>
      <w:r w:rsidR="008C783E" w:rsidRPr="000975C5">
        <w:rPr>
          <w:i/>
        </w:rPr>
        <w:t>Horcynus</w:t>
      </w:r>
      <w:proofErr w:type="spellEnd"/>
      <w:r w:rsidR="008C783E" w:rsidRPr="000975C5">
        <w:rPr>
          <w:i/>
        </w:rPr>
        <w:t xml:space="preserve"> Orca</w:t>
      </w:r>
      <w:r w:rsidR="008C783E" w:rsidRPr="000975C5">
        <w:rPr>
          <w:iCs/>
        </w:rPr>
        <w:t xml:space="preserve"> era uscito per Mondadori, dopo ben quindici anni dalla comparsa di due suoi estratti sul terzo numero della rivista letteraria </w:t>
      </w:r>
      <w:r w:rsidR="008C783E" w:rsidRPr="000975C5">
        <w:rPr>
          <w:i/>
          <w:iCs/>
        </w:rPr>
        <w:t>Menabò</w:t>
      </w:r>
      <w:r w:rsidR="008C783E" w:rsidRPr="000975C5">
        <w:t xml:space="preserve">, </w:t>
      </w:r>
      <w:proofErr w:type="spellStart"/>
      <w:r w:rsidR="008C783E" w:rsidRPr="000975C5">
        <w:t>condiretta</w:t>
      </w:r>
      <w:proofErr w:type="spellEnd"/>
      <w:r w:rsidR="008C783E" w:rsidRPr="000975C5">
        <w:t xml:space="preserve"> da Elio Vittorini e Italo Calvino. Il suo secondo romanzo, </w:t>
      </w:r>
      <w:r w:rsidR="008C783E" w:rsidRPr="000975C5">
        <w:rPr>
          <w:i/>
          <w:iCs/>
        </w:rPr>
        <w:t xml:space="preserve">Cima delle Nobildonne, </w:t>
      </w:r>
      <w:r w:rsidR="008C783E" w:rsidRPr="000975C5">
        <w:t xml:space="preserve">invece, non </w:t>
      </w:r>
      <w:r w:rsidR="008C54EB" w:rsidRPr="000975C5">
        <w:t>era ancora stato dato alle stampe</w:t>
      </w:r>
      <w:r w:rsidR="008C783E" w:rsidRPr="000975C5">
        <w:t xml:space="preserve">, infatti esso </w:t>
      </w:r>
      <w:r w:rsidR="008C54EB" w:rsidRPr="000975C5">
        <w:t>verrà</w:t>
      </w:r>
      <w:r w:rsidR="008C783E" w:rsidRPr="000975C5">
        <w:t xml:space="preserve"> pubblicato solo nel 1985, </w:t>
      </w:r>
      <w:r w:rsidR="003D01A1" w:rsidRPr="000975C5">
        <w:t>ancora</w:t>
      </w:r>
      <w:r w:rsidR="008C783E" w:rsidRPr="000975C5">
        <w:t xml:space="preserve"> per Mondadori</w:t>
      </w:r>
      <w:r w:rsidR="008C54EB" w:rsidRPr="000975C5">
        <w:t>.</w:t>
      </w:r>
    </w:p>
    <w:p w14:paraId="4F0FA97D" w14:textId="499F282A" w:rsidR="00A91A3B" w:rsidRPr="000975C5" w:rsidRDefault="00B649ED" w:rsidP="00DE6A76">
      <w:pPr>
        <w:spacing w:line="240" w:lineRule="auto"/>
      </w:pPr>
      <w:r w:rsidRPr="000975C5">
        <w:t xml:space="preserve">Luperini </w:t>
      </w:r>
      <w:r w:rsidR="00660C87" w:rsidRPr="000975C5">
        <w:t>dedica</w:t>
      </w:r>
      <w:r w:rsidR="00FA0DC9" w:rsidRPr="000975C5">
        <w:t xml:space="preserve"> </w:t>
      </w:r>
      <w:r w:rsidR="00660C87" w:rsidRPr="000975C5">
        <w:t>al commento dell’</w:t>
      </w:r>
      <w:proofErr w:type="spellStart"/>
      <w:r w:rsidR="00660C87" w:rsidRPr="000975C5">
        <w:rPr>
          <w:i/>
          <w:iCs/>
        </w:rPr>
        <w:t>Horcynus</w:t>
      </w:r>
      <w:proofErr w:type="spellEnd"/>
      <w:r w:rsidR="00660C87" w:rsidRPr="000975C5">
        <w:rPr>
          <w:i/>
          <w:iCs/>
        </w:rPr>
        <w:t xml:space="preserve"> Orca</w:t>
      </w:r>
      <w:r w:rsidR="00660C87" w:rsidRPr="000975C5">
        <w:t xml:space="preserve"> </w:t>
      </w:r>
      <w:bookmarkStart w:id="1" w:name="_Hlk23925409"/>
      <w:r w:rsidR="005B7A08" w:rsidRPr="000975C5">
        <w:t xml:space="preserve">poco più di </w:t>
      </w:r>
      <w:r w:rsidRPr="000975C5">
        <w:t>un capoverso (pp. 866-867) del paragrafo</w:t>
      </w:r>
      <w:r w:rsidR="00660C87" w:rsidRPr="000975C5">
        <w:t xml:space="preserve"> </w:t>
      </w:r>
      <w:r w:rsidR="00660C87" w:rsidRPr="000975C5">
        <w:rPr>
          <w:i/>
          <w:iCs/>
        </w:rPr>
        <w:t>Dopo la neoavanguardia: la letteratura degli anni Settanta e il “ritorno alla poesia”</w:t>
      </w:r>
      <w:r w:rsidR="00660C87" w:rsidRPr="000975C5">
        <w:t xml:space="preserve"> (pp.865-874), all’interno del capitolo </w:t>
      </w:r>
      <w:proofErr w:type="spellStart"/>
      <w:r w:rsidR="00660C87" w:rsidRPr="000975C5">
        <w:rPr>
          <w:i/>
          <w:iCs/>
        </w:rPr>
        <w:t>Neosperimentalismo</w:t>
      </w:r>
      <w:proofErr w:type="spellEnd"/>
      <w:r w:rsidR="00660C87" w:rsidRPr="000975C5">
        <w:rPr>
          <w:i/>
          <w:iCs/>
        </w:rPr>
        <w:t xml:space="preserve"> e nuova avanguardia</w:t>
      </w:r>
      <w:r w:rsidR="00660C87" w:rsidRPr="000975C5">
        <w:t xml:space="preserve">. </w:t>
      </w:r>
      <w:bookmarkEnd w:id="1"/>
    </w:p>
    <w:p w14:paraId="12DC333B" w14:textId="401DA80D" w:rsidR="00B649ED" w:rsidRPr="000975C5" w:rsidRDefault="00660C87" w:rsidP="00DE6A76">
      <w:pPr>
        <w:spacing w:line="240" w:lineRule="auto"/>
      </w:pPr>
      <w:r w:rsidRPr="000975C5">
        <w:t xml:space="preserve">L’opera </w:t>
      </w:r>
      <w:proofErr w:type="spellStart"/>
      <w:r w:rsidRPr="000975C5">
        <w:t>darrighiana</w:t>
      </w:r>
      <w:proofErr w:type="spellEnd"/>
      <w:r w:rsidRPr="000975C5">
        <w:t xml:space="preserve"> viene menzionata </w:t>
      </w:r>
      <w:r w:rsidR="00423DCA" w:rsidRPr="000975C5">
        <w:t>insieme a</w:t>
      </w:r>
      <w:r w:rsidRPr="000975C5">
        <w:t xml:space="preserve"> </w:t>
      </w:r>
      <w:r w:rsidRPr="000975C5">
        <w:rPr>
          <w:i/>
          <w:iCs/>
        </w:rPr>
        <w:t>Corporale</w:t>
      </w:r>
      <w:r w:rsidRPr="000975C5">
        <w:t xml:space="preserve"> </w:t>
      </w:r>
      <w:r w:rsidR="00423DCA" w:rsidRPr="000975C5">
        <w:t xml:space="preserve">di Volponi (datato 1974) e alla </w:t>
      </w:r>
      <w:r w:rsidR="00423DCA" w:rsidRPr="000975C5">
        <w:rPr>
          <w:i/>
          <w:iCs/>
        </w:rPr>
        <w:t>Storia</w:t>
      </w:r>
      <w:r w:rsidR="00423DCA" w:rsidRPr="000975C5">
        <w:t xml:space="preserve"> della Morante</w:t>
      </w:r>
      <w:r w:rsidRPr="000975C5">
        <w:t xml:space="preserve"> </w:t>
      </w:r>
      <w:r w:rsidR="00423DCA" w:rsidRPr="000975C5">
        <w:t>(anch’essa</w:t>
      </w:r>
      <w:r w:rsidR="00A91A3B" w:rsidRPr="000975C5">
        <w:t xml:space="preserve"> del</w:t>
      </w:r>
      <w:r w:rsidR="00423DCA" w:rsidRPr="000975C5">
        <w:t xml:space="preserve"> 1974). </w:t>
      </w:r>
      <w:r w:rsidR="00265CEE" w:rsidRPr="000975C5">
        <w:t>Questi tre testi dimostrerebbero che fosse in atto la</w:t>
      </w:r>
      <w:r w:rsidR="003805A6" w:rsidRPr="000975C5">
        <w:t xml:space="preserve"> </w:t>
      </w:r>
      <w:r w:rsidR="0043446E" w:rsidRPr="000975C5">
        <w:t>“</w:t>
      </w:r>
      <w:r w:rsidR="0043446E" w:rsidRPr="000975C5">
        <w:rPr>
          <w:vertAlign w:val="superscript"/>
        </w:rPr>
        <w:t>‘</w:t>
      </w:r>
      <w:r w:rsidR="00265CEE" w:rsidRPr="000975C5">
        <w:t>rivincita del grande romanzo</w:t>
      </w:r>
      <w:r w:rsidR="0043446E" w:rsidRPr="000975C5">
        <w:t xml:space="preserve"> </w:t>
      </w:r>
      <w:r w:rsidR="003805A6" w:rsidRPr="000975C5">
        <w:rPr>
          <w:vertAlign w:val="superscript"/>
        </w:rPr>
        <w:t>’</w:t>
      </w:r>
      <w:r w:rsidR="003805A6" w:rsidRPr="000975C5">
        <w:t xml:space="preserve">, con la consueta riproposizione, da parte della critica e della propaganda libraria, della figura dello scrittore </w:t>
      </w:r>
      <w:r w:rsidR="003805A6" w:rsidRPr="000975C5">
        <w:rPr>
          <w:vertAlign w:val="superscript"/>
        </w:rPr>
        <w:t>‘</w:t>
      </w:r>
      <w:r w:rsidR="003805A6" w:rsidRPr="000975C5">
        <w:t>demiurgo</w:t>
      </w:r>
      <w:r w:rsidR="003805A6" w:rsidRPr="000975C5">
        <w:rPr>
          <w:vertAlign w:val="superscript"/>
        </w:rPr>
        <w:t>’</w:t>
      </w:r>
      <w:r w:rsidR="003805A6" w:rsidRPr="000975C5">
        <w:t xml:space="preserve"> o del </w:t>
      </w:r>
      <w:r w:rsidR="003805A6" w:rsidRPr="000975C5">
        <w:rPr>
          <w:vertAlign w:val="superscript"/>
        </w:rPr>
        <w:t>‘</w:t>
      </w:r>
      <w:r w:rsidR="003805A6" w:rsidRPr="000975C5">
        <w:t>narratore nato</w:t>
      </w:r>
      <w:r w:rsidR="0043446E" w:rsidRPr="000975C5">
        <w:t xml:space="preserve"> </w:t>
      </w:r>
      <w:r w:rsidR="003805A6" w:rsidRPr="000975C5">
        <w:rPr>
          <w:vertAlign w:val="superscript"/>
        </w:rPr>
        <w:t>’</w:t>
      </w:r>
      <w:r w:rsidR="003805A6" w:rsidRPr="000975C5">
        <w:t xml:space="preserve"> e con la riaffermazione della </w:t>
      </w:r>
      <w:r w:rsidR="003805A6" w:rsidRPr="000975C5">
        <w:rPr>
          <w:vertAlign w:val="superscript"/>
        </w:rPr>
        <w:t>‘</w:t>
      </w:r>
      <w:r w:rsidR="003805A6" w:rsidRPr="000975C5">
        <w:t>individualità creatrice</w:t>
      </w:r>
      <w:r w:rsidR="0043446E" w:rsidRPr="000975C5">
        <w:rPr>
          <w:vertAlign w:val="superscript"/>
        </w:rPr>
        <w:t>’</w:t>
      </w:r>
      <w:r w:rsidR="0043446E" w:rsidRPr="000975C5">
        <w:t>”</w:t>
      </w:r>
      <w:r w:rsidR="003805A6" w:rsidRPr="000975C5">
        <w:rPr>
          <w:rStyle w:val="Rimandonotaapidipagina"/>
        </w:rPr>
        <w:footnoteReference w:id="1"/>
      </w:r>
      <w:r w:rsidR="003805A6" w:rsidRPr="000975C5">
        <w:t xml:space="preserve">. </w:t>
      </w:r>
      <w:r w:rsidR="00423DCA" w:rsidRPr="000975C5">
        <w:t xml:space="preserve">In tutti e tre i casi, </w:t>
      </w:r>
      <w:r w:rsidR="003805A6" w:rsidRPr="000975C5">
        <w:t xml:space="preserve">dunque, si sarebbe </w:t>
      </w:r>
      <w:r w:rsidR="00423DCA" w:rsidRPr="000975C5">
        <w:t>trattato di grandi operazioni di marketing editoriale</w:t>
      </w:r>
      <w:r w:rsidR="003805A6" w:rsidRPr="000975C5">
        <w:t xml:space="preserve"> con il risultato di un </w:t>
      </w:r>
      <w:bookmarkStart w:id="2" w:name="_Hlk23925936"/>
      <w:r w:rsidR="003805A6" w:rsidRPr="000975C5">
        <w:t>ampio successo di pubblico</w:t>
      </w:r>
      <w:r w:rsidR="0043446E" w:rsidRPr="000975C5">
        <w:t>,</w:t>
      </w:r>
      <w:r w:rsidR="003805A6" w:rsidRPr="000975C5">
        <w:t xml:space="preserve"> “seppure in una misura inversamente proporzionale al loro valore: </w:t>
      </w:r>
      <w:r w:rsidR="003805A6" w:rsidRPr="000975C5">
        <w:rPr>
          <w:i/>
          <w:iCs/>
        </w:rPr>
        <w:t xml:space="preserve">La Storia </w:t>
      </w:r>
      <w:r w:rsidR="003805A6" w:rsidRPr="000975C5">
        <w:t xml:space="preserve">ha superato tutti i record di vendita, </w:t>
      </w:r>
      <w:r w:rsidR="003805A6" w:rsidRPr="000975C5">
        <w:rPr>
          <w:i/>
          <w:iCs/>
        </w:rPr>
        <w:t xml:space="preserve">Corporale </w:t>
      </w:r>
      <w:r w:rsidR="003805A6" w:rsidRPr="000975C5">
        <w:t>ha toccato le percentuali proporzionalmente pi</w:t>
      </w:r>
      <w:r w:rsidR="00475199" w:rsidRPr="000975C5">
        <w:t>ù basse.”</w:t>
      </w:r>
      <w:r w:rsidR="00475199" w:rsidRPr="000975C5">
        <w:rPr>
          <w:rStyle w:val="Rimandonotaapidipagina"/>
        </w:rPr>
        <w:footnoteReference w:id="2"/>
      </w:r>
      <w:r w:rsidR="00B10C2B" w:rsidRPr="000975C5">
        <w:t xml:space="preserve"> </w:t>
      </w:r>
      <w:bookmarkEnd w:id="2"/>
      <w:r w:rsidR="00697870" w:rsidRPr="000975C5">
        <w:t>Comunque</w:t>
      </w:r>
      <w:r w:rsidR="00B10C2B" w:rsidRPr="000975C5">
        <w:t xml:space="preserve">, Luperini riconosce ad </w:t>
      </w:r>
      <w:proofErr w:type="spellStart"/>
      <w:r w:rsidR="00B10C2B" w:rsidRPr="000975C5">
        <w:rPr>
          <w:i/>
          <w:iCs/>
        </w:rPr>
        <w:t>Horcynus</w:t>
      </w:r>
      <w:proofErr w:type="spellEnd"/>
      <w:r w:rsidR="00B10C2B" w:rsidRPr="000975C5">
        <w:rPr>
          <w:i/>
          <w:iCs/>
        </w:rPr>
        <w:t xml:space="preserve"> Orca</w:t>
      </w:r>
      <w:r w:rsidR="00B10C2B" w:rsidRPr="000975C5">
        <w:t xml:space="preserve"> un </w:t>
      </w:r>
      <w:bookmarkStart w:id="3" w:name="_Hlk23926090"/>
      <w:r w:rsidR="00B10C2B" w:rsidRPr="000975C5">
        <w:t>considerevole valore sul piano linguistico</w:t>
      </w:r>
      <w:bookmarkStart w:id="4" w:name="_Hlk23926121"/>
      <w:bookmarkEnd w:id="3"/>
      <w:r w:rsidR="00B50072" w:rsidRPr="000975C5">
        <w:t xml:space="preserve">, poiché egli </w:t>
      </w:r>
      <w:r w:rsidR="00B10C2B" w:rsidRPr="000975C5">
        <w:t xml:space="preserve">ritiene che, nell’invenzione di un linguaggio misto d’italiano e di siciliano anche arcaico, D’Arrigo </w:t>
      </w:r>
      <w:r w:rsidR="00DE3175" w:rsidRPr="000975C5">
        <w:t>abbia messo</w:t>
      </w:r>
      <w:r w:rsidR="00B10C2B" w:rsidRPr="000975C5">
        <w:t xml:space="preserve"> a frutto la lezione di Gadda</w:t>
      </w:r>
      <w:r w:rsidR="00DE3175" w:rsidRPr="000975C5">
        <w:rPr>
          <w:rStyle w:val="Rimandonotaapidipagina"/>
        </w:rPr>
        <w:footnoteReference w:id="3"/>
      </w:r>
      <w:r w:rsidR="00B50072" w:rsidRPr="000975C5">
        <w:t>,</w:t>
      </w:r>
      <w:r w:rsidR="006F1244" w:rsidRPr="000975C5">
        <w:t xml:space="preserve"> </w:t>
      </w:r>
      <w:bookmarkEnd w:id="4"/>
      <w:r w:rsidR="006F1244" w:rsidRPr="000975C5">
        <w:t>e su quello strutturale</w:t>
      </w:r>
      <w:r w:rsidR="005847B9" w:rsidRPr="000975C5">
        <w:t>. Al contempo,</w:t>
      </w:r>
      <w:r w:rsidR="006F1244" w:rsidRPr="000975C5">
        <w:t xml:space="preserve"> </w:t>
      </w:r>
      <w:r w:rsidR="00B50072" w:rsidRPr="000975C5">
        <w:t>sostiene</w:t>
      </w:r>
      <w:r w:rsidR="006F1244" w:rsidRPr="000975C5">
        <w:t xml:space="preserve"> che </w:t>
      </w:r>
      <w:r w:rsidR="0049445E" w:rsidRPr="000975C5">
        <w:t>quest’opera</w:t>
      </w:r>
      <w:r w:rsidR="00A378B9" w:rsidRPr="000975C5">
        <w:t>, sebbene pubblicata a metà degli anni Settanta</w:t>
      </w:r>
      <w:r w:rsidR="00697870" w:rsidRPr="000975C5">
        <w:t>,</w:t>
      </w:r>
      <w:r w:rsidR="005847B9" w:rsidRPr="000975C5">
        <w:t xml:space="preserve"> sia </w:t>
      </w:r>
      <w:bookmarkStart w:id="5" w:name="_Hlk23926310"/>
      <w:r w:rsidR="005847B9" w:rsidRPr="000975C5">
        <w:t>legat</w:t>
      </w:r>
      <w:r w:rsidR="0049445E" w:rsidRPr="000975C5">
        <w:t>a</w:t>
      </w:r>
      <w:r w:rsidR="005847B9" w:rsidRPr="000975C5">
        <w:t xml:space="preserve"> “a un tipo di problematica e di sperimentalismo propri degli anni 1955-63 (fra </w:t>
      </w:r>
      <w:r w:rsidR="005847B9" w:rsidRPr="000975C5">
        <w:rPr>
          <w:i/>
          <w:iCs/>
        </w:rPr>
        <w:t>Ragazzi di vita</w:t>
      </w:r>
      <w:r w:rsidR="005847B9" w:rsidRPr="000975C5">
        <w:t xml:space="preserve">, il </w:t>
      </w:r>
      <w:r w:rsidR="005847B9" w:rsidRPr="000975C5">
        <w:rPr>
          <w:i/>
          <w:iCs/>
        </w:rPr>
        <w:t xml:space="preserve">Pasticciaccio </w:t>
      </w:r>
      <w:r w:rsidR="005847B9" w:rsidRPr="000975C5">
        <w:t xml:space="preserve">e la narrativa del </w:t>
      </w:r>
      <w:r w:rsidR="00E35AB9" w:rsidRPr="000975C5">
        <w:rPr>
          <w:vertAlign w:val="superscript"/>
        </w:rPr>
        <w:t>‘</w:t>
      </w:r>
      <w:r w:rsidR="005847B9" w:rsidRPr="000975C5">
        <w:t>Menabò</w:t>
      </w:r>
      <w:r w:rsidR="00E35AB9" w:rsidRPr="000975C5">
        <w:rPr>
          <w:vertAlign w:val="superscript"/>
        </w:rPr>
        <w:t>’</w:t>
      </w:r>
      <w:r w:rsidR="005847B9" w:rsidRPr="000975C5">
        <w:t>)”</w:t>
      </w:r>
      <w:r w:rsidR="00520E22" w:rsidRPr="000975C5">
        <w:rPr>
          <w:rStyle w:val="Rimandonotaapidipagina"/>
        </w:rPr>
        <w:footnoteReference w:id="4"/>
      </w:r>
      <w:r w:rsidR="005847B9" w:rsidRPr="000975C5">
        <w:t xml:space="preserve">, </w:t>
      </w:r>
      <w:bookmarkStart w:id="6" w:name="_Hlk23926354"/>
      <w:bookmarkEnd w:id="5"/>
      <w:r w:rsidR="005847B9" w:rsidRPr="000975C5">
        <w:t>piuttosto che</w:t>
      </w:r>
      <w:r w:rsidR="006F1244" w:rsidRPr="000975C5">
        <w:t xml:space="preserve"> </w:t>
      </w:r>
      <w:r w:rsidR="005847B9" w:rsidRPr="000975C5">
        <w:t xml:space="preserve">all’ambiente letterario degli anni </w:t>
      </w:r>
      <w:r w:rsidR="00A378B9" w:rsidRPr="000975C5">
        <w:t>Settanta</w:t>
      </w:r>
      <w:r w:rsidR="00E35AB9" w:rsidRPr="000975C5">
        <w:t xml:space="preserve"> (</w:t>
      </w:r>
      <w:r w:rsidR="005847B9" w:rsidRPr="000975C5">
        <w:t>il quale era caratterizzato</w:t>
      </w:r>
      <w:r w:rsidR="00A378B9" w:rsidRPr="000975C5">
        <w:t xml:space="preserve"> prevalentemente</w:t>
      </w:r>
      <w:r w:rsidR="005847B9" w:rsidRPr="000975C5">
        <w:t xml:space="preserve"> da un ritorno alla poesia, che sviluppa</w:t>
      </w:r>
      <w:r w:rsidR="00A378B9" w:rsidRPr="000975C5">
        <w:t>va</w:t>
      </w:r>
      <w:r w:rsidR="005847B9" w:rsidRPr="000975C5">
        <w:t xml:space="preserve"> caratteri originali</w:t>
      </w:r>
      <w:r w:rsidR="00A378B9" w:rsidRPr="000975C5">
        <w:t xml:space="preserve">, mentre la narrativa si trovava in una </w:t>
      </w:r>
      <w:r w:rsidR="00A378B9" w:rsidRPr="000975C5">
        <w:rPr>
          <w:i/>
          <w:iCs/>
        </w:rPr>
        <w:t>impasse</w:t>
      </w:r>
      <w:r w:rsidR="00E35AB9" w:rsidRPr="000975C5">
        <w:t>).</w:t>
      </w:r>
      <w:r w:rsidR="00697870" w:rsidRPr="000975C5">
        <w:t xml:space="preserve"> </w:t>
      </w:r>
      <w:r w:rsidR="00B50072" w:rsidRPr="000975C5">
        <w:t xml:space="preserve">Luperini, </w:t>
      </w:r>
      <w:r w:rsidR="006844A7" w:rsidRPr="000975C5">
        <w:t>infatti</w:t>
      </w:r>
      <w:r w:rsidR="00B50072" w:rsidRPr="000975C5">
        <w:t>,</w:t>
      </w:r>
      <w:r w:rsidR="006844A7" w:rsidRPr="000975C5">
        <w:t xml:space="preserve"> </w:t>
      </w:r>
      <w:r w:rsidR="00B50072" w:rsidRPr="000975C5">
        <w:t>ricorda</w:t>
      </w:r>
      <w:r w:rsidR="006844A7" w:rsidRPr="000975C5">
        <w:t xml:space="preserve"> che</w:t>
      </w:r>
      <w:r w:rsidR="00697870" w:rsidRPr="000975C5">
        <w:t xml:space="preserve"> proprio sul </w:t>
      </w:r>
      <w:r w:rsidR="00697870" w:rsidRPr="000975C5">
        <w:rPr>
          <w:i/>
        </w:rPr>
        <w:t>Menabò</w:t>
      </w:r>
      <w:r w:rsidR="00B50072" w:rsidRPr="000975C5">
        <w:rPr>
          <w:i/>
        </w:rPr>
        <w:t xml:space="preserve"> </w:t>
      </w:r>
      <w:r w:rsidR="00B50072" w:rsidRPr="000975C5">
        <w:rPr>
          <w:iCs/>
        </w:rPr>
        <w:t xml:space="preserve">era apparsa, nel 1960, un’anticipazione del primo romanzo </w:t>
      </w:r>
      <w:proofErr w:type="spellStart"/>
      <w:r w:rsidR="00B50072" w:rsidRPr="000975C5">
        <w:rPr>
          <w:iCs/>
        </w:rPr>
        <w:t>darrighiano</w:t>
      </w:r>
      <w:proofErr w:type="spellEnd"/>
      <w:r w:rsidR="00E35AB9" w:rsidRPr="000975C5">
        <w:rPr>
          <w:iCs/>
        </w:rPr>
        <w:t>.</w:t>
      </w:r>
    </w:p>
    <w:bookmarkEnd w:id="6"/>
    <w:p w14:paraId="51A76F4F" w14:textId="073D0F71" w:rsidR="00520E22" w:rsidRPr="000975C5" w:rsidRDefault="00E46027" w:rsidP="00DE6A76">
      <w:pPr>
        <w:spacing w:line="240" w:lineRule="auto"/>
      </w:pPr>
      <w:r w:rsidRPr="000975C5">
        <w:t xml:space="preserve">Il </w:t>
      </w:r>
      <w:r w:rsidRPr="000975C5">
        <w:rPr>
          <w:b/>
          <w:bCs/>
        </w:rPr>
        <w:t xml:space="preserve">secondo </w:t>
      </w:r>
      <w:r w:rsidRPr="000975C5">
        <w:t xml:space="preserve">volume considerato è stata la </w:t>
      </w:r>
      <w:r w:rsidRPr="000975C5">
        <w:rPr>
          <w:i/>
          <w:iCs/>
        </w:rPr>
        <w:t>Storia della letteratura italiana contemporanea: 1940 – 1996</w:t>
      </w:r>
      <w:r w:rsidRPr="000975C5">
        <w:t>,</w:t>
      </w:r>
      <w:r w:rsidRPr="000975C5">
        <w:rPr>
          <w:i/>
          <w:iCs/>
        </w:rPr>
        <w:t xml:space="preserve"> </w:t>
      </w:r>
      <w:r w:rsidRPr="000975C5">
        <w:t xml:space="preserve">scritta da Giuliano Manacorda per gli Editori Riuniti e pubblicata nel 1996. </w:t>
      </w:r>
    </w:p>
    <w:p w14:paraId="4C8615AD" w14:textId="184809A1" w:rsidR="00E46027" w:rsidRPr="000975C5" w:rsidRDefault="005A68D6" w:rsidP="00DE6A76">
      <w:pPr>
        <w:spacing w:line="240" w:lineRule="auto"/>
      </w:pPr>
      <w:r w:rsidRPr="000975C5">
        <w:t>Come nel caso precedente,</w:t>
      </w:r>
      <w:r w:rsidR="00E46027" w:rsidRPr="000975C5">
        <w:t xml:space="preserve"> è bene fare una rapida considerazione di carattere cronologico, </w:t>
      </w:r>
      <w:r w:rsidR="002E6BAC" w:rsidRPr="000975C5">
        <w:t>cioè</w:t>
      </w:r>
      <w:r w:rsidR="00E46027" w:rsidRPr="000975C5">
        <w:t xml:space="preserve"> </w:t>
      </w:r>
      <w:r w:rsidR="002E6BAC" w:rsidRPr="000975C5">
        <w:t>sottolineare</w:t>
      </w:r>
      <w:r w:rsidR="00E46027" w:rsidRPr="000975C5">
        <w:t xml:space="preserve"> che la pubblicazione di questo testo si colloca quattro anni dopo la morte di D’Arrigo.</w:t>
      </w:r>
    </w:p>
    <w:p w14:paraId="76A8EA02" w14:textId="67390915" w:rsidR="005A68D6" w:rsidRPr="000975C5" w:rsidRDefault="005A68D6" w:rsidP="00DE6A76">
      <w:pPr>
        <w:spacing w:line="240" w:lineRule="auto"/>
      </w:pPr>
      <w:r w:rsidRPr="000975C5">
        <w:t xml:space="preserve">Anche Manacorda menziona lo scrittore siciliano e il suo romanzo </w:t>
      </w:r>
      <w:proofErr w:type="spellStart"/>
      <w:r w:rsidRPr="000975C5">
        <w:rPr>
          <w:i/>
          <w:iCs/>
        </w:rPr>
        <w:t>Horcynus</w:t>
      </w:r>
      <w:proofErr w:type="spellEnd"/>
      <w:r w:rsidRPr="000975C5">
        <w:rPr>
          <w:i/>
          <w:iCs/>
        </w:rPr>
        <w:t xml:space="preserve"> Orca</w:t>
      </w:r>
      <w:r w:rsidRPr="000975C5">
        <w:t xml:space="preserve"> contestualmente alla </w:t>
      </w:r>
      <w:r w:rsidRPr="000975C5">
        <w:rPr>
          <w:i/>
          <w:iCs/>
        </w:rPr>
        <w:t xml:space="preserve">Storia </w:t>
      </w:r>
      <w:r w:rsidRPr="000975C5">
        <w:t xml:space="preserve">della Morante e a </w:t>
      </w:r>
      <w:r w:rsidRPr="000975C5">
        <w:rPr>
          <w:i/>
        </w:rPr>
        <w:t>Corporale</w:t>
      </w:r>
      <w:r w:rsidRPr="000975C5">
        <w:rPr>
          <w:iCs/>
        </w:rPr>
        <w:t xml:space="preserve"> di</w:t>
      </w:r>
      <w:r w:rsidRPr="000975C5">
        <w:t xml:space="preserve"> Volponi, poiché queste opere sono casualmente state </w:t>
      </w:r>
      <w:r w:rsidRPr="000975C5">
        <w:lastRenderedPageBreak/>
        <w:t xml:space="preserve">pubblicate nello stesso periodo, a metà degli anni Settanta, dopo lunghe incubazioni. Inoltre, pure qui si evidenzia che esse sono state oggetto di efficaci operazioni editoriali, miranti a “fabbricare il </w:t>
      </w:r>
      <w:r w:rsidRPr="000975C5">
        <w:rPr>
          <w:i/>
          <w:iCs/>
        </w:rPr>
        <w:t>best-seller</w:t>
      </w:r>
      <w:r w:rsidRPr="000975C5">
        <w:t>”</w:t>
      </w:r>
      <w:r w:rsidRPr="000975C5">
        <w:rPr>
          <w:vertAlign w:val="superscript"/>
        </w:rPr>
        <w:footnoteReference w:id="5"/>
      </w:r>
      <w:r w:rsidRPr="000975C5">
        <w:t>, che hanno così determinato “il ritorno al romanzo di largo o larghissimo respiro”</w:t>
      </w:r>
      <w:r w:rsidRPr="000975C5">
        <w:rPr>
          <w:vertAlign w:val="superscript"/>
        </w:rPr>
        <w:footnoteReference w:id="6"/>
      </w:r>
      <w:r w:rsidRPr="000975C5">
        <w:t xml:space="preserve"> (quella che Luperini aveva definito la “rivincita del grande romanzo”, come riportato nel paragrafo precedente). </w:t>
      </w:r>
    </w:p>
    <w:p w14:paraId="02158349" w14:textId="77777777" w:rsidR="00DB64BD" w:rsidRPr="000975C5" w:rsidRDefault="005A68D6" w:rsidP="00DE6A76">
      <w:pPr>
        <w:spacing w:line="240" w:lineRule="auto"/>
      </w:pPr>
      <w:r w:rsidRPr="000975C5">
        <w:t xml:space="preserve">Tali osservazioni vengono fatte nel paragrafo </w:t>
      </w:r>
      <w:r w:rsidRPr="000975C5">
        <w:rPr>
          <w:i/>
          <w:iCs/>
        </w:rPr>
        <w:t>Tre grandi romanzi</w:t>
      </w:r>
      <w:r w:rsidRPr="000975C5">
        <w:t xml:space="preserve"> all’interno del secondo capitolo (</w:t>
      </w:r>
      <w:r w:rsidRPr="000975C5">
        <w:rPr>
          <w:i/>
          <w:iCs/>
        </w:rPr>
        <w:t>I narratori</w:t>
      </w:r>
      <w:r w:rsidRPr="000975C5">
        <w:t>) della quarta parte del manuale, in cui vengono trattati gli anni Settanta. In seguito, le tre opere vengono commentate in modo particolareggiato</w:t>
      </w:r>
      <w:r w:rsidR="00DB64BD" w:rsidRPr="000975C5">
        <w:t xml:space="preserve">. </w:t>
      </w:r>
    </w:p>
    <w:p w14:paraId="47967869" w14:textId="4AF32037" w:rsidR="005A68D6" w:rsidRPr="000975C5" w:rsidRDefault="00DB64BD" w:rsidP="00DE6A76">
      <w:pPr>
        <w:spacing w:line="240" w:lineRule="auto"/>
      </w:pPr>
      <w:r w:rsidRPr="000975C5">
        <w:t xml:space="preserve">Manacorda tratta </w:t>
      </w:r>
      <w:proofErr w:type="spellStart"/>
      <w:r w:rsidRPr="000975C5">
        <w:rPr>
          <w:i/>
        </w:rPr>
        <w:t>Horcynus</w:t>
      </w:r>
      <w:proofErr w:type="spellEnd"/>
      <w:r w:rsidRPr="000975C5">
        <w:rPr>
          <w:i/>
        </w:rPr>
        <w:t xml:space="preserve"> Orca </w:t>
      </w:r>
      <w:r w:rsidRPr="000975C5">
        <w:rPr>
          <w:iCs/>
        </w:rPr>
        <w:t>in maniera decisamente più estesa rispetto a quanto aveva fatto Luperini. Innanzitutto,</w:t>
      </w:r>
      <w:r w:rsidR="008A2B91" w:rsidRPr="000975C5">
        <w:rPr>
          <w:iCs/>
        </w:rPr>
        <w:t xml:space="preserve"> egli fa notare che le componenti che convergono a costituire l’opera sembrano ad un primo esame disparate e sovrapposte </w:t>
      </w:r>
      <w:r w:rsidR="008A2B91" w:rsidRPr="000975C5">
        <w:rPr>
          <w:iCs/>
          <w:szCs w:val="24"/>
        </w:rPr>
        <w:t xml:space="preserve">(si pensi </w:t>
      </w:r>
      <w:r w:rsidR="00A67A81" w:rsidRPr="000975C5">
        <w:rPr>
          <w:iCs/>
          <w:szCs w:val="24"/>
        </w:rPr>
        <w:t>1-</w:t>
      </w:r>
      <w:r w:rsidR="008A2B91" w:rsidRPr="000975C5">
        <w:rPr>
          <w:iCs/>
          <w:szCs w:val="24"/>
        </w:rPr>
        <w:t xml:space="preserve">allo spunto storico del ritorno a casa dei soldati in seguito all’armistizio dell’8 settembre 1943, tra l’altro </w:t>
      </w:r>
      <w:r w:rsidR="008A2B91" w:rsidRPr="000975C5">
        <w:rPr>
          <w:szCs w:val="24"/>
        </w:rPr>
        <w:t xml:space="preserve">oggetto di un’esplicita satira politica che emerge in vari passaggi e </w:t>
      </w:r>
      <w:r w:rsidR="00A67A81" w:rsidRPr="000975C5">
        <w:rPr>
          <w:szCs w:val="24"/>
        </w:rPr>
        <w:t>2-</w:t>
      </w:r>
      <w:r w:rsidR="008A2B91" w:rsidRPr="000975C5">
        <w:rPr>
          <w:szCs w:val="24"/>
        </w:rPr>
        <w:t xml:space="preserve">alla simbolizzazione di quel primo motivo in un viaggio che è al contempo verso le origini e verso la fine; </w:t>
      </w:r>
      <w:r w:rsidR="00A67A81" w:rsidRPr="000975C5">
        <w:rPr>
          <w:szCs w:val="24"/>
        </w:rPr>
        <w:t>3-</w:t>
      </w:r>
      <w:r w:rsidR="008A2B91" w:rsidRPr="000975C5">
        <w:rPr>
          <w:szCs w:val="24"/>
        </w:rPr>
        <w:t xml:space="preserve">alla descrizione tecnicamente precisa del comportamento delle </w:t>
      </w:r>
      <w:r w:rsidR="008A2B91" w:rsidRPr="000975C5">
        <w:rPr>
          <w:i/>
          <w:iCs/>
          <w:szCs w:val="24"/>
        </w:rPr>
        <w:t>fere</w:t>
      </w:r>
      <w:r w:rsidR="008A2B91" w:rsidRPr="000975C5">
        <w:rPr>
          <w:szCs w:val="24"/>
        </w:rPr>
        <w:t xml:space="preserve"> e dell’enorme e terrificante orca e </w:t>
      </w:r>
      <w:r w:rsidR="00A67A81" w:rsidRPr="000975C5">
        <w:rPr>
          <w:szCs w:val="24"/>
        </w:rPr>
        <w:t>4-</w:t>
      </w:r>
      <w:r w:rsidR="008A2B91" w:rsidRPr="000975C5">
        <w:rPr>
          <w:szCs w:val="24"/>
        </w:rPr>
        <w:t>alla loro trasposizione metaforica nel concetto della morte)</w:t>
      </w:r>
      <w:r w:rsidR="00A67A81" w:rsidRPr="000975C5">
        <w:rPr>
          <w:szCs w:val="24"/>
        </w:rPr>
        <w:t xml:space="preserve"> ma </w:t>
      </w:r>
      <w:r w:rsidR="00D45BB8" w:rsidRPr="000975C5">
        <w:rPr>
          <w:szCs w:val="24"/>
        </w:rPr>
        <w:t>traggono la loro unitarietà, “che raccoglie tutto il sovrabbondante materiale e lo organizza finalizzandolo ad una visione tragica dell’essere”</w:t>
      </w:r>
      <w:r w:rsidR="00D45BB8" w:rsidRPr="000975C5">
        <w:rPr>
          <w:szCs w:val="24"/>
          <w:vertAlign w:val="superscript"/>
        </w:rPr>
        <w:footnoteReference w:id="7"/>
      </w:r>
      <w:r w:rsidR="00D45BB8" w:rsidRPr="000975C5">
        <w:rPr>
          <w:szCs w:val="24"/>
        </w:rPr>
        <w:t xml:space="preserve">, dalla capacità di D’Arrigo di </w:t>
      </w:r>
      <w:r w:rsidR="00D45BB8" w:rsidRPr="000975C5">
        <w:t>reinterpretare il reale in una chiave che rende il dato sensoriale, attraverso una possente trasfigurazione mitica, monito e allusione universale.</w:t>
      </w:r>
    </w:p>
    <w:p w14:paraId="0850D7A7" w14:textId="07E5F7ED" w:rsidR="0000793F" w:rsidRPr="000975C5" w:rsidRDefault="0000793F" w:rsidP="00DE6A76">
      <w:pPr>
        <w:spacing w:line="240" w:lineRule="auto"/>
      </w:pPr>
      <w:r w:rsidRPr="000975C5">
        <w:t xml:space="preserve">Viene sottolineato, dunque, che la riproposizione di miti omerici, di quelli classici e talvolta di riferimenti biblici dev’essere letta in tutte le sue numerosissime articolazioni, </w:t>
      </w:r>
    </w:p>
    <w:p w14:paraId="2EAE3494" w14:textId="77777777" w:rsidR="0000793F" w:rsidRPr="000975C5" w:rsidRDefault="0000793F" w:rsidP="00DE6A76">
      <w:pPr>
        <w:spacing w:line="240" w:lineRule="auto"/>
        <w:rPr>
          <w:sz w:val="20"/>
          <w:szCs w:val="20"/>
        </w:rPr>
      </w:pPr>
      <w:r w:rsidRPr="000975C5">
        <w:rPr>
          <w:sz w:val="20"/>
          <w:szCs w:val="20"/>
        </w:rPr>
        <w:t xml:space="preserve">“dove simboli opposti possono giungere ad elidersi e a sommarsi nel medesimo tempo producendo significati sempre più complessi; ecco l’Orca-Morte subire lei stessa la morte e divenire, nella sua orrida carcassa, simbolo della fine del male (il fascismo o la guerra che sono finiti?); e le fere apportatrici di distruzione che distruggendo l’Orca-Morte divengono strumento di liberazione (gli eserciti alleati?); ecco, ancora, nelle parole finali di Luigi </w:t>
      </w:r>
      <w:proofErr w:type="spellStart"/>
      <w:r w:rsidRPr="000975C5">
        <w:rPr>
          <w:sz w:val="20"/>
          <w:szCs w:val="20"/>
        </w:rPr>
        <w:t>Orioles</w:t>
      </w:r>
      <w:proofErr w:type="spellEnd"/>
      <w:r w:rsidRPr="000975C5">
        <w:rPr>
          <w:sz w:val="20"/>
          <w:szCs w:val="20"/>
        </w:rPr>
        <w:t>, il tramonto delle vecchie regole di saggezza e la prefigurazione del futuro (ritorno a una mediocre normalità o prossimo avvento neocapitalista?); ecco nell’amore-conflitto di ‘</w:t>
      </w:r>
      <w:proofErr w:type="spellStart"/>
      <w:r w:rsidRPr="000975C5">
        <w:rPr>
          <w:sz w:val="20"/>
          <w:szCs w:val="20"/>
        </w:rPr>
        <w:t>Ndria</w:t>
      </w:r>
      <w:proofErr w:type="spellEnd"/>
      <w:r w:rsidRPr="000975C5">
        <w:rPr>
          <w:sz w:val="20"/>
          <w:szCs w:val="20"/>
        </w:rPr>
        <w:t xml:space="preserve"> il perenne scontro con l’autorità, e infine nella sua morte, così inutile e casuale eppure quasi cercata, l’eterna sorte delle vittime predestinate.”</w:t>
      </w:r>
      <w:r w:rsidRPr="000975C5">
        <w:rPr>
          <w:rStyle w:val="Rimandonotaapidipagina"/>
          <w:sz w:val="20"/>
          <w:szCs w:val="20"/>
        </w:rPr>
        <w:footnoteReference w:id="8"/>
      </w:r>
    </w:p>
    <w:p w14:paraId="1C64EDA1" w14:textId="0205646A" w:rsidR="0000793F" w:rsidRPr="000975C5" w:rsidRDefault="00DA64B3" w:rsidP="00DE6A76">
      <w:pPr>
        <w:spacing w:line="240" w:lineRule="auto"/>
      </w:pPr>
      <w:r w:rsidRPr="000975C5">
        <w:t xml:space="preserve">Pertanto, sarebbe estremamente semplicistico interpretare </w:t>
      </w:r>
      <w:proofErr w:type="spellStart"/>
      <w:r w:rsidRPr="000975C5">
        <w:rPr>
          <w:i/>
          <w:iCs/>
        </w:rPr>
        <w:t>Horcynus</w:t>
      </w:r>
      <w:proofErr w:type="spellEnd"/>
      <w:r w:rsidRPr="000975C5">
        <w:rPr>
          <w:i/>
          <w:iCs/>
        </w:rPr>
        <w:t xml:space="preserve"> Orca</w:t>
      </w:r>
      <w:r w:rsidRPr="000975C5">
        <w:t xml:space="preserve"> come una </w:t>
      </w:r>
      <w:r w:rsidR="00E1739D" w:rsidRPr="000975C5">
        <w:t>“</w:t>
      </w:r>
      <w:r w:rsidRPr="000975C5">
        <w:t>scatenata produzione fantastica e linguistica</w:t>
      </w:r>
      <w:r w:rsidR="00E1739D" w:rsidRPr="000975C5">
        <w:t>”</w:t>
      </w:r>
      <w:r w:rsidR="00E1739D" w:rsidRPr="000975C5">
        <w:rPr>
          <w:rStyle w:val="Rimandonotaapidipagina"/>
        </w:rPr>
        <w:footnoteReference w:id="9"/>
      </w:r>
      <w:r w:rsidRPr="000975C5">
        <w:t xml:space="preserve">, dato che </w:t>
      </w:r>
    </w:p>
    <w:p w14:paraId="2AA359B4" w14:textId="40FF5244" w:rsidR="00DA64B3" w:rsidRPr="000975C5" w:rsidRDefault="00DA64B3" w:rsidP="00DE6A76">
      <w:pPr>
        <w:spacing w:line="240" w:lineRule="auto"/>
      </w:pPr>
      <w:r w:rsidRPr="000975C5">
        <w:rPr>
          <w:sz w:val="20"/>
          <w:szCs w:val="20"/>
        </w:rPr>
        <w:t xml:space="preserve">“tutto il suo senso culturale e letterario sta nella pregnanza di significati che [quest’opera] scopre nel reale e trasmette con le più libere e complesse associazioni. L’invenzione va qui perciò intesa nel suo senso più proprio di </w:t>
      </w:r>
      <w:proofErr w:type="spellStart"/>
      <w:r w:rsidRPr="000975C5">
        <w:rPr>
          <w:sz w:val="20"/>
          <w:szCs w:val="20"/>
        </w:rPr>
        <w:t>discoverta</w:t>
      </w:r>
      <w:proofErr w:type="spellEnd"/>
      <w:r w:rsidRPr="000975C5">
        <w:rPr>
          <w:sz w:val="20"/>
          <w:szCs w:val="20"/>
        </w:rPr>
        <w:t xml:space="preserve"> di un vero che è sempre al di là della immediata certificazione dei sensi, e sempre si arricchisce di nuove </w:t>
      </w:r>
      <w:proofErr w:type="spellStart"/>
      <w:r w:rsidRPr="000975C5">
        <w:rPr>
          <w:sz w:val="20"/>
          <w:szCs w:val="20"/>
        </w:rPr>
        <w:t>fenomenizzazioni</w:t>
      </w:r>
      <w:proofErr w:type="spellEnd"/>
      <w:r w:rsidRPr="000975C5">
        <w:rPr>
          <w:sz w:val="20"/>
          <w:szCs w:val="20"/>
        </w:rPr>
        <w:t>; così come, appunto, vuole il mito.”</w:t>
      </w:r>
      <w:r w:rsidRPr="000975C5">
        <w:rPr>
          <w:rStyle w:val="Rimandonotaapidipagina"/>
          <w:sz w:val="20"/>
          <w:szCs w:val="20"/>
        </w:rPr>
        <w:footnoteReference w:id="10"/>
      </w:r>
    </w:p>
    <w:p w14:paraId="7AB5290A" w14:textId="2D6E80B8" w:rsidR="00E1739D" w:rsidRPr="000975C5" w:rsidRDefault="00BD6C7A" w:rsidP="00DE6A76">
      <w:pPr>
        <w:spacing w:line="240" w:lineRule="auto"/>
      </w:pPr>
      <w:r w:rsidRPr="000975C5">
        <w:t xml:space="preserve">Il senso del romanzo è, quindi, dato dalle continue aggiunte, </w:t>
      </w:r>
      <w:r w:rsidR="00E1739D" w:rsidRPr="000975C5">
        <w:t>le quali, seppure dapprima sembrino “superfetazioni”</w:t>
      </w:r>
      <w:r w:rsidR="00E1739D" w:rsidRPr="000975C5">
        <w:rPr>
          <w:vertAlign w:val="superscript"/>
        </w:rPr>
        <w:footnoteReference w:id="11"/>
      </w:r>
      <w:r w:rsidR="00E1739D" w:rsidRPr="000975C5">
        <w:t>, in realtà costituiscono “la stessa ragione stilistica del romanzo, il quale cresce ad ogni istante sui propri motivi dilatandoli talora fino al parossismo linguistico.”</w:t>
      </w:r>
      <w:r w:rsidR="00E1739D" w:rsidRPr="000975C5">
        <w:rPr>
          <w:vertAlign w:val="superscript"/>
        </w:rPr>
        <w:footnoteReference w:id="12"/>
      </w:r>
      <w:r w:rsidR="00E1739D" w:rsidRPr="000975C5">
        <w:t xml:space="preserve"> </w:t>
      </w:r>
    </w:p>
    <w:p w14:paraId="772D1A2E" w14:textId="6CA7A27D" w:rsidR="007A39C3" w:rsidRPr="000975C5" w:rsidRDefault="007A39C3" w:rsidP="00DE6A76">
      <w:pPr>
        <w:spacing w:line="240" w:lineRule="auto"/>
        <w:rPr>
          <w:szCs w:val="24"/>
        </w:rPr>
      </w:pPr>
      <w:r w:rsidRPr="000975C5">
        <w:rPr>
          <w:szCs w:val="24"/>
        </w:rPr>
        <w:t>Manacorda procede poi ad un’analisi linguistica, lessicale e sintattica e rileva che la nuova lingua creata da D’Arrigo unisce alla base italiana apporti non solo del dialetto siciliano, che viene reinterpretato e impiegato in maniera “fantastica e creativa”</w:t>
      </w:r>
      <w:r w:rsidRPr="000975C5">
        <w:rPr>
          <w:rStyle w:val="Rimandonotaapidipagina"/>
          <w:szCs w:val="24"/>
        </w:rPr>
        <w:footnoteReference w:id="13"/>
      </w:r>
      <w:r w:rsidRPr="000975C5">
        <w:rPr>
          <w:szCs w:val="24"/>
        </w:rPr>
        <w:t xml:space="preserve">, quindi tutt’altro che realistica, ma anche della </w:t>
      </w:r>
      <w:r w:rsidRPr="000975C5">
        <w:rPr>
          <w:szCs w:val="24"/>
        </w:rPr>
        <w:lastRenderedPageBreak/>
        <w:t>tecnica della pesca o del mare, tra le altre, senza escludere procedimenti più propriamente letterari e tipici del bello scrivere. Questa lingua prende la forma, sul piano lessicale, di sostantivi spesso raddoppiati o divisi o interpolati e di aggettivi modificati in diminutivi, accrescitivi o peggiorativi inconsueti. Sul piano sintattico, prevalgono i periodi molto ampi e si fa evidente l’influenza siciliana, mentre la struttura del periodare è caratterizzata da un “gusto più colto di grandiose associazioni”</w:t>
      </w:r>
      <w:r w:rsidRPr="000975C5">
        <w:rPr>
          <w:rStyle w:val="Rimandonotaapidipagina"/>
          <w:szCs w:val="24"/>
        </w:rPr>
        <w:footnoteReference w:id="14"/>
      </w:r>
      <w:r w:rsidRPr="000975C5">
        <w:rPr>
          <w:szCs w:val="24"/>
        </w:rPr>
        <w:t xml:space="preserve">.  </w:t>
      </w:r>
    </w:p>
    <w:p w14:paraId="5FBF6C91" w14:textId="3FA01D5A" w:rsidR="005B0FA2" w:rsidRPr="000975C5" w:rsidRDefault="005B0FA2" w:rsidP="00DE6A76">
      <w:pPr>
        <w:spacing w:line="240" w:lineRule="auto"/>
        <w:rPr>
          <w:szCs w:val="24"/>
        </w:rPr>
      </w:pPr>
      <w:r w:rsidRPr="000975C5">
        <w:rPr>
          <w:szCs w:val="24"/>
        </w:rPr>
        <w:t xml:space="preserve">Infine, in questo volume viene menzionato anche il secondo romanzo di D’Arrigo, </w:t>
      </w:r>
      <w:r w:rsidRPr="000975C5">
        <w:rPr>
          <w:i/>
          <w:iCs/>
          <w:szCs w:val="24"/>
        </w:rPr>
        <w:t>Cima delle Nobildonne</w:t>
      </w:r>
      <w:r w:rsidRPr="000975C5">
        <w:rPr>
          <w:szCs w:val="24"/>
        </w:rPr>
        <w:t xml:space="preserve">, che Manacorda ritiene non dissimile da </w:t>
      </w:r>
      <w:proofErr w:type="spellStart"/>
      <w:r w:rsidRPr="000975C5">
        <w:rPr>
          <w:i/>
          <w:iCs/>
          <w:szCs w:val="24"/>
        </w:rPr>
        <w:t>Horcynus</w:t>
      </w:r>
      <w:proofErr w:type="spellEnd"/>
      <w:r w:rsidRPr="000975C5">
        <w:rPr>
          <w:i/>
          <w:iCs/>
          <w:szCs w:val="24"/>
        </w:rPr>
        <w:t xml:space="preserve"> Orca</w:t>
      </w:r>
      <w:r w:rsidRPr="000975C5">
        <w:rPr>
          <w:szCs w:val="24"/>
        </w:rPr>
        <w:t xml:space="preserve"> per quanto riguarda la tendenza ad un periodare lungo e complesso, il ricorso a espressioni non canoniche, l’uso di un linguaggio tecnico (in questo caso del campo medico), e la proiezione della realtà presente in una “prospettiva metempirica”</w:t>
      </w:r>
      <w:r w:rsidRPr="000975C5">
        <w:rPr>
          <w:szCs w:val="24"/>
          <w:vertAlign w:val="superscript"/>
        </w:rPr>
        <w:footnoteReference w:id="15"/>
      </w:r>
      <w:r w:rsidRPr="000975C5">
        <w:rPr>
          <w:szCs w:val="24"/>
        </w:rPr>
        <w:t xml:space="preserve"> dominata dal senso di morte.</w:t>
      </w:r>
    </w:p>
    <w:p w14:paraId="64F0A4DB" w14:textId="10B9041B" w:rsidR="00C558AA" w:rsidRPr="000975C5" w:rsidRDefault="00CC542B" w:rsidP="00DE6A76">
      <w:pPr>
        <w:spacing w:line="240" w:lineRule="auto"/>
        <w:rPr>
          <w:iCs/>
          <w:szCs w:val="24"/>
        </w:rPr>
      </w:pPr>
      <w:r w:rsidRPr="000975C5">
        <w:rPr>
          <w:szCs w:val="24"/>
        </w:rPr>
        <w:t xml:space="preserve">Nel complesso, alla trattazione su D’Arrigo vengono riservate oltre due cartelle più due note, in una delle quali, oltre alla vicenda narrata, vi è menzionato il fatto che un’anteprima di quest’opera era apparsa, col titolo </w:t>
      </w:r>
      <w:r w:rsidRPr="000975C5">
        <w:rPr>
          <w:i/>
          <w:iCs/>
          <w:szCs w:val="24"/>
        </w:rPr>
        <w:t>I giorni della fera</w:t>
      </w:r>
      <w:r w:rsidRPr="000975C5">
        <w:rPr>
          <w:szCs w:val="24"/>
        </w:rPr>
        <w:t xml:space="preserve">, sul numero 3 del </w:t>
      </w:r>
      <w:r w:rsidRPr="000975C5">
        <w:rPr>
          <w:i/>
          <w:szCs w:val="24"/>
        </w:rPr>
        <w:t>Menabò</w:t>
      </w:r>
      <w:r w:rsidRPr="000975C5">
        <w:rPr>
          <w:iCs/>
          <w:szCs w:val="24"/>
        </w:rPr>
        <w:t xml:space="preserve"> nel 1960.</w:t>
      </w:r>
      <w:r w:rsidRPr="000975C5">
        <w:rPr>
          <w:rStyle w:val="Rimandonotaapidipagina"/>
          <w:iCs/>
          <w:szCs w:val="24"/>
        </w:rPr>
        <w:footnoteReference w:id="16"/>
      </w:r>
    </w:p>
    <w:p w14:paraId="7C3E189C" w14:textId="77777777" w:rsidR="003B7A83" w:rsidRPr="000975C5" w:rsidRDefault="003B7A83" w:rsidP="00DE6A76">
      <w:pPr>
        <w:spacing w:line="240" w:lineRule="auto"/>
      </w:pPr>
    </w:p>
    <w:p w14:paraId="40731C6B" w14:textId="1C1F6A4F" w:rsidR="00E66400" w:rsidRPr="000975C5" w:rsidRDefault="004D75A0" w:rsidP="00DE6A76">
      <w:pPr>
        <w:spacing w:line="240" w:lineRule="auto"/>
      </w:pPr>
      <w:r w:rsidRPr="000975C5">
        <w:t xml:space="preserve">La </w:t>
      </w:r>
      <w:r w:rsidRPr="000975C5">
        <w:rPr>
          <w:b/>
          <w:bCs/>
        </w:rPr>
        <w:t xml:space="preserve">terza </w:t>
      </w:r>
      <w:r w:rsidRPr="000975C5">
        <w:t xml:space="preserve">storia letteraria presa in considerazione è stata la </w:t>
      </w:r>
      <w:r w:rsidRPr="000975C5">
        <w:rPr>
          <w:i/>
          <w:iCs/>
        </w:rPr>
        <w:t>Storia europea della letteratura italiana</w:t>
      </w:r>
      <w:r w:rsidRPr="000975C5">
        <w:t xml:space="preserve"> di Alberto Asor Rosa, pubblicata </w:t>
      </w:r>
      <w:r w:rsidR="00874403" w:rsidRPr="000975C5">
        <w:t>nel 2009 dal</w:t>
      </w:r>
      <w:r w:rsidRPr="000975C5">
        <w:t>la</w:t>
      </w:r>
      <w:r w:rsidR="00874403" w:rsidRPr="000975C5">
        <w:t xml:space="preserve"> casa editrice</w:t>
      </w:r>
      <w:r w:rsidRPr="000975C5">
        <w:t xml:space="preserve"> Einaudi. In particolare, </w:t>
      </w:r>
      <w:r w:rsidR="00874403" w:rsidRPr="000975C5">
        <w:t xml:space="preserve">è stato utilizzato il terzo volume, </w:t>
      </w:r>
      <w:r w:rsidR="00874403" w:rsidRPr="000975C5">
        <w:rPr>
          <w:i/>
          <w:iCs/>
        </w:rPr>
        <w:t>La letteratura della Nazione</w:t>
      </w:r>
      <w:r w:rsidR="00874403" w:rsidRPr="000975C5">
        <w:t xml:space="preserve">, in cui </w:t>
      </w:r>
      <w:r w:rsidR="00A35D9C" w:rsidRPr="000975C5">
        <w:t>viene</w:t>
      </w:r>
      <w:r w:rsidR="00874403" w:rsidRPr="000975C5">
        <w:t xml:space="preserve"> trattato il periodo tra il 1870 e il primo decennio del 2000.</w:t>
      </w:r>
    </w:p>
    <w:p w14:paraId="4F4C8EFD" w14:textId="611FCD9A" w:rsidR="001F7347" w:rsidRPr="000975C5" w:rsidRDefault="00F71DBE" w:rsidP="00DE6A76">
      <w:pPr>
        <w:spacing w:line="240" w:lineRule="auto"/>
        <w:rPr>
          <w:szCs w:val="24"/>
        </w:rPr>
      </w:pPr>
      <w:r w:rsidRPr="000975C5">
        <w:t xml:space="preserve">La pubblicazione di questo testo avviene circa 17 anni dopo la morte di Stefano D’Arrigo e circa </w:t>
      </w:r>
      <w:r w:rsidRPr="000975C5">
        <w:rPr>
          <w:szCs w:val="24"/>
        </w:rPr>
        <w:t xml:space="preserve">13 </w:t>
      </w:r>
      <w:r w:rsidR="00706D62" w:rsidRPr="000975C5">
        <w:rPr>
          <w:szCs w:val="24"/>
        </w:rPr>
        <w:t xml:space="preserve">anni </w:t>
      </w:r>
      <w:r w:rsidRPr="000975C5">
        <w:rPr>
          <w:szCs w:val="24"/>
        </w:rPr>
        <w:t xml:space="preserve">dopo </w:t>
      </w:r>
      <w:r w:rsidR="00706D62" w:rsidRPr="000975C5">
        <w:rPr>
          <w:szCs w:val="24"/>
        </w:rPr>
        <w:t>la stampa</w:t>
      </w:r>
      <w:r w:rsidRPr="000975C5">
        <w:rPr>
          <w:szCs w:val="24"/>
        </w:rPr>
        <w:t xml:space="preserve"> del manuale appena analizzato.</w:t>
      </w:r>
      <w:r w:rsidR="00951618" w:rsidRPr="000975C5">
        <w:rPr>
          <w:szCs w:val="24"/>
        </w:rPr>
        <w:t xml:space="preserve"> </w:t>
      </w:r>
    </w:p>
    <w:p w14:paraId="4AAC35CE" w14:textId="696EDD7F" w:rsidR="00B527AE" w:rsidRPr="000975C5" w:rsidRDefault="00ED4E3B" w:rsidP="00DE6A76">
      <w:pPr>
        <w:spacing w:line="240" w:lineRule="auto"/>
        <w:rPr>
          <w:szCs w:val="24"/>
        </w:rPr>
      </w:pPr>
      <w:r w:rsidRPr="000975C5">
        <w:rPr>
          <w:szCs w:val="24"/>
        </w:rPr>
        <w:t>Asor Rosa menziona</w:t>
      </w:r>
      <w:r w:rsidR="00B527AE" w:rsidRPr="000975C5">
        <w:rPr>
          <w:szCs w:val="24"/>
        </w:rPr>
        <w:t xml:space="preserve"> brevemente</w:t>
      </w:r>
      <w:r w:rsidRPr="000975C5">
        <w:rPr>
          <w:szCs w:val="24"/>
        </w:rPr>
        <w:t xml:space="preserve"> lo scrittore siciliano nel paragrafo sul “romanzo-magma”, inteso come “un romanzo che cresce dimensionalmente su se stesso in maniera mostruosa e al tempo stesso presenta un unico, gigantesco e indiviso corpo</w:t>
      </w:r>
      <w:r w:rsidR="00B527AE" w:rsidRPr="000975C5">
        <w:rPr>
          <w:szCs w:val="24"/>
        </w:rPr>
        <w:t>” in cui tendenzialmente viene trattato “il magma indistinto e illimitato del reale”, cioè “una massiccia, corposa, realtà umana e storica, che non si può più organizzare secondo determinate gerarchie, ma va presentata […] d’un colpo solo nella sua complessissima e indistricabile interezza”</w:t>
      </w:r>
      <w:r w:rsidR="00B527AE" w:rsidRPr="000975C5">
        <w:rPr>
          <w:rStyle w:val="Rimandonotaapidipagina"/>
          <w:szCs w:val="24"/>
        </w:rPr>
        <w:footnoteReference w:id="17"/>
      </w:r>
      <w:r w:rsidR="00B527AE" w:rsidRPr="000975C5">
        <w:rPr>
          <w:szCs w:val="24"/>
        </w:rPr>
        <w:t>.</w:t>
      </w:r>
      <w:r w:rsidR="003E4A8D" w:rsidRPr="000975C5">
        <w:rPr>
          <w:szCs w:val="24"/>
        </w:rPr>
        <w:t xml:space="preserve"> Questo paragrafo fa parte del capitolo </w:t>
      </w:r>
      <w:r w:rsidR="003E4A8D" w:rsidRPr="000975C5">
        <w:rPr>
          <w:i/>
          <w:iCs/>
          <w:szCs w:val="24"/>
        </w:rPr>
        <w:t>La Prima Repubblica (1956-1989). Sperimentalismo, avanguardie, contestazione dei miti</w:t>
      </w:r>
      <w:r w:rsidR="003E4A8D" w:rsidRPr="000975C5">
        <w:rPr>
          <w:szCs w:val="24"/>
        </w:rPr>
        <w:t>.</w:t>
      </w:r>
    </w:p>
    <w:p w14:paraId="268484C2" w14:textId="77777777" w:rsidR="00D0317F" w:rsidRPr="000975C5" w:rsidRDefault="00B527AE" w:rsidP="00DE6A76">
      <w:pPr>
        <w:spacing w:line="240" w:lineRule="auto"/>
        <w:rPr>
          <w:iCs/>
        </w:rPr>
      </w:pPr>
      <w:r w:rsidRPr="000975C5">
        <w:t xml:space="preserve">Dopo aver fornito, anche lui, l’esempio del </w:t>
      </w:r>
      <w:r w:rsidRPr="000975C5">
        <w:rPr>
          <w:i/>
          <w:iCs/>
        </w:rPr>
        <w:t>Corporale</w:t>
      </w:r>
      <w:r w:rsidRPr="000975C5">
        <w:t xml:space="preserve"> di Volponi (invece alla Morante </w:t>
      </w:r>
      <w:r w:rsidR="00FC56CF" w:rsidRPr="000975C5">
        <w:t>aveva</w:t>
      </w:r>
      <w:r w:rsidRPr="000975C5">
        <w:t xml:space="preserve"> dedicato un</w:t>
      </w:r>
      <w:r w:rsidR="003E4A8D" w:rsidRPr="000975C5">
        <w:t>o dei</w:t>
      </w:r>
      <w:r w:rsidRPr="000975C5">
        <w:t xml:space="preserve"> paragraf</w:t>
      </w:r>
      <w:r w:rsidR="003E4A8D" w:rsidRPr="000975C5">
        <w:t>i</w:t>
      </w:r>
      <w:r w:rsidRPr="000975C5">
        <w:t xml:space="preserve"> preceden</w:t>
      </w:r>
      <w:r w:rsidR="003E4A8D" w:rsidRPr="000975C5">
        <w:t>ti</w:t>
      </w:r>
      <w:r w:rsidRPr="000975C5">
        <w:t xml:space="preserve">), Asor Rosa concede un capoverso </w:t>
      </w:r>
      <w:r w:rsidR="00FC56CF" w:rsidRPr="000975C5">
        <w:t>di meno di</w:t>
      </w:r>
      <w:r w:rsidRPr="000975C5">
        <w:t xml:space="preserve"> 10 righi al commento di </w:t>
      </w:r>
      <w:proofErr w:type="spellStart"/>
      <w:r w:rsidRPr="000975C5">
        <w:rPr>
          <w:i/>
        </w:rPr>
        <w:t>Horcynus</w:t>
      </w:r>
      <w:proofErr w:type="spellEnd"/>
      <w:r w:rsidRPr="000975C5">
        <w:rPr>
          <w:i/>
        </w:rPr>
        <w:t xml:space="preserve"> Orca</w:t>
      </w:r>
      <w:r w:rsidRPr="000975C5">
        <w:rPr>
          <w:iCs/>
        </w:rPr>
        <w:t>.</w:t>
      </w:r>
      <w:r w:rsidR="00EE1C25" w:rsidRPr="000975C5">
        <w:rPr>
          <w:iCs/>
        </w:rPr>
        <w:t xml:space="preserve"> In particolare, l’opera viene definita “monumentale – ma soprattutto dal punto di vista delle dimensioni – […] 1257 pagine ininterrotte”</w:t>
      </w:r>
      <w:r w:rsidR="00EE1C25" w:rsidRPr="000975C5">
        <w:rPr>
          <w:rStyle w:val="Rimandonotaapidipagina"/>
          <w:iCs/>
        </w:rPr>
        <w:footnoteReference w:id="18"/>
      </w:r>
      <w:r w:rsidR="00EE1C25" w:rsidRPr="000975C5">
        <w:rPr>
          <w:iCs/>
        </w:rPr>
        <w:t xml:space="preserve"> e viene osservato che essa </w:t>
      </w:r>
    </w:p>
    <w:p w14:paraId="3F4632D8" w14:textId="77777777" w:rsidR="00D0317F" w:rsidRPr="000975C5" w:rsidRDefault="00EE1C25" w:rsidP="00DE6A76">
      <w:pPr>
        <w:spacing w:line="240" w:lineRule="auto"/>
        <w:rPr>
          <w:iCs/>
          <w:sz w:val="20"/>
          <w:szCs w:val="18"/>
        </w:rPr>
      </w:pPr>
      <w:r w:rsidRPr="000975C5">
        <w:rPr>
          <w:iCs/>
          <w:sz w:val="20"/>
          <w:szCs w:val="18"/>
        </w:rPr>
        <w:t>“sviluppa una storia di poche battute realistiche – il ritorno di un marinaio reduce dalla guerra a casa nel settembre 1943 […] nello spazio di terra e di mare che sta fra la Calabria e la Sicilia – in uno smisurato affresco di voci, cose, persone, luoghi, animali e cieli, tutti stretti fra loro come se fossero legati da una illimitata parentela ancestrale.”</w:t>
      </w:r>
      <w:r w:rsidRPr="000975C5">
        <w:rPr>
          <w:rStyle w:val="Rimandonotaapidipagina"/>
          <w:iCs/>
          <w:sz w:val="20"/>
          <w:szCs w:val="18"/>
        </w:rPr>
        <w:footnoteReference w:id="19"/>
      </w:r>
    </w:p>
    <w:p w14:paraId="7200157F" w14:textId="0B3041CB" w:rsidR="00EE1C25" w:rsidRPr="000975C5" w:rsidRDefault="00EE1C25" w:rsidP="00DE6A76">
      <w:pPr>
        <w:spacing w:line="240" w:lineRule="auto"/>
        <w:rPr>
          <w:iCs/>
        </w:rPr>
      </w:pPr>
      <w:r w:rsidRPr="000975C5">
        <w:rPr>
          <w:iCs/>
        </w:rPr>
        <w:t xml:space="preserve"> Non ci sono riferimenti né alla gestazione dell’opera durata oltre 15 anni, </w:t>
      </w:r>
      <w:r w:rsidR="009C74D4" w:rsidRPr="000975C5">
        <w:rPr>
          <w:iCs/>
        </w:rPr>
        <w:t>né all</w:t>
      </w:r>
      <w:r w:rsidR="00070867" w:rsidRPr="000975C5">
        <w:rPr>
          <w:iCs/>
        </w:rPr>
        <w:t>a</w:t>
      </w:r>
      <w:r w:rsidR="009C74D4" w:rsidRPr="000975C5">
        <w:rPr>
          <w:iCs/>
        </w:rPr>
        <w:t xml:space="preserve"> pubblicazione di due capitoli della prima versione </w:t>
      </w:r>
      <w:r w:rsidR="00070867" w:rsidRPr="000975C5">
        <w:rPr>
          <w:iCs/>
        </w:rPr>
        <w:t xml:space="preserve">del testo </w:t>
      </w:r>
      <w:r w:rsidR="009C74D4" w:rsidRPr="000975C5">
        <w:rPr>
          <w:iCs/>
        </w:rPr>
        <w:t xml:space="preserve">sul </w:t>
      </w:r>
      <w:r w:rsidR="009C74D4" w:rsidRPr="000975C5">
        <w:rPr>
          <w:i/>
          <w:iCs/>
        </w:rPr>
        <w:t xml:space="preserve">Menabò </w:t>
      </w:r>
      <w:r w:rsidR="009C74D4" w:rsidRPr="000975C5">
        <w:t>di Vittorini e Calvino,</w:t>
      </w:r>
      <w:r w:rsidR="009C74D4" w:rsidRPr="000975C5">
        <w:rPr>
          <w:i/>
          <w:iCs/>
        </w:rPr>
        <w:t xml:space="preserve"> </w:t>
      </w:r>
      <w:r w:rsidRPr="000975C5">
        <w:rPr>
          <w:iCs/>
        </w:rPr>
        <w:t>né</w:t>
      </w:r>
      <w:r w:rsidR="009C74D4" w:rsidRPr="000975C5">
        <w:rPr>
          <w:iCs/>
        </w:rPr>
        <w:t xml:space="preserve"> tanto meno</w:t>
      </w:r>
      <w:r w:rsidRPr="000975C5">
        <w:rPr>
          <w:iCs/>
        </w:rPr>
        <w:t xml:space="preserve"> alla lingua impiegata</w:t>
      </w:r>
      <w:r w:rsidR="009C74D4" w:rsidRPr="000975C5">
        <w:rPr>
          <w:iCs/>
        </w:rPr>
        <w:t xml:space="preserve"> e</w:t>
      </w:r>
      <w:r w:rsidRPr="000975C5">
        <w:rPr>
          <w:iCs/>
        </w:rPr>
        <w:t xml:space="preserve"> </w:t>
      </w:r>
      <w:r w:rsidR="00987A72" w:rsidRPr="000975C5">
        <w:rPr>
          <w:iCs/>
        </w:rPr>
        <w:t>al</w:t>
      </w:r>
      <w:r w:rsidRPr="000975C5">
        <w:rPr>
          <w:iCs/>
        </w:rPr>
        <w:t xml:space="preserve"> complesso di </w:t>
      </w:r>
      <w:r w:rsidR="00987A72" w:rsidRPr="000975C5">
        <w:rPr>
          <w:iCs/>
        </w:rPr>
        <w:t>allusioni</w:t>
      </w:r>
      <w:r w:rsidR="009C74D4" w:rsidRPr="000975C5">
        <w:rPr>
          <w:iCs/>
        </w:rPr>
        <w:t xml:space="preserve"> </w:t>
      </w:r>
      <w:r w:rsidRPr="000975C5">
        <w:rPr>
          <w:iCs/>
        </w:rPr>
        <w:t>mitologic</w:t>
      </w:r>
      <w:r w:rsidR="00987A72" w:rsidRPr="000975C5">
        <w:rPr>
          <w:iCs/>
        </w:rPr>
        <w:t>he presenti in questa sorta di “poema epico in prosa”</w:t>
      </w:r>
      <w:r w:rsidR="005F77E4" w:rsidRPr="000975C5">
        <w:rPr>
          <w:rStyle w:val="Rimandonotaapidipagina"/>
          <w:iCs/>
        </w:rPr>
        <w:footnoteReference w:id="20"/>
      </w:r>
      <w:r w:rsidR="00987A72" w:rsidRPr="000975C5">
        <w:rPr>
          <w:iCs/>
        </w:rPr>
        <w:t>.</w:t>
      </w:r>
      <w:r w:rsidR="009C74D4" w:rsidRPr="000975C5">
        <w:rPr>
          <w:iCs/>
        </w:rPr>
        <w:t xml:space="preserve"> Infine, non è presente alcun cenno al secondo romanzo di D’Arrigo, </w:t>
      </w:r>
      <w:r w:rsidR="009C74D4" w:rsidRPr="000975C5">
        <w:rPr>
          <w:i/>
        </w:rPr>
        <w:t>Cima delle Nobildonne</w:t>
      </w:r>
      <w:r w:rsidR="009C74D4" w:rsidRPr="000975C5">
        <w:rPr>
          <w:iCs/>
        </w:rPr>
        <w:t xml:space="preserve">, </w:t>
      </w:r>
      <w:r w:rsidR="009C74D4" w:rsidRPr="000975C5">
        <w:rPr>
          <w:iCs/>
        </w:rPr>
        <w:lastRenderedPageBreak/>
        <w:t xml:space="preserve">né </w:t>
      </w:r>
      <w:r w:rsidR="008709EF" w:rsidRPr="000975C5">
        <w:rPr>
          <w:iCs/>
        </w:rPr>
        <w:t>ai suoi componimenti poetici</w:t>
      </w:r>
      <w:r w:rsidR="009C74D4" w:rsidRPr="000975C5">
        <w:rPr>
          <w:iCs/>
        </w:rPr>
        <w:t>, di cui non parla nessuna delle storie letterarie analizzate</w:t>
      </w:r>
      <w:r w:rsidR="00AB0C36" w:rsidRPr="000975C5">
        <w:rPr>
          <w:iCs/>
        </w:rPr>
        <w:t>,</w:t>
      </w:r>
      <w:r w:rsidR="009C74D4" w:rsidRPr="000975C5">
        <w:rPr>
          <w:iCs/>
        </w:rPr>
        <w:t xml:space="preserve"> eccetto quella di Manacorda che l</w:t>
      </w:r>
      <w:r w:rsidR="00AB0C36" w:rsidRPr="000975C5">
        <w:rPr>
          <w:iCs/>
        </w:rPr>
        <w:t>i</w:t>
      </w:r>
      <w:r w:rsidR="009C74D4" w:rsidRPr="000975C5">
        <w:rPr>
          <w:iCs/>
        </w:rPr>
        <w:t xml:space="preserve"> menziona</w:t>
      </w:r>
      <w:r w:rsidR="008709EF" w:rsidRPr="000975C5">
        <w:rPr>
          <w:iCs/>
        </w:rPr>
        <w:t xml:space="preserve"> in nota (si veda la nota 16 a pagina 967).</w:t>
      </w:r>
    </w:p>
    <w:p w14:paraId="1B8558C4" w14:textId="7B095782" w:rsidR="00F25111" w:rsidRPr="000975C5" w:rsidRDefault="00F25111" w:rsidP="00DE6A76">
      <w:pPr>
        <w:spacing w:line="240" w:lineRule="auto"/>
      </w:pPr>
    </w:p>
    <w:p w14:paraId="306F0379" w14:textId="584D532C" w:rsidR="00892842" w:rsidRPr="000975C5" w:rsidRDefault="00892842" w:rsidP="00DE6A76">
      <w:pPr>
        <w:spacing w:line="240" w:lineRule="auto"/>
      </w:pPr>
      <w:r w:rsidRPr="000975C5">
        <w:t xml:space="preserve">Il </w:t>
      </w:r>
      <w:r w:rsidRPr="000975C5">
        <w:rPr>
          <w:b/>
          <w:bCs/>
        </w:rPr>
        <w:t>quarto</w:t>
      </w:r>
      <w:r w:rsidRPr="000975C5">
        <w:t xml:space="preserve"> testo analizzato è stata la terza edizione del </w:t>
      </w:r>
      <w:r w:rsidRPr="000975C5">
        <w:rPr>
          <w:i/>
          <w:iCs/>
        </w:rPr>
        <w:t>Manuale di letteratura italiana contemporanea</w:t>
      </w:r>
      <w:r w:rsidRPr="000975C5">
        <w:t xml:space="preserve"> di Alberto Casadei e Marco Santagata, pubblicato dalla casa editrice Laterza nel 2011</w:t>
      </w:r>
      <w:r w:rsidR="004137F5" w:rsidRPr="000975C5">
        <w:t>, quindi due anni dopo quello di Asor Rosa</w:t>
      </w:r>
      <w:r w:rsidRPr="000975C5">
        <w:t xml:space="preserve">.  </w:t>
      </w:r>
    </w:p>
    <w:p w14:paraId="487D46C4" w14:textId="02B8D805" w:rsidR="00C26E63" w:rsidRPr="000975C5" w:rsidRDefault="00892842" w:rsidP="00DE6A76">
      <w:pPr>
        <w:spacing w:line="240" w:lineRule="auto"/>
      </w:pPr>
      <w:r w:rsidRPr="000975C5">
        <w:t xml:space="preserve">In questo manuale, </w:t>
      </w:r>
      <w:proofErr w:type="spellStart"/>
      <w:r w:rsidR="0061543E" w:rsidRPr="000975C5">
        <w:rPr>
          <w:i/>
        </w:rPr>
        <w:t>Horcynus</w:t>
      </w:r>
      <w:proofErr w:type="spellEnd"/>
      <w:r w:rsidR="0061543E" w:rsidRPr="000975C5">
        <w:rPr>
          <w:i/>
        </w:rPr>
        <w:t xml:space="preserve"> Orca</w:t>
      </w:r>
      <w:r w:rsidR="0061543E" w:rsidRPr="000975C5">
        <w:rPr>
          <w:iCs/>
        </w:rPr>
        <w:t xml:space="preserve"> è annoverato tra gli ultimi grandi testi sperimentali degli anni Settanta (l’altro esempio citato è, ancora una volta, </w:t>
      </w:r>
      <w:r w:rsidR="0061543E" w:rsidRPr="000975C5">
        <w:rPr>
          <w:i/>
          <w:iCs/>
        </w:rPr>
        <w:t>Corporale</w:t>
      </w:r>
      <w:r w:rsidR="0061543E" w:rsidRPr="000975C5">
        <w:t xml:space="preserve"> di Volponi). Di quest’opera</w:t>
      </w:r>
      <w:r w:rsidR="0070778C" w:rsidRPr="000975C5">
        <w:t>, definita “colossale”</w:t>
      </w:r>
      <w:r w:rsidR="0070778C" w:rsidRPr="000975C5">
        <w:rPr>
          <w:rStyle w:val="Rimandonotaapidipagina"/>
        </w:rPr>
        <w:footnoteReference w:id="21"/>
      </w:r>
      <w:r w:rsidR="0070778C" w:rsidRPr="000975C5">
        <w:t xml:space="preserve"> e una “sorta di testo epico”</w:t>
      </w:r>
      <w:r w:rsidR="00751780" w:rsidRPr="000975C5">
        <w:rPr>
          <w:rStyle w:val="Rimandonotaapidipagina"/>
        </w:rPr>
        <w:footnoteReference w:id="22"/>
      </w:r>
      <w:r w:rsidR="00751780" w:rsidRPr="000975C5">
        <w:t>,</w:t>
      </w:r>
      <w:r w:rsidR="0061543E" w:rsidRPr="000975C5">
        <w:t xml:space="preserve"> viene messa in evidenza l’elaborazione espressionista</w:t>
      </w:r>
      <w:r w:rsidR="0070778C" w:rsidRPr="000975C5">
        <w:t xml:space="preserve"> e la </w:t>
      </w:r>
      <w:r w:rsidR="004137F5" w:rsidRPr="000975C5">
        <w:t>considerevole</w:t>
      </w:r>
      <w:r w:rsidR="0070778C" w:rsidRPr="000975C5">
        <w:t xml:space="preserve"> componente mitica</w:t>
      </w:r>
      <w:r w:rsidR="00751780" w:rsidRPr="000975C5">
        <w:t xml:space="preserve">. Si sottolinea anche come elementi </w:t>
      </w:r>
      <w:proofErr w:type="spellStart"/>
      <w:r w:rsidR="00751780" w:rsidRPr="000975C5">
        <w:t>etno</w:t>
      </w:r>
      <w:proofErr w:type="spellEnd"/>
      <w:r w:rsidR="00751780" w:rsidRPr="000975C5">
        <w:t>-antropologici si fondino in una ricostruzione letteraria che ricorda l’</w:t>
      </w:r>
      <w:r w:rsidR="00751780" w:rsidRPr="000975C5">
        <w:rPr>
          <w:i/>
          <w:iCs/>
        </w:rPr>
        <w:t xml:space="preserve">Odissea </w:t>
      </w:r>
      <w:r w:rsidR="00751780" w:rsidRPr="000975C5">
        <w:t>e, più in generale, rimanda a una “epicità molto arcaica, legata alla lotta per la sopravvivenza.”</w:t>
      </w:r>
      <w:r w:rsidR="00751780" w:rsidRPr="000975C5">
        <w:rPr>
          <w:rStyle w:val="Rimandonotaapidipagina"/>
        </w:rPr>
        <w:footnoteReference w:id="23"/>
      </w:r>
      <w:r w:rsidR="00751780" w:rsidRPr="000975C5">
        <w:t xml:space="preserve"> </w:t>
      </w:r>
      <w:r w:rsidR="001C3D45" w:rsidRPr="000975C5">
        <w:t>Inoltre, si osserva che i</w:t>
      </w:r>
      <w:r w:rsidR="00751780" w:rsidRPr="000975C5">
        <w:t>l mondo che viene delineato</w:t>
      </w:r>
      <w:r w:rsidR="00EF0D49" w:rsidRPr="000975C5">
        <w:t>, tra bestie (</w:t>
      </w:r>
      <w:r w:rsidR="006077A8" w:rsidRPr="000975C5">
        <w:t>in primo luogo le</w:t>
      </w:r>
      <w:r w:rsidR="00EF0D49" w:rsidRPr="000975C5">
        <w:t xml:space="preserve"> </w:t>
      </w:r>
      <w:r w:rsidR="00EF0D49" w:rsidRPr="000975C5">
        <w:rPr>
          <w:i/>
          <w:iCs/>
        </w:rPr>
        <w:t>fere</w:t>
      </w:r>
      <w:r w:rsidR="00EF0D49" w:rsidRPr="000975C5">
        <w:t>, i d</w:t>
      </w:r>
      <w:r w:rsidR="006077A8" w:rsidRPr="000975C5">
        <w:t>elfini</w:t>
      </w:r>
      <w:r w:rsidR="00EF0D49" w:rsidRPr="000975C5">
        <w:t xml:space="preserve">) ed esseri mostruosi o salvifici, è al contempo </w:t>
      </w:r>
      <w:r w:rsidR="001C3D45" w:rsidRPr="000975C5">
        <w:t>“</w:t>
      </w:r>
      <w:r w:rsidR="00EF0D49" w:rsidRPr="000975C5">
        <w:t>terribile e meraviglioso</w:t>
      </w:r>
      <w:r w:rsidR="001C3D45" w:rsidRPr="000975C5">
        <w:t>”</w:t>
      </w:r>
      <w:r w:rsidR="001C3D45" w:rsidRPr="000975C5">
        <w:rPr>
          <w:rStyle w:val="Rimandonotaapidipagina"/>
        </w:rPr>
        <w:footnoteReference w:id="24"/>
      </w:r>
      <w:r w:rsidR="00EF0D49" w:rsidRPr="000975C5">
        <w:t xml:space="preserve"> e </w:t>
      </w:r>
      <w:r w:rsidR="001C3D45" w:rsidRPr="000975C5">
        <w:t>la lingua utilizzata per</w:t>
      </w:r>
      <w:r w:rsidR="00EF0D49" w:rsidRPr="000975C5">
        <w:t xml:space="preserve"> descri</w:t>
      </w:r>
      <w:r w:rsidR="001C3D45" w:rsidRPr="000975C5">
        <w:t>verlo viene definita</w:t>
      </w:r>
      <w:r w:rsidR="00EF0D49" w:rsidRPr="000975C5">
        <w:t xml:space="preserve"> </w:t>
      </w:r>
      <w:r w:rsidR="00666DC9" w:rsidRPr="000975C5">
        <w:t>“</w:t>
      </w:r>
      <w:r w:rsidR="00EF0D49" w:rsidRPr="000975C5">
        <w:t>un linguaggio ricreato, più vicino agli esperimenti di Joyce che non a quelli di Gadda.”</w:t>
      </w:r>
      <w:r w:rsidR="00EF0D49" w:rsidRPr="000975C5">
        <w:rPr>
          <w:rStyle w:val="Rimandonotaapidipagina"/>
        </w:rPr>
        <w:footnoteReference w:id="25"/>
      </w:r>
      <w:r w:rsidR="00EF0D49" w:rsidRPr="000975C5">
        <w:t xml:space="preserve"> Attraverso quest’ultima affermazione, Casadei e Santagata esprimono una posizione del tutto nuova rispetto a quelle espresse negli altri manuali finora analizzati.</w:t>
      </w:r>
      <w:r w:rsidR="00C26E63" w:rsidRPr="000975C5">
        <w:t xml:space="preserve"> In aggiunta, </w:t>
      </w:r>
      <w:r w:rsidR="00C26E63" w:rsidRPr="000975C5">
        <w:t>in questo manuale è presente una precisazione assente in quelli analizzati finora, ovvero si osserva che il nome del protagonista del romanzo, il pescatore ‘</w:t>
      </w:r>
      <w:proofErr w:type="spellStart"/>
      <w:r w:rsidR="00C26E63" w:rsidRPr="000975C5">
        <w:t>Ndria</w:t>
      </w:r>
      <w:proofErr w:type="spellEnd"/>
      <w:r w:rsidR="00C26E63" w:rsidRPr="000975C5">
        <w:t xml:space="preserve">, rimanda al termine greco </w:t>
      </w:r>
      <w:proofErr w:type="spellStart"/>
      <w:r w:rsidR="00C26E63" w:rsidRPr="000975C5">
        <w:rPr>
          <w:i/>
          <w:iCs/>
        </w:rPr>
        <w:t>anér</w:t>
      </w:r>
      <w:proofErr w:type="spellEnd"/>
      <w:r w:rsidR="00C26E63" w:rsidRPr="000975C5">
        <w:t>, che significa “uomo”.</w:t>
      </w:r>
      <w:r w:rsidR="00C26E63" w:rsidRPr="000975C5">
        <w:rPr>
          <w:rStyle w:val="Rimandonotaapidipagina"/>
        </w:rPr>
        <w:footnoteReference w:id="26"/>
      </w:r>
    </w:p>
    <w:p w14:paraId="7BF5F77E" w14:textId="10067107" w:rsidR="00211782" w:rsidRPr="000975C5" w:rsidRDefault="00211782" w:rsidP="00DE6A76">
      <w:pPr>
        <w:spacing w:line="240" w:lineRule="auto"/>
        <w:rPr>
          <w:i/>
          <w:iCs/>
        </w:rPr>
      </w:pPr>
      <w:r w:rsidRPr="000975C5">
        <w:t xml:space="preserve">Infine, Casadei e Santagata fanno anche un </w:t>
      </w:r>
      <w:r w:rsidR="00D64FAF" w:rsidRPr="000975C5">
        <w:t>accenno</w:t>
      </w:r>
      <w:r w:rsidRPr="000975C5">
        <w:t xml:space="preserve"> ai “decenni di elaborazione”</w:t>
      </w:r>
      <w:r w:rsidRPr="000975C5">
        <w:rPr>
          <w:rStyle w:val="Rimandonotaapidipagina"/>
        </w:rPr>
        <w:footnoteReference w:id="27"/>
      </w:r>
      <w:r w:rsidRPr="000975C5">
        <w:t xml:space="preserve"> che sono stati necessari a D’Arrigo per ultimare </w:t>
      </w:r>
      <w:proofErr w:type="spellStart"/>
      <w:r w:rsidRPr="000975C5">
        <w:rPr>
          <w:i/>
          <w:iCs/>
        </w:rPr>
        <w:t>Horcynus</w:t>
      </w:r>
      <w:proofErr w:type="spellEnd"/>
      <w:r w:rsidRPr="000975C5">
        <w:rPr>
          <w:i/>
          <w:iCs/>
        </w:rPr>
        <w:t xml:space="preserve"> Orca, </w:t>
      </w:r>
      <w:r w:rsidRPr="000975C5">
        <w:t xml:space="preserve">così come al secondo romanzo </w:t>
      </w:r>
      <w:proofErr w:type="spellStart"/>
      <w:r w:rsidRPr="000975C5">
        <w:t>darrighiano</w:t>
      </w:r>
      <w:proofErr w:type="spellEnd"/>
      <w:r w:rsidRPr="000975C5">
        <w:t xml:space="preserve">, </w:t>
      </w:r>
      <w:r w:rsidRPr="000975C5">
        <w:rPr>
          <w:i/>
          <w:iCs/>
        </w:rPr>
        <w:t>Cima delle nobildonne</w:t>
      </w:r>
      <w:r w:rsidRPr="000975C5">
        <w:t xml:space="preserve">, che </w:t>
      </w:r>
      <w:r w:rsidR="005359C3" w:rsidRPr="000975C5">
        <w:t>ritengono</w:t>
      </w:r>
      <w:r w:rsidRPr="000975C5">
        <w:t xml:space="preserve"> “notevole”</w:t>
      </w:r>
      <w:r w:rsidRPr="000975C5">
        <w:rPr>
          <w:rStyle w:val="Rimandonotaapidipagina"/>
        </w:rPr>
        <w:footnoteReference w:id="28"/>
      </w:r>
      <w:r w:rsidRPr="000975C5">
        <w:t>.</w:t>
      </w:r>
      <w:r w:rsidR="004137F5" w:rsidRPr="000975C5">
        <w:t xml:space="preserve"> D’altro canto, essi non menzionano</w:t>
      </w:r>
      <w:r w:rsidR="009B4A63" w:rsidRPr="000975C5">
        <w:t xml:space="preserve"> la pubblicazione di alcuni estratti dai </w:t>
      </w:r>
      <w:r w:rsidR="009B4A63" w:rsidRPr="000975C5">
        <w:rPr>
          <w:i/>
          <w:iCs/>
        </w:rPr>
        <w:t xml:space="preserve">Giorni della fera </w:t>
      </w:r>
      <w:r w:rsidR="009B4A63" w:rsidRPr="000975C5">
        <w:t xml:space="preserve">sul </w:t>
      </w:r>
      <w:r w:rsidR="009B4A63" w:rsidRPr="000975C5">
        <w:rPr>
          <w:i/>
          <w:iCs/>
        </w:rPr>
        <w:t xml:space="preserve">Menabò </w:t>
      </w:r>
      <w:r w:rsidR="009B4A63" w:rsidRPr="000975C5">
        <w:t>3, avvenuta nel 1960</w:t>
      </w:r>
      <w:r w:rsidR="009B4A63" w:rsidRPr="000975C5">
        <w:rPr>
          <w:i/>
          <w:iCs/>
        </w:rPr>
        <w:t>.</w:t>
      </w:r>
    </w:p>
    <w:p w14:paraId="15E48553" w14:textId="3684CEBC" w:rsidR="00D64FAF" w:rsidRPr="000975C5" w:rsidRDefault="00D64FAF" w:rsidP="00DE6A76">
      <w:pPr>
        <w:spacing w:line="240" w:lineRule="auto"/>
        <w:rPr>
          <w:i/>
          <w:iCs/>
        </w:rPr>
      </w:pPr>
      <w:r w:rsidRPr="000975C5">
        <w:t xml:space="preserve">I riferimenti a D’Arrigo sono sparsi tra i paragrafi </w:t>
      </w:r>
      <w:r w:rsidRPr="000975C5">
        <w:rPr>
          <w:i/>
          <w:iCs/>
        </w:rPr>
        <w:t>La narrativa</w:t>
      </w:r>
      <w:r w:rsidRPr="000975C5">
        <w:t xml:space="preserve"> (p.363), </w:t>
      </w:r>
      <w:r w:rsidRPr="000975C5">
        <w:rPr>
          <w:i/>
          <w:iCs/>
        </w:rPr>
        <w:t>Il modello di Gadda</w:t>
      </w:r>
      <w:r w:rsidRPr="000975C5">
        <w:t xml:space="preserve"> (p. 365</w:t>
      </w:r>
      <w:r w:rsidR="005A2378" w:rsidRPr="000975C5">
        <w:t xml:space="preserve"> – perché entrambi usano uno stile espressionista</w:t>
      </w:r>
      <w:r w:rsidRPr="000975C5">
        <w:t xml:space="preserve">) e </w:t>
      </w:r>
      <w:r w:rsidRPr="000975C5">
        <w:rPr>
          <w:i/>
          <w:iCs/>
        </w:rPr>
        <w:t xml:space="preserve">La narrativa meridionale </w:t>
      </w:r>
      <w:r w:rsidRPr="000975C5">
        <w:t>(p. 368s.)</w:t>
      </w:r>
      <w:r w:rsidR="005A2378" w:rsidRPr="000975C5">
        <w:t xml:space="preserve"> all’interno del capitolo </w:t>
      </w:r>
      <w:r w:rsidR="005A2378" w:rsidRPr="000975C5">
        <w:rPr>
          <w:i/>
          <w:iCs/>
        </w:rPr>
        <w:t>Dai primi anni Sessanta alla fine degli anni Settanta.</w:t>
      </w:r>
    </w:p>
    <w:p w14:paraId="79586E5A" w14:textId="77777777" w:rsidR="00D64FAF" w:rsidRPr="000975C5" w:rsidRDefault="00D64FAF" w:rsidP="00DE6A76">
      <w:pPr>
        <w:spacing w:line="240" w:lineRule="auto"/>
      </w:pPr>
    </w:p>
    <w:p w14:paraId="7B27256D" w14:textId="691D022F" w:rsidR="00376E2D" w:rsidRPr="000975C5" w:rsidRDefault="00376E2D" w:rsidP="00DE6A76">
      <w:pPr>
        <w:spacing w:line="240" w:lineRule="auto"/>
      </w:pPr>
      <w:r w:rsidRPr="000975C5">
        <w:t xml:space="preserve">Il </w:t>
      </w:r>
      <w:r w:rsidRPr="000975C5">
        <w:rPr>
          <w:b/>
          <w:bCs/>
        </w:rPr>
        <w:t xml:space="preserve">quinto </w:t>
      </w:r>
      <w:r w:rsidRPr="000975C5">
        <w:t xml:space="preserve">volume analizzato è stato </w:t>
      </w:r>
      <w:r w:rsidRPr="000975C5">
        <w:rPr>
          <w:i/>
          <w:iCs/>
        </w:rPr>
        <w:t>Letteratura italiana: 2. Dal Settecento ai nostri giorni</w:t>
      </w:r>
      <w:r w:rsidRPr="000975C5">
        <w:t>, pubblicato dalla casa editrice Il Mulino nel 2014 e a cura di Andrea Battistini.</w:t>
      </w:r>
    </w:p>
    <w:p w14:paraId="446CCE15" w14:textId="77777777" w:rsidR="003E4F7B" w:rsidRPr="000975C5" w:rsidRDefault="003E4F7B" w:rsidP="00DE6A76">
      <w:pPr>
        <w:spacing w:line="240" w:lineRule="auto"/>
      </w:pPr>
      <w:r w:rsidRPr="000975C5">
        <w:t xml:space="preserve">Qui, a D’Arrigo vengono dedicati 15 righi netti nel paragrafo </w:t>
      </w:r>
      <w:r w:rsidRPr="000975C5">
        <w:rPr>
          <w:i/>
          <w:iCs/>
        </w:rPr>
        <w:t>Altri scrittori sperimentali. Giorgio Manganelli</w:t>
      </w:r>
      <w:r w:rsidRPr="000975C5">
        <w:t xml:space="preserve">, all’interno del capitolo </w:t>
      </w:r>
      <w:r w:rsidRPr="000975C5">
        <w:rPr>
          <w:i/>
          <w:iCs/>
        </w:rPr>
        <w:t>Le varie forme dei nuovi sperimentalismi</w:t>
      </w:r>
      <w:r w:rsidRPr="000975C5">
        <w:t xml:space="preserve">. </w:t>
      </w:r>
    </w:p>
    <w:p w14:paraId="18E9B0C0" w14:textId="381752EA" w:rsidR="003E4F7B" w:rsidRPr="000975C5" w:rsidRDefault="003E4F7B" w:rsidP="00DE6A76">
      <w:pPr>
        <w:spacing w:line="240" w:lineRule="auto"/>
      </w:pPr>
      <w:proofErr w:type="spellStart"/>
      <w:r w:rsidRPr="000975C5">
        <w:rPr>
          <w:i/>
          <w:iCs/>
        </w:rPr>
        <w:t>Horcynus</w:t>
      </w:r>
      <w:proofErr w:type="spellEnd"/>
      <w:r w:rsidRPr="000975C5">
        <w:rPr>
          <w:i/>
          <w:iCs/>
        </w:rPr>
        <w:t xml:space="preserve"> Orca</w:t>
      </w:r>
      <w:r w:rsidRPr="000975C5">
        <w:t xml:space="preserve"> (di cui si segnala l’elaborazione dal 1957 al 1975) viene descritta come “un testo epico che prende a modello l</w:t>
      </w:r>
      <w:r w:rsidRPr="000975C5">
        <w:rPr>
          <w:i/>
          <w:iCs/>
        </w:rPr>
        <w:t xml:space="preserve">’Odissea </w:t>
      </w:r>
      <w:r w:rsidRPr="000975C5">
        <w:t xml:space="preserve">(di Omero, </w:t>
      </w:r>
      <w:proofErr w:type="spellStart"/>
      <w:r w:rsidRPr="000975C5">
        <w:t>ndr</w:t>
      </w:r>
      <w:proofErr w:type="spellEnd"/>
      <w:r w:rsidRPr="000975C5">
        <w:t>) e l’</w:t>
      </w:r>
      <w:r w:rsidRPr="000975C5">
        <w:rPr>
          <w:i/>
          <w:iCs/>
        </w:rPr>
        <w:t>Ulisse</w:t>
      </w:r>
      <w:r w:rsidRPr="000975C5">
        <w:t xml:space="preserve"> di Joyce”.</w:t>
      </w:r>
      <w:r w:rsidRPr="000975C5">
        <w:rPr>
          <w:rStyle w:val="Rimandonotaapidipagina"/>
        </w:rPr>
        <w:footnoteReference w:id="29"/>
      </w:r>
      <w:r w:rsidRPr="000975C5">
        <w:t xml:space="preserve"> Inoltre, </w:t>
      </w:r>
      <w:r w:rsidR="00E42FE7" w:rsidRPr="000975C5">
        <w:t xml:space="preserve">in questo manuale </w:t>
      </w:r>
      <w:r w:rsidR="009D287D" w:rsidRPr="000975C5">
        <w:t>viene fatta</w:t>
      </w:r>
      <w:r w:rsidR="00E42FE7" w:rsidRPr="000975C5">
        <w:t xml:space="preserve"> </w:t>
      </w:r>
      <w:r w:rsidR="000C3063" w:rsidRPr="000975C5">
        <w:t xml:space="preserve">la stessa </w:t>
      </w:r>
      <w:r w:rsidR="00E42FE7" w:rsidRPr="000975C5">
        <w:t>precisazione</w:t>
      </w:r>
      <w:r w:rsidR="000472BD" w:rsidRPr="000975C5">
        <w:t xml:space="preserve"> </w:t>
      </w:r>
      <w:r w:rsidR="009D287D" w:rsidRPr="000975C5">
        <w:t>presente in Casadei e Santagata</w:t>
      </w:r>
      <w:r w:rsidR="00E42FE7" w:rsidRPr="000975C5">
        <w:t xml:space="preserve">, </w:t>
      </w:r>
      <w:r w:rsidR="009D287D" w:rsidRPr="000975C5">
        <w:t>ossia quella riguardante il possibile nesso tra il nome del pescatore ‘</w:t>
      </w:r>
      <w:proofErr w:type="spellStart"/>
      <w:r w:rsidR="009D287D" w:rsidRPr="000975C5">
        <w:t>Ndria</w:t>
      </w:r>
      <w:proofErr w:type="spellEnd"/>
      <w:r w:rsidR="009D287D" w:rsidRPr="000975C5">
        <w:t xml:space="preserve"> e il termine greco </w:t>
      </w:r>
      <w:proofErr w:type="spellStart"/>
      <w:r w:rsidR="009D287D" w:rsidRPr="000975C5">
        <w:rPr>
          <w:i/>
          <w:iCs/>
        </w:rPr>
        <w:t>anér</w:t>
      </w:r>
      <w:proofErr w:type="spellEnd"/>
      <w:r w:rsidR="009D287D" w:rsidRPr="000975C5">
        <w:t>.</w:t>
      </w:r>
    </w:p>
    <w:p w14:paraId="1A070B28" w14:textId="053E017B" w:rsidR="00E42FE7" w:rsidRPr="000975C5" w:rsidRDefault="00E42FE7" w:rsidP="00DE6A76">
      <w:pPr>
        <w:spacing w:line="240" w:lineRule="auto"/>
      </w:pPr>
      <w:r w:rsidRPr="000975C5">
        <w:lastRenderedPageBreak/>
        <w:t>Per il resto, viene segnalata la presenza non solo di elementi realistici, ma anche di quelli mitologici e simbolici (a differenza di quanto fa Asor Rosa), e l’utilizzo di “uno stile marcatamente espressionista, […] basato principalmente sull’accostamento di parole derivate da lingue diverse”</w:t>
      </w:r>
      <w:r w:rsidRPr="000975C5">
        <w:rPr>
          <w:rStyle w:val="Rimandonotaapidipagina"/>
        </w:rPr>
        <w:footnoteReference w:id="30"/>
      </w:r>
      <w:r w:rsidRPr="000975C5">
        <w:t>.</w:t>
      </w:r>
    </w:p>
    <w:p w14:paraId="62DC8072" w14:textId="4E44F6E3" w:rsidR="00FA0DC9" w:rsidRPr="000975C5" w:rsidRDefault="003F78EA" w:rsidP="00DE6A76">
      <w:pPr>
        <w:spacing w:line="240" w:lineRule="auto"/>
      </w:pPr>
      <w:r w:rsidRPr="000975C5">
        <w:t xml:space="preserve">Infine, prima di ricordare il romanzo successivo, </w:t>
      </w:r>
      <w:r w:rsidRPr="000975C5">
        <w:rPr>
          <w:i/>
          <w:iCs/>
        </w:rPr>
        <w:t>Cima delle nobildonne</w:t>
      </w:r>
      <w:r w:rsidRPr="000975C5">
        <w:t xml:space="preserve">, </w:t>
      </w:r>
      <w:r w:rsidR="00FA0DC9" w:rsidRPr="000975C5">
        <w:t xml:space="preserve">viene asserito che la prima versione dell’opera, </w:t>
      </w:r>
      <w:r w:rsidR="00FA0DC9" w:rsidRPr="000975C5">
        <w:rPr>
          <w:i/>
          <w:iCs/>
        </w:rPr>
        <w:t>I fatti della fera</w:t>
      </w:r>
      <w:r w:rsidR="00FA0DC9" w:rsidRPr="000975C5">
        <w:t>, “edita nel 2000”</w:t>
      </w:r>
      <w:r w:rsidR="00752461" w:rsidRPr="000975C5">
        <w:rPr>
          <w:rStyle w:val="Rimandonotaapidipagina"/>
        </w:rPr>
        <w:footnoteReference w:id="31"/>
      </w:r>
      <w:r w:rsidR="00FA0DC9" w:rsidRPr="000975C5">
        <w:t xml:space="preserve">, era per certi aspetti migliore dell’edizione definitiva. A </w:t>
      </w:r>
      <w:proofErr w:type="spellStart"/>
      <w:r w:rsidR="00FA0DC9" w:rsidRPr="000975C5">
        <w:t>onor</w:t>
      </w:r>
      <w:proofErr w:type="spellEnd"/>
      <w:r w:rsidR="00FA0DC9" w:rsidRPr="000975C5">
        <w:t xml:space="preserve"> del vero, è bene precisare che una prima anticipazione dell’opera era apparsa già nel 1960 sul numero 3 del </w:t>
      </w:r>
      <w:r w:rsidR="00FA0DC9" w:rsidRPr="000975C5">
        <w:rPr>
          <w:i/>
          <w:iCs/>
        </w:rPr>
        <w:t>Menabò</w:t>
      </w:r>
      <w:r w:rsidR="00FA0DC9" w:rsidRPr="000975C5">
        <w:t xml:space="preserve">, la rivista letteraria diretta da Vittorini e Calvino, con il titolo </w:t>
      </w:r>
      <w:r w:rsidR="00FA0DC9" w:rsidRPr="000975C5">
        <w:rPr>
          <w:i/>
          <w:iCs/>
        </w:rPr>
        <w:t>I giorni della fera</w:t>
      </w:r>
      <w:r w:rsidR="000472BD" w:rsidRPr="000975C5">
        <w:t>, a cui qui come in altri manuali non si fa cenno.</w:t>
      </w:r>
    </w:p>
    <w:p w14:paraId="57DE1ECF" w14:textId="6165669B" w:rsidR="00752461" w:rsidRPr="000975C5" w:rsidRDefault="00F9716A" w:rsidP="00DE6A76">
      <w:pPr>
        <w:spacing w:line="240" w:lineRule="auto"/>
        <w:rPr>
          <w:iCs/>
        </w:rPr>
      </w:pPr>
      <w:r w:rsidRPr="000975C5">
        <w:t>L’</w:t>
      </w:r>
      <w:r w:rsidRPr="000975C5">
        <w:rPr>
          <w:b/>
          <w:bCs/>
        </w:rPr>
        <w:t>ultima</w:t>
      </w:r>
      <w:r w:rsidRPr="000975C5">
        <w:t xml:space="preserve"> storia letteraria analizzata è stata la seconda edizione della </w:t>
      </w:r>
      <w:r w:rsidRPr="000975C5">
        <w:rPr>
          <w:i/>
        </w:rPr>
        <w:t xml:space="preserve">Letteratura italiana contemporanea: 1945 – 2014 </w:t>
      </w:r>
      <w:r w:rsidRPr="000975C5">
        <w:rPr>
          <w:iCs/>
        </w:rPr>
        <w:t>di Giulio Ferroni, pubblicata nel 201</w:t>
      </w:r>
      <w:r w:rsidR="00410A6A" w:rsidRPr="000975C5">
        <w:rPr>
          <w:iCs/>
        </w:rPr>
        <w:t>5</w:t>
      </w:r>
      <w:r w:rsidRPr="000975C5">
        <w:rPr>
          <w:iCs/>
        </w:rPr>
        <w:t xml:space="preserve"> da Mondadori.</w:t>
      </w:r>
      <w:r w:rsidR="00B44580" w:rsidRPr="000975C5">
        <w:rPr>
          <w:iCs/>
        </w:rPr>
        <w:t xml:space="preserve"> </w:t>
      </w:r>
    </w:p>
    <w:p w14:paraId="506A3FD9" w14:textId="218EDE6F" w:rsidR="000649CD" w:rsidRPr="000975C5" w:rsidRDefault="00B44580" w:rsidP="00A04871">
      <w:pPr>
        <w:spacing w:line="240" w:lineRule="auto"/>
      </w:pPr>
      <w:r w:rsidRPr="000975C5">
        <w:rPr>
          <w:iCs/>
        </w:rPr>
        <w:t xml:space="preserve">Ferroni dedica 9 righi netti alla trattazione su Stefano D’Arrigo, inserita nel paragrafo </w:t>
      </w:r>
      <w:r w:rsidRPr="000975C5">
        <w:rPr>
          <w:i/>
        </w:rPr>
        <w:t>Forme diverse di sperimentalismo</w:t>
      </w:r>
      <w:r w:rsidRPr="000975C5">
        <w:rPr>
          <w:iCs/>
        </w:rPr>
        <w:t xml:space="preserve">, all’interno del capitolo </w:t>
      </w:r>
      <w:r w:rsidRPr="000975C5">
        <w:rPr>
          <w:i/>
        </w:rPr>
        <w:t>Sperimentalismo, contraddizione, neoavanguardia</w:t>
      </w:r>
      <w:r w:rsidRPr="000975C5">
        <w:rPr>
          <w:iCs/>
        </w:rPr>
        <w:t xml:space="preserve"> nella terza sezione </w:t>
      </w:r>
      <w:r w:rsidRPr="000975C5">
        <w:rPr>
          <w:i/>
        </w:rPr>
        <w:t>Ricostruzione e sviluppo nel dopoguerra (1945-1968).</w:t>
      </w:r>
      <w:r w:rsidRPr="000975C5">
        <w:rPr>
          <w:iCs/>
        </w:rPr>
        <w:t xml:space="preserve"> In questo breve capoverso, </w:t>
      </w:r>
      <w:proofErr w:type="spellStart"/>
      <w:r w:rsidR="000649CD" w:rsidRPr="000975C5">
        <w:rPr>
          <w:i/>
          <w:iCs/>
        </w:rPr>
        <w:t>Horcynus</w:t>
      </w:r>
      <w:proofErr w:type="spellEnd"/>
      <w:r w:rsidR="000649CD" w:rsidRPr="000975C5">
        <w:rPr>
          <w:i/>
          <w:iCs/>
        </w:rPr>
        <w:t xml:space="preserve"> Orca</w:t>
      </w:r>
      <w:r w:rsidR="000649CD" w:rsidRPr="000975C5">
        <w:rPr>
          <w:i/>
          <w:iCs/>
        </w:rPr>
        <w:t xml:space="preserve"> </w:t>
      </w:r>
      <w:r w:rsidR="000649CD" w:rsidRPr="000975C5">
        <w:t>viene definito al contempo</w:t>
      </w:r>
      <w:r w:rsidR="000649CD" w:rsidRPr="000975C5">
        <w:rPr>
          <w:iCs/>
        </w:rPr>
        <w:t xml:space="preserve"> </w:t>
      </w:r>
      <w:r w:rsidR="000649CD" w:rsidRPr="000975C5">
        <w:rPr>
          <w:iCs/>
        </w:rPr>
        <w:t>“</w:t>
      </w:r>
      <w:r w:rsidR="000649CD" w:rsidRPr="000975C5">
        <w:rPr>
          <w:iCs/>
        </w:rPr>
        <w:t>un ritorno alle origini, un viaggio di riconoscimento (con richiami all’</w:t>
      </w:r>
      <w:r w:rsidR="000649CD" w:rsidRPr="000975C5">
        <w:rPr>
          <w:i/>
          <w:iCs/>
        </w:rPr>
        <w:t>Odissea</w:t>
      </w:r>
      <w:r w:rsidR="000649CD" w:rsidRPr="000975C5">
        <w:t>), e una specie di apocalisse”.</w:t>
      </w:r>
      <w:r w:rsidR="000649CD" w:rsidRPr="000975C5">
        <w:rPr>
          <w:rStyle w:val="Rimandonotaapidipagina"/>
        </w:rPr>
        <w:footnoteReference w:id="32"/>
      </w:r>
      <w:r w:rsidR="000649CD" w:rsidRPr="000975C5">
        <w:t xml:space="preserve"> </w:t>
      </w:r>
      <w:r w:rsidR="000649CD" w:rsidRPr="000975C5">
        <w:t xml:space="preserve">Il linguaggio utilizzato </w:t>
      </w:r>
      <w:r w:rsidR="000649CD" w:rsidRPr="000975C5">
        <w:t>è</w:t>
      </w:r>
      <w:r w:rsidR="000649CD" w:rsidRPr="000975C5">
        <w:t xml:space="preserve"> descritto come “un plurilinguismo ossessivo, entro il quadro di un italiano artificiale, intessuto di modi e forme dialettali, di preziosi echi letterari, di abnormi invenzioni e composizioni di parole.”</w:t>
      </w:r>
      <w:r w:rsidR="000649CD" w:rsidRPr="000975C5">
        <w:rPr>
          <w:vertAlign w:val="superscript"/>
        </w:rPr>
        <w:footnoteReference w:id="33"/>
      </w:r>
      <w:r w:rsidR="000649CD" w:rsidRPr="000975C5">
        <w:t xml:space="preserve"> </w:t>
      </w:r>
      <w:r w:rsidR="00A04871" w:rsidRPr="000975C5">
        <w:t xml:space="preserve">Ferroni sottolinea che l’espressionismo di D’Arrigo tende verso il mito pagano, infatti egli mette in evidenza che la lingua creata dall’autore siciliano </w:t>
      </w:r>
      <w:r w:rsidR="000649CD" w:rsidRPr="000975C5">
        <w:t>“</w:t>
      </w:r>
      <w:r w:rsidR="00A04871" w:rsidRPr="000975C5">
        <w:t xml:space="preserve">dà luogo ad </w:t>
      </w:r>
      <w:r w:rsidR="000649CD" w:rsidRPr="000975C5">
        <w:t>un orizzonte mitico, in cui eventi contemporanei intorno allo Stretto di Messina si dilatano verso un allucinato paesaggio marino dominato dalla presenza mostruosa e fascinosa delle ‘fere’ (i delfini), destinate a una vittoria sull’umanità.”</w:t>
      </w:r>
      <w:r w:rsidR="000649CD" w:rsidRPr="000975C5">
        <w:rPr>
          <w:vertAlign w:val="superscript"/>
        </w:rPr>
        <w:footnoteReference w:id="34"/>
      </w:r>
    </w:p>
    <w:p w14:paraId="15E50E27" w14:textId="77777777" w:rsidR="00A04871" w:rsidRPr="000975C5" w:rsidRDefault="000649CD" w:rsidP="00A04871">
      <w:pPr>
        <w:spacing w:line="240" w:lineRule="auto"/>
      </w:pPr>
      <w:r w:rsidRPr="000975C5">
        <w:t xml:space="preserve">Si fa anche cenno </w:t>
      </w:r>
      <w:r w:rsidR="00B322CA" w:rsidRPr="000975C5">
        <w:t>alla lunga</w:t>
      </w:r>
      <w:r w:rsidR="007B72A5" w:rsidRPr="000975C5">
        <w:t xml:space="preserve"> elaborazione </w:t>
      </w:r>
      <w:r w:rsidRPr="000975C5">
        <w:t>dell’</w:t>
      </w:r>
      <w:proofErr w:type="spellStart"/>
      <w:r w:rsidRPr="000975C5">
        <w:rPr>
          <w:i/>
          <w:iCs/>
        </w:rPr>
        <w:t>Horcynus</w:t>
      </w:r>
      <w:proofErr w:type="spellEnd"/>
      <w:r w:rsidR="007B72A5" w:rsidRPr="000975C5">
        <w:rPr>
          <w:i/>
          <w:iCs/>
        </w:rPr>
        <w:t xml:space="preserve"> Orca</w:t>
      </w:r>
      <w:r w:rsidRPr="000975C5">
        <w:t xml:space="preserve">. D’altro canto, </w:t>
      </w:r>
      <w:r w:rsidR="007B72A5" w:rsidRPr="000975C5">
        <w:t xml:space="preserve">non si menzionano né il romanzo successivo, né le opere </w:t>
      </w:r>
      <w:proofErr w:type="spellStart"/>
      <w:r w:rsidR="00AD0DA8" w:rsidRPr="000975C5">
        <w:t>darrighiane</w:t>
      </w:r>
      <w:proofErr w:type="spellEnd"/>
      <w:r w:rsidR="00AD0DA8" w:rsidRPr="000975C5">
        <w:t xml:space="preserve"> in versi</w:t>
      </w:r>
      <w:r w:rsidR="007B72A5" w:rsidRPr="000975C5">
        <w:t>.</w:t>
      </w:r>
    </w:p>
    <w:p w14:paraId="782DCC5F" w14:textId="62660BF9" w:rsidR="00A95FC4" w:rsidRPr="000975C5" w:rsidRDefault="008709EF" w:rsidP="00A04871">
      <w:pPr>
        <w:spacing w:line="240" w:lineRule="auto"/>
      </w:pPr>
      <w:r w:rsidRPr="000975C5">
        <w:rPr>
          <w:iCs/>
        </w:rPr>
        <w:t>In conclusione</w:t>
      </w:r>
      <w:r w:rsidR="00A95FC4" w:rsidRPr="000975C5">
        <w:rPr>
          <w:iCs/>
        </w:rPr>
        <w:t xml:space="preserve">, ci sono differenze </w:t>
      </w:r>
      <w:r w:rsidR="007B72A5" w:rsidRPr="000975C5">
        <w:rPr>
          <w:iCs/>
        </w:rPr>
        <w:t>notevoli</w:t>
      </w:r>
      <w:r w:rsidR="00A95FC4" w:rsidRPr="000975C5">
        <w:rPr>
          <w:iCs/>
        </w:rPr>
        <w:t xml:space="preserve"> nello spazio che le storie letterarie analizzate dedicano alla </w:t>
      </w:r>
      <w:r w:rsidR="000975C5" w:rsidRPr="000975C5">
        <w:rPr>
          <w:iCs/>
        </w:rPr>
        <w:t>figura di</w:t>
      </w:r>
      <w:r w:rsidR="00A95FC4" w:rsidRPr="000975C5">
        <w:rPr>
          <w:iCs/>
        </w:rPr>
        <w:t xml:space="preserve"> </w:t>
      </w:r>
      <w:r w:rsidR="00DD6CDA" w:rsidRPr="000975C5">
        <w:rPr>
          <w:iCs/>
        </w:rPr>
        <w:t xml:space="preserve">Stefano </w:t>
      </w:r>
      <w:r w:rsidR="00A95FC4" w:rsidRPr="000975C5">
        <w:rPr>
          <w:iCs/>
        </w:rPr>
        <w:t xml:space="preserve">D’Arrigo e nella </w:t>
      </w:r>
      <w:r w:rsidR="002D2753" w:rsidRPr="000975C5">
        <w:rPr>
          <w:iCs/>
        </w:rPr>
        <w:t xml:space="preserve">maniera di </w:t>
      </w:r>
      <w:r w:rsidR="00DD6CDA" w:rsidRPr="000975C5">
        <w:rPr>
          <w:iCs/>
        </w:rPr>
        <w:t>tale</w:t>
      </w:r>
      <w:r w:rsidR="002D2753" w:rsidRPr="000975C5">
        <w:rPr>
          <w:iCs/>
        </w:rPr>
        <w:t xml:space="preserve"> trattazione</w:t>
      </w:r>
      <w:r w:rsidR="00A95FC4" w:rsidRPr="000975C5">
        <w:rPr>
          <w:iCs/>
        </w:rPr>
        <w:t xml:space="preserve">. Per esempio, solo due </w:t>
      </w:r>
      <w:r w:rsidR="002D2753" w:rsidRPr="000975C5">
        <w:rPr>
          <w:iCs/>
        </w:rPr>
        <w:t>di questi</w:t>
      </w:r>
      <w:r w:rsidR="00A95FC4" w:rsidRPr="000975C5">
        <w:rPr>
          <w:iCs/>
        </w:rPr>
        <w:t xml:space="preserve"> manuali menzionano </w:t>
      </w:r>
      <w:r w:rsidR="00B9732B" w:rsidRPr="000975C5">
        <w:rPr>
          <w:iCs/>
        </w:rPr>
        <w:t>il “passaggio”</w:t>
      </w:r>
      <w:r w:rsidR="007B72A5" w:rsidRPr="000975C5">
        <w:rPr>
          <w:iCs/>
        </w:rPr>
        <w:t xml:space="preserve"> </w:t>
      </w:r>
      <w:r w:rsidR="00B9732B" w:rsidRPr="000975C5">
        <w:rPr>
          <w:iCs/>
        </w:rPr>
        <w:t>di</w:t>
      </w:r>
      <w:r w:rsidR="007B72A5" w:rsidRPr="000975C5">
        <w:rPr>
          <w:iCs/>
        </w:rPr>
        <w:t xml:space="preserve"> </w:t>
      </w:r>
      <w:r w:rsidR="00DD6CDA" w:rsidRPr="000975C5">
        <w:rPr>
          <w:iCs/>
        </w:rPr>
        <w:t>quest’ autore</w:t>
      </w:r>
      <w:r w:rsidR="007B72A5" w:rsidRPr="000975C5">
        <w:rPr>
          <w:iCs/>
        </w:rPr>
        <w:t xml:space="preserve"> </w:t>
      </w:r>
      <w:r w:rsidR="00B9732B" w:rsidRPr="000975C5">
        <w:rPr>
          <w:iCs/>
        </w:rPr>
        <w:t>da</w:t>
      </w:r>
      <w:r w:rsidR="007B72A5" w:rsidRPr="000975C5">
        <w:rPr>
          <w:iCs/>
        </w:rPr>
        <w:t xml:space="preserve">l </w:t>
      </w:r>
      <w:r w:rsidR="007B72A5" w:rsidRPr="000975C5">
        <w:rPr>
          <w:i/>
        </w:rPr>
        <w:t xml:space="preserve">Menabò </w:t>
      </w:r>
      <w:r w:rsidR="007B72A5" w:rsidRPr="000975C5">
        <w:rPr>
          <w:iCs/>
        </w:rPr>
        <w:t>(si vedano Luperini e Manacorda), mentre</w:t>
      </w:r>
      <w:r w:rsidR="002D2753" w:rsidRPr="000975C5">
        <w:rPr>
          <w:iCs/>
        </w:rPr>
        <w:t xml:space="preserve"> solo</w:t>
      </w:r>
      <w:r w:rsidRPr="000975C5">
        <w:rPr>
          <w:iCs/>
        </w:rPr>
        <w:t xml:space="preserve"> </w:t>
      </w:r>
      <w:r w:rsidR="000975C5" w:rsidRPr="000975C5">
        <w:rPr>
          <w:iCs/>
        </w:rPr>
        <w:t>il Manacorda</w:t>
      </w:r>
      <w:r w:rsidRPr="000975C5">
        <w:rPr>
          <w:iCs/>
        </w:rPr>
        <w:t xml:space="preserve"> f</w:t>
      </w:r>
      <w:r w:rsidR="002D2753" w:rsidRPr="000975C5">
        <w:rPr>
          <w:iCs/>
        </w:rPr>
        <w:t xml:space="preserve">a cenno alle </w:t>
      </w:r>
      <w:r w:rsidR="00DD6CDA" w:rsidRPr="000975C5">
        <w:rPr>
          <w:iCs/>
        </w:rPr>
        <w:t>sue opere poetiche (si veda</w:t>
      </w:r>
      <w:r w:rsidR="000975C5" w:rsidRPr="000975C5">
        <w:rPr>
          <w:iCs/>
        </w:rPr>
        <w:t xml:space="preserve"> </w:t>
      </w:r>
      <w:r w:rsidR="00DD6CDA" w:rsidRPr="000975C5">
        <w:rPr>
          <w:iCs/>
        </w:rPr>
        <w:t>la nota 16 a pagina 967)</w:t>
      </w:r>
      <w:r w:rsidR="002D2753" w:rsidRPr="000975C5">
        <w:rPr>
          <w:iCs/>
        </w:rPr>
        <w:t>.</w:t>
      </w:r>
    </w:p>
    <w:p w14:paraId="104C57B0" w14:textId="2F36419E" w:rsidR="00894F45" w:rsidRPr="00894F45" w:rsidRDefault="00894F45" w:rsidP="00894F45">
      <w:pPr>
        <w:spacing w:line="240" w:lineRule="auto"/>
        <w:jc w:val="right"/>
        <w:rPr>
          <w:iCs/>
        </w:rPr>
      </w:pPr>
      <w:r w:rsidRPr="00894F45">
        <w:rPr>
          <w:iCs/>
        </w:rPr>
        <w:t>SARA COLELLI</w:t>
      </w:r>
    </w:p>
    <w:p w14:paraId="718904F5" w14:textId="77777777" w:rsidR="00E42FE7" w:rsidRPr="003E4F7B" w:rsidRDefault="00E42FE7" w:rsidP="00DE6A76">
      <w:pPr>
        <w:spacing w:line="240" w:lineRule="auto"/>
        <w:ind w:firstLine="0"/>
      </w:pPr>
    </w:p>
    <w:p w14:paraId="2A44C56C" w14:textId="77777777" w:rsidR="00376E2D" w:rsidRPr="00376E2D" w:rsidRDefault="00376E2D" w:rsidP="00DE6A76">
      <w:pPr>
        <w:spacing w:line="240" w:lineRule="auto"/>
      </w:pPr>
    </w:p>
    <w:p w14:paraId="4105B4FB" w14:textId="77777777" w:rsidR="00874403" w:rsidRPr="00874403" w:rsidRDefault="00874403" w:rsidP="00DE6A76">
      <w:pPr>
        <w:spacing w:line="240" w:lineRule="auto"/>
      </w:pPr>
    </w:p>
    <w:p w14:paraId="0DBFB589" w14:textId="76C0A8E2" w:rsidR="00E46027" w:rsidRPr="008E0348" w:rsidRDefault="00E46027" w:rsidP="00DE6A76">
      <w:pPr>
        <w:spacing w:line="240" w:lineRule="auto"/>
        <w:rPr>
          <w:u w:val="single"/>
        </w:rPr>
      </w:pPr>
    </w:p>
    <w:sectPr w:rsidR="00E46027" w:rsidRPr="008E034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8C66E" w14:textId="77777777" w:rsidR="000121D3" w:rsidRDefault="000121D3" w:rsidP="003805A6">
      <w:pPr>
        <w:spacing w:after="0" w:line="240" w:lineRule="auto"/>
      </w:pPr>
      <w:r>
        <w:separator/>
      </w:r>
    </w:p>
  </w:endnote>
  <w:endnote w:type="continuationSeparator" w:id="0">
    <w:p w14:paraId="7D97003C" w14:textId="77777777" w:rsidR="000121D3" w:rsidRDefault="000121D3" w:rsidP="0038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28B3E" w14:textId="77777777" w:rsidR="003E4F7B" w:rsidRDefault="003E4F7B">
    <w:pPr>
      <w:pStyle w:val="Pidipagina"/>
    </w:pPr>
  </w:p>
  <w:p w14:paraId="35C4B50C" w14:textId="77777777" w:rsidR="003E4F7B" w:rsidRDefault="003E4F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F543D" w14:textId="77777777" w:rsidR="000121D3" w:rsidRDefault="000121D3" w:rsidP="003805A6">
      <w:pPr>
        <w:spacing w:after="0" w:line="240" w:lineRule="auto"/>
      </w:pPr>
      <w:r>
        <w:separator/>
      </w:r>
    </w:p>
  </w:footnote>
  <w:footnote w:type="continuationSeparator" w:id="0">
    <w:p w14:paraId="4429A0F0" w14:textId="77777777" w:rsidR="000121D3" w:rsidRDefault="000121D3" w:rsidP="003805A6">
      <w:pPr>
        <w:spacing w:after="0" w:line="240" w:lineRule="auto"/>
      </w:pPr>
      <w:r>
        <w:continuationSeparator/>
      </w:r>
    </w:p>
  </w:footnote>
  <w:footnote w:id="1">
    <w:p w14:paraId="376EB0F7" w14:textId="77777777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Luperini, p.866. </w:t>
      </w:r>
    </w:p>
  </w:footnote>
  <w:footnote w:id="2">
    <w:p w14:paraId="2C87B213" w14:textId="77777777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Ibidem, p. 866.</w:t>
      </w:r>
    </w:p>
  </w:footnote>
  <w:footnote w:id="3">
    <w:p w14:paraId="6CC73B2C" w14:textId="77777777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Carlo Emilio Gadda</w:t>
      </w:r>
      <w:r w:rsidRPr="006F1244">
        <w:t xml:space="preserve"> (Milano 1893 - Roma 1973)</w:t>
      </w:r>
      <w:r>
        <w:t xml:space="preserve"> aveva sperimentato uno </w:t>
      </w:r>
      <w:r w:rsidRPr="00DE3175">
        <w:t>stile linguistico che fonde</w:t>
      </w:r>
      <w:r>
        <w:t>va</w:t>
      </w:r>
      <w:r w:rsidRPr="00DE3175">
        <w:t xml:space="preserve"> in sé lingua nazionale, forme dialettali e usi gergali</w:t>
      </w:r>
      <w:r>
        <w:t xml:space="preserve">. Fonte: </w:t>
      </w:r>
      <w:hyperlink r:id="rId1" w:history="1">
        <w:r>
          <w:rPr>
            <w:rStyle w:val="Collegamentoipertestuale"/>
          </w:rPr>
          <w:t>http://www.treccani.it/enciclopedia/carlo-emilio-gadda/</w:t>
        </w:r>
      </w:hyperlink>
    </w:p>
  </w:footnote>
  <w:footnote w:id="4">
    <w:p w14:paraId="48B76462" w14:textId="12641FE3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Luperini, p. 867.</w:t>
      </w:r>
    </w:p>
  </w:footnote>
  <w:footnote w:id="5">
    <w:p w14:paraId="5CDCFBB9" w14:textId="77777777" w:rsidR="005A68D6" w:rsidRDefault="005A68D6" w:rsidP="005A68D6">
      <w:pPr>
        <w:pStyle w:val="Testonotaapidipagina"/>
      </w:pPr>
      <w:r>
        <w:rPr>
          <w:rStyle w:val="Rimandonotaapidipagina"/>
        </w:rPr>
        <w:footnoteRef/>
      </w:r>
      <w:r>
        <w:t xml:space="preserve"> Manacorda, p. 535.</w:t>
      </w:r>
    </w:p>
  </w:footnote>
  <w:footnote w:id="6">
    <w:p w14:paraId="24B1C977" w14:textId="77777777" w:rsidR="005A68D6" w:rsidRDefault="005A68D6" w:rsidP="005A68D6">
      <w:pPr>
        <w:pStyle w:val="Testonotaapidipagina"/>
      </w:pPr>
      <w:r>
        <w:rPr>
          <w:rStyle w:val="Rimandonotaapidipagina"/>
        </w:rPr>
        <w:footnoteRef/>
      </w:r>
      <w:r>
        <w:t xml:space="preserve"> Ibidem, p. 534.</w:t>
      </w:r>
    </w:p>
  </w:footnote>
  <w:footnote w:id="7">
    <w:p w14:paraId="30B1F988" w14:textId="77777777" w:rsidR="00D45BB8" w:rsidRPr="00CB1AF1" w:rsidRDefault="00D45BB8" w:rsidP="00D45BB8">
      <w:pPr>
        <w:pStyle w:val="Testonotaapidipagina"/>
      </w:pPr>
      <w:r>
        <w:rPr>
          <w:rStyle w:val="Rimandonotaapidipagina"/>
        </w:rPr>
        <w:footnoteRef/>
      </w:r>
      <w:r w:rsidRPr="00CB1AF1">
        <w:t xml:space="preserve"> Ibidem, p. 541.</w:t>
      </w:r>
    </w:p>
  </w:footnote>
  <w:footnote w:id="8">
    <w:p w14:paraId="6C23F09F" w14:textId="77777777" w:rsidR="0000793F" w:rsidRPr="00DA64B3" w:rsidRDefault="0000793F" w:rsidP="0000793F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DA64B3">
        <w:rPr>
          <w:lang w:val="de-DE"/>
        </w:rPr>
        <w:t xml:space="preserve"> Ibidem, p. 541.</w:t>
      </w:r>
    </w:p>
  </w:footnote>
  <w:footnote w:id="9">
    <w:p w14:paraId="23E9EACF" w14:textId="03EB7921" w:rsidR="00E1739D" w:rsidRPr="00CB1AF1" w:rsidRDefault="00E1739D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CB1AF1">
        <w:rPr>
          <w:lang w:val="de-DE"/>
        </w:rPr>
        <w:t xml:space="preserve"> Ibidem, p. 541.</w:t>
      </w:r>
    </w:p>
  </w:footnote>
  <w:footnote w:id="10">
    <w:p w14:paraId="1E03C872" w14:textId="77777777" w:rsidR="00DA64B3" w:rsidRPr="00CB1AF1" w:rsidRDefault="00DA64B3" w:rsidP="00DA64B3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CB1AF1">
        <w:rPr>
          <w:lang w:val="de-DE"/>
        </w:rPr>
        <w:t xml:space="preserve"> Ibidem, p. 541.</w:t>
      </w:r>
    </w:p>
  </w:footnote>
  <w:footnote w:id="11">
    <w:p w14:paraId="3B7E04E8" w14:textId="77777777" w:rsidR="00E1739D" w:rsidRPr="007D29A2" w:rsidRDefault="00E1739D" w:rsidP="00E1739D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542.</w:t>
      </w:r>
    </w:p>
  </w:footnote>
  <w:footnote w:id="12">
    <w:p w14:paraId="6C8F0EAC" w14:textId="77777777" w:rsidR="00E1739D" w:rsidRPr="007D29A2" w:rsidRDefault="00E1739D" w:rsidP="00E1739D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542.</w:t>
      </w:r>
    </w:p>
  </w:footnote>
  <w:footnote w:id="13">
    <w:p w14:paraId="18523E44" w14:textId="77777777" w:rsidR="007A39C3" w:rsidRPr="007D29A2" w:rsidRDefault="007A39C3" w:rsidP="007A39C3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542.</w:t>
      </w:r>
    </w:p>
  </w:footnote>
  <w:footnote w:id="14">
    <w:p w14:paraId="262B6B61" w14:textId="77777777" w:rsidR="007A39C3" w:rsidRPr="007D29A2" w:rsidRDefault="007A39C3" w:rsidP="007A39C3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542.</w:t>
      </w:r>
    </w:p>
  </w:footnote>
  <w:footnote w:id="15">
    <w:p w14:paraId="29D201BC" w14:textId="77777777" w:rsidR="005B0FA2" w:rsidRPr="005B0FA2" w:rsidRDefault="005B0FA2" w:rsidP="005B0FA2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5B0FA2">
        <w:rPr>
          <w:lang w:val="de-DE"/>
        </w:rPr>
        <w:t xml:space="preserve"> Ibidem, p. 543.</w:t>
      </w:r>
    </w:p>
  </w:footnote>
  <w:footnote w:id="16">
    <w:p w14:paraId="14893B78" w14:textId="77777777" w:rsidR="00CC542B" w:rsidRPr="00CB1AF1" w:rsidRDefault="00CC542B" w:rsidP="00CC542B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CB1AF1">
        <w:rPr>
          <w:lang w:val="de-DE"/>
        </w:rPr>
        <w:t xml:space="preserve"> Ibidem, </w:t>
      </w:r>
      <w:proofErr w:type="spellStart"/>
      <w:r w:rsidRPr="00CB1AF1">
        <w:rPr>
          <w:lang w:val="de-DE"/>
        </w:rPr>
        <w:t>nota</w:t>
      </w:r>
      <w:proofErr w:type="spellEnd"/>
      <w:r w:rsidRPr="00CB1AF1">
        <w:rPr>
          <w:lang w:val="de-DE"/>
        </w:rPr>
        <w:t xml:space="preserve"> 16, p.967.</w:t>
      </w:r>
    </w:p>
  </w:footnote>
  <w:footnote w:id="17">
    <w:p w14:paraId="69231D0C" w14:textId="45C71D61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Asor Rosa, p. 531.</w:t>
      </w:r>
    </w:p>
  </w:footnote>
  <w:footnote w:id="18">
    <w:p w14:paraId="3FB71FD9" w14:textId="6E2E60A7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Ibidem, p. 531.</w:t>
      </w:r>
    </w:p>
  </w:footnote>
  <w:footnote w:id="19">
    <w:p w14:paraId="271B6144" w14:textId="27DDE2E4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Ibidem, p. 531.</w:t>
      </w:r>
    </w:p>
  </w:footnote>
  <w:footnote w:id="20">
    <w:p w14:paraId="4F6699C6" w14:textId="5034A57B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F77E4">
        <w:t>M. Corti, Principi della comunicazione letteraria, Milano 1976, p. 92</w:t>
      </w:r>
      <w:r>
        <w:t xml:space="preserve">. In: </w:t>
      </w:r>
      <w:hyperlink r:id="rId2" w:history="1">
        <w:r>
          <w:rPr>
            <w:rStyle w:val="Collegamentoipertestuale"/>
          </w:rPr>
          <w:t>http://www.treccani.it/enciclopedia/stefano-d-arrigo_(Dizionario-Biografico)</w:t>
        </w:r>
      </w:hyperlink>
    </w:p>
  </w:footnote>
  <w:footnote w:id="21">
    <w:p w14:paraId="4F6BBAC4" w14:textId="4B4697BD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Casadei; Santagata, p. 368.</w:t>
      </w:r>
    </w:p>
  </w:footnote>
  <w:footnote w:id="22">
    <w:p w14:paraId="555D0800" w14:textId="21085380" w:rsidR="003E4F7B" w:rsidRPr="007D29A2" w:rsidRDefault="003E4F7B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368.</w:t>
      </w:r>
    </w:p>
  </w:footnote>
  <w:footnote w:id="23">
    <w:p w14:paraId="337F8872" w14:textId="6750F0E2" w:rsidR="003E4F7B" w:rsidRPr="007D29A2" w:rsidRDefault="003E4F7B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369.</w:t>
      </w:r>
    </w:p>
  </w:footnote>
  <w:footnote w:id="24">
    <w:p w14:paraId="0119AAE1" w14:textId="4CAD88D6" w:rsidR="001C3D45" w:rsidRPr="00C26E63" w:rsidRDefault="001C3D45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C26E63">
        <w:rPr>
          <w:lang w:val="de-DE"/>
        </w:rPr>
        <w:t xml:space="preserve"> Ibidem, p. 369.</w:t>
      </w:r>
    </w:p>
  </w:footnote>
  <w:footnote w:id="25">
    <w:p w14:paraId="6ED0C5AF" w14:textId="2AB08262" w:rsidR="003E4F7B" w:rsidRPr="007D29A2" w:rsidRDefault="003E4F7B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369.</w:t>
      </w:r>
    </w:p>
  </w:footnote>
  <w:footnote w:id="26">
    <w:p w14:paraId="0843D98A" w14:textId="4E7D1DD9" w:rsidR="00C26E63" w:rsidRDefault="00C26E63">
      <w:pPr>
        <w:pStyle w:val="Testonotaapidipagina"/>
      </w:pPr>
      <w:r>
        <w:rPr>
          <w:rStyle w:val="Rimandonotaapidipagina"/>
        </w:rPr>
        <w:footnoteRef/>
      </w:r>
      <w:r>
        <w:t xml:space="preserve"> Ibidem, p. 368</w:t>
      </w:r>
    </w:p>
  </w:footnote>
  <w:footnote w:id="27">
    <w:p w14:paraId="03B53237" w14:textId="60CC3472" w:rsidR="003E4F7B" w:rsidRPr="00C26E63" w:rsidRDefault="003E4F7B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C26E63">
        <w:rPr>
          <w:lang w:val="de-DE"/>
        </w:rPr>
        <w:t xml:space="preserve"> Ibidem, p. 368.</w:t>
      </w:r>
    </w:p>
  </w:footnote>
  <w:footnote w:id="28">
    <w:p w14:paraId="462F017F" w14:textId="2F2B91F9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Ibidem, p. 368.</w:t>
      </w:r>
    </w:p>
  </w:footnote>
  <w:footnote w:id="29">
    <w:p w14:paraId="2B148618" w14:textId="17EA9C0C" w:rsidR="003E4F7B" w:rsidRDefault="003E4F7B">
      <w:pPr>
        <w:pStyle w:val="Testonotaapidipagina"/>
      </w:pPr>
      <w:r>
        <w:rPr>
          <w:rStyle w:val="Rimandonotaapidipagina"/>
        </w:rPr>
        <w:footnoteRef/>
      </w:r>
      <w:r>
        <w:t xml:space="preserve"> Battistini, p. 513.</w:t>
      </w:r>
    </w:p>
  </w:footnote>
  <w:footnote w:id="30">
    <w:p w14:paraId="30C41376" w14:textId="0496C184" w:rsidR="00E42FE7" w:rsidRPr="007D29A2" w:rsidRDefault="00E42FE7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513.</w:t>
      </w:r>
    </w:p>
  </w:footnote>
  <w:footnote w:id="31">
    <w:p w14:paraId="5B4A43C8" w14:textId="1C452B26" w:rsidR="00752461" w:rsidRPr="007D29A2" w:rsidRDefault="00752461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7D29A2">
        <w:rPr>
          <w:lang w:val="de-DE"/>
        </w:rPr>
        <w:t xml:space="preserve"> Ibidem, p. 513.</w:t>
      </w:r>
    </w:p>
  </w:footnote>
  <w:footnote w:id="32">
    <w:p w14:paraId="2CB276AA" w14:textId="77777777" w:rsidR="000649CD" w:rsidRPr="000649CD" w:rsidRDefault="000649CD" w:rsidP="000649CD">
      <w:pPr>
        <w:pStyle w:val="Testonotaapidipagina"/>
      </w:pPr>
      <w:r>
        <w:rPr>
          <w:rStyle w:val="Rimandonotaapidipagina"/>
        </w:rPr>
        <w:footnoteRef/>
      </w:r>
      <w:r w:rsidRPr="000649CD">
        <w:t xml:space="preserve"> Ferroni, p. 115.</w:t>
      </w:r>
    </w:p>
  </w:footnote>
  <w:footnote w:id="33">
    <w:p w14:paraId="0F8ECD10" w14:textId="77777777" w:rsidR="000649CD" w:rsidRDefault="000649CD" w:rsidP="000649CD">
      <w:pPr>
        <w:pStyle w:val="Testonotaapidipagina"/>
      </w:pPr>
      <w:r>
        <w:rPr>
          <w:rStyle w:val="Rimandonotaapidipagina"/>
        </w:rPr>
        <w:footnoteRef/>
      </w:r>
      <w:r>
        <w:t xml:space="preserve"> Ibidem, p. 115.</w:t>
      </w:r>
    </w:p>
  </w:footnote>
  <w:footnote w:id="34">
    <w:p w14:paraId="745D91B0" w14:textId="77777777" w:rsidR="000649CD" w:rsidRPr="00725A1A" w:rsidRDefault="000649CD" w:rsidP="000649CD">
      <w:pPr>
        <w:pStyle w:val="Testonotaapidipagina"/>
      </w:pPr>
      <w:r>
        <w:rPr>
          <w:rStyle w:val="Rimandonotaapidipagina"/>
        </w:rPr>
        <w:footnoteRef/>
      </w:r>
      <w:r>
        <w:t xml:space="preserve"> Ibidem, p. 115.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05E9"/>
    <w:multiLevelType w:val="hybridMultilevel"/>
    <w:tmpl w:val="C278105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C12076"/>
    <w:multiLevelType w:val="hybridMultilevel"/>
    <w:tmpl w:val="9B5E06E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E97DE8"/>
    <w:multiLevelType w:val="hybridMultilevel"/>
    <w:tmpl w:val="093809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AF"/>
    <w:rsid w:val="00002E28"/>
    <w:rsid w:val="000078E1"/>
    <w:rsid w:val="0000793F"/>
    <w:rsid w:val="000121D3"/>
    <w:rsid w:val="000236C4"/>
    <w:rsid w:val="00037C9E"/>
    <w:rsid w:val="000428AF"/>
    <w:rsid w:val="000472BD"/>
    <w:rsid w:val="000605FB"/>
    <w:rsid w:val="000649CD"/>
    <w:rsid w:val="00070867"/>
    <w:rsid w:val="000975C5"/>
    <w:rsid w:val="000A1A11"/>
    <w:rsid w:val="000A3ECD"/>
    <w:rsid w:val="000A7CD4"/>
    <w:rsid w:val="000C3063"/>
    <w:rsid w:val="000D5988"/>
    <w:rsid w:val="000F1734"/>
    <w:rsid w:val="001B17F1"/>
    <w:rsid w:val="001C3D45"/>
    <w:rsid w:val="001D2124"/>
    <w:rsid w:val="001F7347"/>
    <w:rsid w:val="00203DC1"/>
    <w:rsid w:val="00211782"/>
    <w:rsid w:val="002242F0"/>
    <w:rsid w:val="00250161"/>
    <w:rsid w:val="00265CEE"/>
    <w:rsid w:val="00271816"/>
    <w:rsid w:val="002A13D0"/>
    <w:rsid w:val="002A299A"/>
    <w:rsid w:val="002D2753"/>
    <w:rsid w:val="002E6BAC"/>
    <w:rsid w:val="00340091"/>
    <w:rsid w:val="00371730"/>
    <w:rsid w:val="0037281C"/>
    <w:rsid w:val="00376E2D"/>
    <w:rsid w:val="003805A6"/>
    <w:rsid w:val="003970BB"/>
    <w:rsid w:val="003B7A83"/>
    <w:rsid w:val="003C5513"/>
    <w:rsid w:val="003D01A1"/>
    <w:rsid w:val="003E4A8D"/>
    <w:rsid w:val="003E4F7B"/>
    <w:rsid w:val="003F78EA"/>
    <w:rsid w:val="0040610D"/>
    <w:rsid w:val="00410A6A"/>
    <w:rsid w:val="004137F5"/>
    <w:rsid w:val="00423DCA"/>
    <w:rsid w:val="0043446E"/>
    <w:rsid w:val="00463CE7"/>
    <w:rsid w:val="00475199"/>
    <w:rsid w:val="00481EF2"/>
    <w:rsid w:val="0049445E"/>
    <w:rsid w:val="004D2730"/>
    <w:rsid w:val="004D75A0"/>
    <w:rsid w:val="005207A7"/>
    <w:rsid w:val="00520E22"/>
    <w:rsid w:val="00522BEF"/>
    <w:rsid w:val="005359C3"/>
    <w:rsid w:val="0056761A"/>
    <w:rsid w:val="005847B9"/>
    <w:rsid w:val="00593EA0"/>
    <w:rsid w:val="005A2378"/>
    <w:rsid w:val="005A68D6"/>
    <w:rsid w:val="005B0FA2"/>
    <w:rsid w:val="005B7A08"/>
    <w:rsid w:val="005D72C8"/>
    <w:rsid w:val="005E3717"/>
    <w:rsid w:val="005F77E4"/>
    <w:rsid w:val="006077A8"/>
    <w:rsid w:val="0061543E"/>
    <w:rsid w:val="00634B2D"/>
    <w:rsid w:val="00656F36"/>
    <w:rsid w:val="00660C87"/>
    <w:rsid w:val="00666DC9"/>
    <w:rsid w:val="006844A7"/>
    <w:rsid w:val="00697870"/>
    <w:rsid w:val="006A2721"/>
    <w:rsid w:val="006E1811"/>
    <w:rsid w:val="006F1244"/>
    <w:rsid w:val="00704621"/>
    <w:rsid w:val="00706D62"/>
    <w:rsid w:val="0070778C"/>
    <w:rsid w:val="00725A1A"/>
    <w:rsid w:val="007318E5"/>
    <w:rsid w:val="007378FD"/>
    <w:rsid w:val="00751780"/>
    <w:rsid w:val="00752461"/>
    <w:rsid w:val="007A39C3"/>
    <w:rsid w:val="007B72A5"/>
    <w:rsid w:val="007D29A2"/>
    <w:rsid w:val="007E41C8"/>
    <w:rsid w:val="0083459C"/>
    <w:rsid w:val="008367B3"/>
    <w:rsid w:val="0084650D"/>
    <w:rsid w:val="008709EF"/>
    <w:rsid w:val="00874403"/>
    <w:rsid w:val="00890DA1"/>
    <w:rsid w:val="00892842"/>
    <w:rsid w:val="00894F45"/>
    <w:rsid w:val="008A2B91"/>
    <w:rsid w:val="008B1845"/>
    <w:rsid w:val="008B2624"/>
    <w:rsid w:val="008C54EB"/>
    <w:rsid w:val="008C783E"/>
    <w:rsid w:val="008E0348"/>
    <w:rsid w:val="0092696D"/>
    <w:rsid w:val="00937845"/>
    <w:rsid w:val="00951618"/>
    <w:rsid w:val="00987A72"/>
    <w:rsid w:val="009B2C01"/>
    <w:rsid w:val="009B4A63"/>
    <w:rsid w:val="009C74D4"/>
    <w:rsid w:val="009D287D"/>
    <w:rsid w:val="009E7E92"/>
    <w:rsid w:val="00A04871"/>
    <w:rsid w:val="00A06177"/>
    <w:rsid w:val="00A17DE0"/>
    <w:rsid w:val="00A227DC"/>
    <w:rsid w:val="00A3212F"/>
    <w:rsid w:val="00A35D9C"/>
    <w:rsid w:val="00A378B9"/>
    <w:rsid w:val="00A56AC7"/>
    <w:rsid w:val="00A67A81"/>
    <w:rsid w:val="00A767FC"/>
    <w:rsid w:val="00A91A3B"/>
    <w:rsid w:val="00A95FC4"/>
    <w:rsid w:val="00AB0C36"/>
    <w:rsid w:val="00AB1DB6"/>
    <w:rsid w:val="00AB71D0"/>
    <w:rsid w:val="00AC3E6A"/>
    <w:rsid w:val="00AD0DA8"/>
    <w:rsid w:val="00B10C2B"/>
    <w:rsid w:val="00B322CA"/>
    <w:rsid w:val="00B44580"/>
    <w:rsid w:val="00B50072"/>
    <w:rsid w:val="00B527AE"/>
    <w:rsid w:val="00B6205E"/>
    <w:rsid w:val="00B649ED"/>
    <w:rsid w:val="00B9732B"/>
    <w:rsid w:val="00BA12C3"/>
    <w:rsid w:val="00BC2C47"/>
    <w:rsid w:val="00BC2C7E"/>
    <w:rsid w:val="00BD6C7A"/>
    <w:rsid w:val="00C00425"/>
    <w:rsid w:val="00C143E7"/>
    <w:rsid w:val="00C14F9C"/>
    <w:rsid w:val="00C1511F"/>
    <w:rsid w:val="00C23271"/>
    <w:rsid w:val="00C26E63"/>
    <w:rsid w:val="00C54DBD"/>
    <w:rsid w:val="00C558AA"/>
    <w:rsid w:val="00C55F2E"/>
    <w:rsid w:val="00C808E7"/>
    <w:rsid w:val="00CB1AF1"/>
    <w:rsid w:val="00CC542B"/>
    <w:rsid w:val="00CD5012"/>
    <w:rsid w:val="00CE221A"/>
    <w:rsid w:val="00D001F1"/>
    <w:rsid w:val="00D0317F"/>
    <w:rsid w:val="00D07A8D"/>
    <w:rsid w:val="00D24EAF"/>
    <w:rsid w:val="00D45BB8"/>
    <w:rsid w:val="00D64FAF"/>
    <w:rsid w:val="00DA64B3"/>
    <w:rsid w:val="00DB3120"/>
    <w:rsid w:val="00DB64BD"/>
    <w:rsid w:val="00DD6CDA"/>
    <w:rsid w:val="00DE1A16"/>
    <w:rsid w:val="00DE3175"/>
    <w:rsid w:val="00DE6A76"/>
    <w:rsid w:val="00E1739D"/>
    <w:rsid w:val="00E35AB9"/>
    <w:rsid w:val="00E41716"/>
    <w:rsid w:val="00E42FE7"/>
    <w:rsid w:val="00E46027"/>
    <w:rsid w:val="00E501BB"/>
    <w:rsid w:val="00E65EF6"/>
    <w:rsid w:val="00E66400"/>
    <w:rsid w:val="00EB0F24"/>
    <w:rsid w:val="00EC3CB9"/>
    <w:rsid w:val="00ED4E3B"/>
    <w:rsid w:val="00EE1C25"/>
    <w:rsid w:val="00EF0D49"/>
    <w:rsid w:val="00F049FE"/>
    <w:rsid w:val="00F25111"/>
    <w:rsid w:val="00F46DFB"/>
    <w:rsid w:val="00F536B8"/>
    <w:rsid w:val="00F71DBE"/>
    <w:rsid w:val="00F868D2"/>
    <w:rsid w:val="00F9716A"/>
    <w:rsid w:val="00FA0DC9"/>
    <w:rsid w:val="00FC56CF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9E036"/>
  <w15:chartTrackingRefBased/>
  <w15:docId w15:val="{B8D5C648-3615-4BD8-B899-1AEE30A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3D0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2A13D0"/>
    <w:pPr>
      <w:spacing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13D0"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8A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80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5A6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80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5A6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05A6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DE317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F1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1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1244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12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1244"/>
    <w:rPr>
      <w:rFonts w:ascii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5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ccani.it/enciclopedia/stefano-d-arrigo_(Dizionario-Biografico)" TargetMode="External"/><Relationship Id="rId1" Type="http://schemas.openxmlformats.org/officeDocument/2006/relationships/hyperlink" Target="http://www.treccani.it/enciclopedia/carlo-emilio-gadd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48DC-6136-4AC6-9A8D-52927D60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Luisa Colelli</dc:creator>
  <cp:keywords/>
  <dc:description/>
  <cp:lastModifiedBy>Sara Luisa Colelli</cp:lastModifiedBy>
  <cp:revision>2</cp:revision>
  <dcterms:created xsi:type="dcterms:W3CDTF">2019-11-11T14:17:00Z</dcterms:created>
  <dcterms:modified xsi:type="dcterms:W3CDTF">2019-11-11T14:17:00Z</dcterms:modified>
</cp:coreProperties>
</file>