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91B" w:rsidRPr="0038291B" w:rsidRDefault="0038291B" w:rsidP="0038291B">
      <w:pPr>
        <w:shd w:val="clear" w:color="auto" w:fill="F2F2F2"/>
        <w:spacing w:before="150" w:after="300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3F72"/>
          <w:kern w:val="36"/>
          <w:lang w:eastAsia="it-IT"/>
        </w:rPr>
      </w:pPr>
      <w:bookmarkStart w:id="0" w:name="_GoBack"/>
      <w:r w:rsidRPr="0038291B">
        <w:rPr>
          <w:rFonts w:ascii="Times New Roman" w:eastAsia="Times New Roman" w:hAnsi="Times New Roman" w:cs="Times New Roman"/>
          <w:b/>
          <w:bCs/>
          <w:color w:val="003F72"/>
          <w:kern w:val="36"/>
          <w:lang w:eastAsia="it-IT"/>
        </w:rPr>
        <w:t xml:space="preserve">International Governance of Global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color w:val="003F72"/>
          <w:kern w:val="36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b/>
          <w:bCs/>
          <w:color w:val="003F72"/>
          <w:kern w:val="36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color w:val="003F72"/>
          <w:kern w:val="36"/>
          <w:lang w:eastAsia="it-IT"/>
        </w:rPr>
        <w:t>Pandemics</w:t>
      </w:r>
      <w:proofErr w:type="spellEnd"/>
    </w:p>
    <w:bookmarkEnd w:id="0"/>
    <w:p w:rsidR="0038291B" w:rsidRPr="0038291B" w:rsidRDefault="0038291B" w:rsidP="0038291B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B8422"/>
          <w:lang w:eastAsia="it-IT"/>
        </w:rPr>
      </w:pPr>
      <w:proofErr w:type="spellStart"/>
      <w:r w:rsidRPr="0038291B">
        <w:rPr>
          <w:rFonts w:ascii="Times New Roman" w:eastAsia="Times New Roman" w:hAnsi="Times New Roman" w:cs="Times New Roman"/>
          <w:b/>
          <w:bCs/>
          <w:color w:val="AB8422"/>
          <w:lang w:eastAsia="it-IT"/>
        </w:rPr>
        <w:t>Issue</w:t>
      </w:r>
      <w:proofErr w:type="spellEnd"/>
      <w:r w:rsidRPr="0038291B">
        <w:rPr>
          <w:rFonts w:ascii="Times New Roman" w:eastAsia="Times New Roman" w:hAnsi="Times New Roman" w:cs="Times New Roman"/>
          <w:b/>
          <w:bCs/>
          <w:color w:val="AB8422"/>
          <w:lang w:eastAsia="it-IT"/>
        </w:rPr>
        <w:t>: </w:t>
      </w:r>
    </w:p>
    <w:p w:rsidR="0038291B" w:rsidRPr="0038291B" w:rsidRDefault="0038291B" w:rsidP="0038291B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B8422"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color w:val="AB8422"/>
          <w:lang w:eastAsia="it-IT"/>
        </w:rPr>
        <w:t>3</w:t>
      </w:r>
    </w:p>
    <w:p w:rsidR="0038291B" w:rsidRPr="0038291B" w:rsidRDefault="0038291B" w:rsidP="0038291B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B8422"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color w:val="AB8422"/>
          <w:lang w:eastAsia="it-IT"/>
        </w:rPr>
        <w:t>Volume: </w:t>
      </w:r>
    </w:p>
    <w:p w:rsidR="0038291B" w:rsidRPr="0038291B" w:rsidRDefault="0038291B" w:rsidP="0038291B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B8422"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color w:val="AB8422"/>
          <w:lang w:eastAsia="it-IT"/>
        </w:rPr>
        <w:t>24</w:t>
      </w:r>
    </w:p>
    <w:p w:rsidR="0038291B" w:rsidRPr="0038291B" w:rsidRDefault="0038291B" w:rsidP="0038291B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>By: </w:t>
      </w:r>
    </w:p>
    <w:p w:rsidR="0038291B" w:rsidRPr="0038291B" w:rsidRDefault="0038291B" w:rsidP="0038291B">
      <w:pPr>
        <w:shd w:val="clear" w:color="auto" w:fill="F1F1F1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 xml:space="preserve">Anastasia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Telesetsky</w:t>
      </w:r>
      <w:proofErr w:type="spellEnd"/>
    </w:p>
    <w:p w:rsidR="0038291B" w:rsidRPr="0038291B" w:rsidRDefault="0038291B" w:rsidP="0038291B">
      <w:pPr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Date: </w:t>
      </w:r>
    </w:p>
    <w:p w:rsidR="0038291B" w:rsidRPr="0038291B" w:rsidRDefault="0038291B" w:rsidP="0038291B">
      <w:pPr>
        <w:shd w:val="clear" w:color="auto" w:fill="F1F1F1"/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>March 23, 2020</w:t>
      </w:r>
    </w:p>
    <w:p w:rsidR="0038291B" w:rsidRPr="0038291B" w:rsidRDefault="0038291B" w:rsidP="003829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65A8BA57" wp14:editId="4D7F4D93">
            <wp:extent cx="8572500" cy="26225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disrupted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know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with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declaration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disaster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imposition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strict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quarantines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economic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disruptions.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order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provide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some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context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role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law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emergencies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Insight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provides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brief history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international community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created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institutional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governance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respond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global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Introduction</w:t>
      </w:r>
      <w:proofErr w:type="spellEnd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first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face the world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managing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 easy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matter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sovereign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States.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Cholera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appeared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on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Southeastern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edge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the Russian Empire after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having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traveled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across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India from the Asian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steppes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Europe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unprepared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quickly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became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apparent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different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quarantine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requirements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by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different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contributing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continued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transmission of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In 1834, a French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administrator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called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an international meeting to be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organized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create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harmonized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standards.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particular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concern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"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disastrous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hindrances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international commerce"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having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1" w:name="_ednref1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"/>
      <w:r w:rsidRPr="0038291B">
        <w:rPr>
          <w:rFonts w:ascii="Times New Roman" w:eastAsia="Times New Roman" w:hAnsi="Times New Roman" w:cs="Times New Roman"/>
          <w:lang w:eastAsia="it-IT"/>
        </w:rPr>
        <w:t xml:space="preserve"> In 1851, France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helped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convene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first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Conferences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designed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address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standardization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quarantine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aimed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preventing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importation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cholera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plague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yellow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2" w:name="_ednref2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"_edn2"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[2]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Negotiating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agreement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around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difficult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with parties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disagreeing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about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nature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various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After 41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years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meeting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seven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Conferences,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finally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agreed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1892 to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narrow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treaty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providing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maritime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quarantine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cholera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westbound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shipping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routes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from the East.</w:t>
      </w:r>
      <w:bookmarkStart w:id="3" w:name="_ednref3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"_edn3"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[3]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Subsequent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agreements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signed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eventually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1909, States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opened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 "Office International d'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Hygiene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Publique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" in Paris.</w:t>
      </w:r>
      <w:bookmarkStart w:id="4" w:name="_ednref4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"_edn4"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[4]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4"/>
      <w:r w:rsidRPr="0038291B">
        <w:rPr>
          <w:rFonts w:ascii="Times New Roman" w:eastAsia="Times New Roman" w:hAnsi="Times New Roman" w:cs="Times New Roman"/>
          <w:lang w:eastAsia="it-IT"/>
        </w:rPr>
        <w:t> At the 13</w:t>
      </w:r>
      <w:r w:rsidRPr="0038291B">
        <w:rPr>
          <w:rFonts w:ascii="Times New Roman" w:eastAsia="Times New Roman" w:hAnsi="Times New Roman" w:cs="Times New Roman"/>
          <w:vertAlign w:val="superscript"/>
          <w:lang w:eastAsia="it-IT"/>
        </w:rPr>
        <w:t>th</w:t>
      </w:r>
      <w:r w:rsidRPr="0038291B">
        <w:rPr>
          <w:rFonts w:ascii="Times New Roman" w:eastAsia="Times New Roman" w:hAnsi="Times New Roman" w:cs="Times New Roman"/>
          <w:lang w:eastAsia="it-IT"/>
        </w:rPr>
        <w:t xml:space="preserve"> 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Conferences,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weathered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lastRenderedPageBreak/>
        <w:t>extremely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deadly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1918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agreed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an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updated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Convention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provide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immediate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notification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every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other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government and to the Office International d'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Hygiene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Publique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first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confirmed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cholera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plague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yellow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epidemics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small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pox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typhus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5" w:name="_ednref5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"_edn5"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[5]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5"/>
      <w:r w:rsidRPr="0038291B">
        <w:rPr>
          <w:rFonts w:ascii="Times New Roman" w:eastAsia="Times New Roman" w:hAnsi="Times New Roman" w:cs="Times New Roman"/>
          <w:lang w:eastAsia="it-IT"/>
        </w:rPr>
        <w:t xml:space="preserve"> 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term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"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epidemics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"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defined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Curiously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refused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include influenza,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arguing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impractical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quarantine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6" w:name="_ednref6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"_edn6"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[6]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6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In 1943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during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World War II, the United Nations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Relief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Rehabilitation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Administration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focused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on the "giving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aid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prevention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pestilence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in the recovery of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the people" with a focus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displaced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individuals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7" w:name="_ednref7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"_edn7"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[7]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7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Decisionmakers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new body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took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over the work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done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by the Office International d'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Hygiene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Publique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focused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additional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infectious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including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influenza. The 1926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Convention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"https://iea.uoregon.edu/treaty-text/1944-sanitaryentxt" \t "_blank"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revised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in 1944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r w:rsidRPr="0038291B">
        <w:rPr>
          <w:rFonts w:ascii="Times New Roman" w:eastAsia="Times New Roman" w:hAnsi="Times New Roman" w:cs="Times New Roman"/>
          <w:lang w:eastAsia="it-IT"/>
        </w:rPr>
        <w:t xml:space="preserve"> 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better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reflect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new realities of global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expected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exchange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epidemiological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information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about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more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would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constitute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"a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menace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other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countries."</w:t>
      </w:r>
      <w:bookmarkStart w:id="8" w:name="_ednref8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"_edn8"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[8]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8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 xml:space="preserve">World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 xml:space="preserve"> Organization and Governance of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Pandemics</w:t>
      </w:r>
      <w:proofErr w:type="spellEnd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On March 11, 2020, the Director General of the 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Organization (WHO)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"https://www.who.int/dg/speeches/detail/who-director-general-s-opening-remarks-at-the-media-briefing-on-covid-19---11-march-2020" \t "_blank"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announced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global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announcement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while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specific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COVID-19,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from multiple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decades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experience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institutional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efforts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cooperate and coordinate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around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managing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spread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infectious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The 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Organization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began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operation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1948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introduced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better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practices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coordination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around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still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developed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today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react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novel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threats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In 1952, the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created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 </w:t>
      </w:r>
      <w:hyperlink r:id="rId5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Global Influenza </w:t>
        </w:r>
        <w:proofErr w:type="spellStart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Surveillance</w:t>
        </w:r>
        <w:proofErr w:type="spellEnd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 and </w:t>
        </w:r>
        <w:proofErr w:type="spellStart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Response</w:t>
        </w:r>
        <w:proofErr w:type="spellEnd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 System</w:t>
        </w:r>
      </w:hyperlink>
      <w:r w:rsidRPr="0038291B">
        <w:rPr>
          <w:rFonts w:ascii="Times New Roman" w:eastAsia="Times New Roman" w:hAnsi="Times New Roman" w:cs="Times New Roman"/>
          <w:lang w:eastAsia="it-IT"/>
        </w:rPr>
        <w:t xml:space="preserve"> (GISRS) to monitor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evolution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viruses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hope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be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able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identify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in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timely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fashion,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strains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might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become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develop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vaccines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In 1969, building on the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adopted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"International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" (IHR)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requiring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WHO be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notified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whenever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cholera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plague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yellow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smallpox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relapsing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typhus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occurred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within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their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territory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9" w:name="_ednref9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"_edn9"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[9]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9"/>
      <w:r w:rsidRPr="0038291B">
        <w:rPr>
          <w:rFonts w:ascii="Times New Roman" w:eastAsia="Times New Roman" w:hAnsi="Times New Roman" w:cs="Times New Roman"/>
          <w:lang w:eastAsia="it-IT"/>
        </w:rPr>
        <w:t xml:space="preserve"> The IHR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criticized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too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narrow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because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attention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given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highly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infectious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such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influenza,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early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In 1999, the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published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 </w:t>
      </w:r>
      <w:hyperlink r:id="rId6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influenza </w:t>
        </w:r>
        <w:proofErr w:type="spellStart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pandemic</w:t>
        </w:r>
        <w:proofErr w:type="spellEnd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 planning framework</w:t>
        </w:r>
      </w:hyperlink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emphasized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need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enhance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speed vaccine production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antiviral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drugs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particularly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developed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their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own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drug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production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means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),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improve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research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emergency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preparedness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10" w:name="_ednref10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"_edn10"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[10]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0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In 2002,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chance to put new theories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about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effective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global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containment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into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practice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with a coronavirus. In 2003, the </w:t>
      </w:r>
      <w:hyperlink r:id="rId7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Global </w:t>
        </w:r>
        <w:proofErr w:type="spellStart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Outbreak</w:t>
        </w:r>
        <w:proofErr w:type="spellEnd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 </w:t>
        </w:r>
        <w:proofErr w:type="spellStart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Alert</w:t>
        </w:r>
        <w:proofErr w:type="spellEnd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 and </w:t>
        </w:r>
        <w:proofErr w:type="spellStart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Response</w:t>
        </w:r>
        <w:proofErr w:type="spellEnd"/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 xml:space="preserve"> Network</w:t>
        </w:r>
      </w:hyperlink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formed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2000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provided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tip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about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unusual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clustered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respiratory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illness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Guangdong China.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Global Network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new WHO-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facilitated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multi-stakeholder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response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controlling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collected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disseminated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information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just from national governments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from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broad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array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additional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networks.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February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14, 2003,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Chinese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government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reported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305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unusual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"https://www.who.int/csr/don/2003_07_04/en/" \t "_blank"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indicated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"coming under control." The 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organization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called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upon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network of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laboratories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identify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any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novel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viruses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might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potential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February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19, 2003, the WHO Global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Network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reported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33-year-old Hong Kong man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nine-year-old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contracted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H5N1 virus after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travelling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through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Guangdong Province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Fujian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Province—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family's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8-year-old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daughter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developed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severe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respiratory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illness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buried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After an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report in Hong Kong, the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called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heightened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global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lastRenderedPageBreak/>
        <w:t>began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Canada, Vietnam, and Singapore. By March 15,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number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exploded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declared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worldwide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threat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"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sudden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acute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respiratory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"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declared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need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control air travel. On March 27, scientists in the WHO network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identified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novel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coronavirus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causing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SARS.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Through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combination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vigorous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relatively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aggressive 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containment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activities put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into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place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through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emergency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including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case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identification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case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isolation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contract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tracing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closing of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borders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quarantine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contacts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)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well-publicized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travel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recommendations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human-to-human transmission of SARS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remarkably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contained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within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four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months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by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July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5, 2003.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rapid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sharing of information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across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networks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experts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decisionmakers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key; the good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faith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participation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containment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efforts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essential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>In 2005, WHO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"https://apps.who.int/iris/bitstream/handle/10665/43883/9789241580410_eng.pdf?sequence=1" \t "_blank"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updated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the International </w:t>
      </w:r>
      <w:proofErr w:type="spellStart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focused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establishing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improving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global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capacity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prevent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detect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respond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infectious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threats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such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influenza. Under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revised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IHR,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required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improve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reporting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mechanisms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strengthen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their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surveillance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response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capacities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11" w:name="_ednref11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"_edn11"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[11]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1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historic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agreements limited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types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events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be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shared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revised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IHR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called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upon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upon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report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any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event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: (1)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serious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impact; (2)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unusual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unexpected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; (3)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might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be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internationally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virulent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; and (4)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likely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trigger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significant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risk of international travel or trade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restrictions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12" w:name="_ednref12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"_edn12"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[12]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2"/>
      <w:r w:rsidRPr="0038291B">
        <w:rPr>
          <w:rFonts w:ascii="Times New Roman" w:eastAsia="Times New Roman" w:hAnsi="Times New Roman" w:cs="Times New Roman"/>
          <w:lang w:eastAsia="it-IT"/>
        </w:rPr>
        <w:t xml:space="preserve"> National IHR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Focal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Points report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regional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WHO IHR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Points,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someone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must be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available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point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around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clock. Under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revised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WHO can make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combination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temporary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emergency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recommendations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combined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with standing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recommendations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ongoing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risks.</w:t>
      </w:r>
      <w:bookmarkStart w:id="13" w:name="_ednref13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"_edn13"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[13]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3"/>
      <w:r w:rsidRPr="0038291B">
        <w:rPr>
          <w:rFonts w:ascii="Times New Roman" w:eastAsia="Times New Roman" w:hAnsi="Times New Roman" w:cs="Times New Roman"/>
          <w:lang w:eastAsia="it-IT"/>
        </w:rPr>
        <w:t xml:space="preserve"> Under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 Emergency Committee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advises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Director-General of WHO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temporary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recommendations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during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emergency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concern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."</w:t>
      </w:r>
      <w:bookmarkStart w:id="14" w:name="_ednref14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"_edn14"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[14]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4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In 2011,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introduced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"https://www.who.int/features/qa/pandemic-influenza-preparedness/en/" \t "_blank"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Influenza </w:t>
      </w:r>
      <w:proofErr w:type="spellStart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Preparedness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(PIP) Framework for the Sharing of Influenza </w:t>
      </w:r>
      <w:proofErr w:type="spellStart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Viruses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and Access to </w:t>
      </w:r>
      <w:proofErr w:type="spellStart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Vaccines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Other</w:t>
      </w:r>
      <w:proofErr w:type="spellEnd"/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 xml:space="preserve"> Benefits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r w:rsidRPr="0038291B">
        <w:rPr>
          <w:rFonts w:ascii="Times New Roman" w:eastAsia="Times New Roman" w:hAnsi="Times New Roman" w:cs="Times New Roman"/>
          <w:lang w:eastAsia="it-IT"/>
        </w:rPr>
        <w:t xml:space="preserve">.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framework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operates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through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sharing of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viruses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genetic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sequence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data from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viruses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reagents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risk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assessments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though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GISRS.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 xml:space="preserve">WHO International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b/>
          <w:bCs/>
          <w:lang w:eastAsia="it-IT"/>
        </w:rPr>
        <w:t xml:space="preserve"> and COVID-19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Will the COVID-19 situation be more like SARS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technical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cooperation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aggressive national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actions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eventually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achieved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containment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will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situation generate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conflict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between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?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continues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spread to far more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SARS spread to,</w:t>
      </w:r>
      <w:bookmarkStart w:id="15" w:name="_ednref15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"_edn15"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[15]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5"/>
      <w:r w:rsidRPr="0038291B">
        <w:rPr>
          <w:rFonts w:ascii="Times New Roman" w:eastAsia="Times New Roman" w:hAnsi="Times New Roman" w:cs="Times New Roman"/>
          <w:lang w:eastAsia="it-IT"/>
        </w:rPr>
        <w:t xml:space="preserve"> cooperative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prevention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preparation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context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international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law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becomes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essential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prevent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from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becoming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borderless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disaster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t xml:space="preserve">For the 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key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states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responding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compliance with the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The WHO China office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reported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initial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cluster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December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2019,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isolated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virus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January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7, 2020,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shared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genetic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sequence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COVID 19 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January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12, 2020,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ensure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proper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diagnostic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kit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developments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16" w:name="_ednref16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"_edn16"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[16]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6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Appealing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object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purpose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the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the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continued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remind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countries of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need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proportionality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applying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measures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are "restricted to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risks,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which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avoid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unnecessary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interference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with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traffic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trade."</w:t>
      </w:r>
      <w:bookmarkStart w:id="17" w:name="_ednref17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"_edn17"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[17]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7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Meanwhile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travel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bans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been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continue to be,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imposed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questioned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by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law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experts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  <w:bookmarkStart w:id="18" w:name="_ednref18"/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"_edn18"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[18]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8"/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Insight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written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great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uncertainty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regarding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direction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played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key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role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facilitator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managing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transmission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epidemiological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information and sharing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effective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national strategies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across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global networks.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many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difficult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decisions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ahead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individual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governments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but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there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strength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lastRenderedPageBreak/>
        <w:t>affirming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solidarity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contain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equitably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without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damaging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long-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term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State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reputations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creating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conditions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future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unwarranted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discrimination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Anastasia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Telesetsky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Professor of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Law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at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the University of Idaho College of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Law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is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member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of the Insights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Editorial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Board.</w:t>
      </w:r>
    </w:p>
    <w:p w:rsidR="0038291B" w:rsidRPr="0038291B" w:rsidRDefault="0038291B" w:rsidP="0038291B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pict>
          <v:rect id="_x0000_i1025" style="width:138.05pt;height:.5pt" o:hrpct="330" o:hrstd="t" o:hr="t" fillcolor="#a0a0a0" stroked="f"/>
        </w:pict>
      </w:r>
    </w:p>
    <w:bookmarkStart w:id="19" w:name="_edn1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9"/>
      <w:r w:rsidRPr="0038291B">
        <w:rPr>
          <w:rFonts w:ascii="Times New Roman" w:eastAsia="Times New Roman" w:hAnsi="Times New Roman" w:cs="Times New Roman"/>
          <w:lang w:eastAsia="it-IT"/>
        </w:rPr>
        <w:t xml:space="preserve"> Norman Howard Jones, Scientific Background of the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Conferences 1851-1938, History International Public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 (1975) p. 11, </w:t>
      </w:r>
      <w:hyperlink r:id="rId8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https://apps.who.int/iris/bitstream/handle/10665/62873/14549_eng.pdf</w:t>
        </w:r>
      </w:hyperlink>
    </w:p>
    <w:bookmarkStart w:id="20" w:name="_edn2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"_ednref2"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[2]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0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</w:t>
      </w:r>
      <w:r w:rsidRPr="0038291B">
        <w:rPr>
          <w:rFonts w:ascii="Times New Roman" w:eastAsia="Times New Roman" w:hAnsi="Times New Roman" w:cs="Times New Roman"/>
          <w:lang w:eastAsia="it-IT"/>
        </w:rPr>
        <w:t>. p. 12.</w:t>
      </w:r>
    </w:p>
    <w:bookmarkStart w:id="21" w:name="_edn3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"_ednref3"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[3]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1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</w:t>
      </w:r>
      <w:r w:rsidRPr="0038291B">
        <w:rPr>
          <w:rFonts w:ascii="Times New Roman" w:eastAsia="Times New Roman" w:hAnsi="Times New Roman" w:cs="Times New Roman"/>
          <w:lang w:eastAsia="it-IT"/>
        </w:rPr>
        <w:t>. p. 65.</w:t>
      </w:r>
    </w:p>
    <w:bookmarkStart w:id="22" w:name="_edn4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"_ednref4"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[4]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2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</w:t>
      </w:r>
      <w:r w:rsidRPr="0038291B">
        <w:rPr>
          <w:rFonts w:ascii="Times New Roman" w:eastAsia="Times New Roman" w:hAnsi="Times New Roman" w:cs="Times New Roman"/>
          <w:lang w:eastAsia="it-IT"/>
        </w:rPr>
        <w:t>. p. 89</w:t>
      </w:r>
    </w:p>
    <w:bookmarkStart w:id="23" w:name="_edn5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"_ednref5"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[5]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3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</w:t>
      </w:r>
      <w:r w:rsidRPr="0038291B">
        <w:rPr>
          <w:rFonts w:ascii="Times New Roman" w:eastAsia="Times New Roman" w:hAnsi="Times New Roman" w:cs="Times New Roman"/>
          <w:lang w:eastAsia="it-IT"/>
        </w:rPr>
        <w:t>. p. 98</w:t>
      </w:r>
    </w:p>
    <w:bookmarkStart w:id="24" w:name="_edn6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"_ednref6"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[6]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4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</w:t>
      </w:r>
      <w:r w:rsidRPr="0038291B">
        <w:rPr>
          <w:rFonts w:ascii="Times New Roman" w:eastAsia="Times New Roman" w:hAnsi="Times New Roman" w:cs="Times New Roman"/>
          <w:lang w:eastAsia="it-IT"/>
        </w:rPr>
        <w:t>. p. 97.</w:t>
      </w:r>
    </w:p>
    <w:bookmarkStart w:id="25" w:name="_edn7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"_ednref7"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[7]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5"/>
      <w:r w:rsidRPr="0038291B">
        <w:rPr>
          <w:rFonts w:ascii="Times New Roman" w:eastAsia="Times New Roman" w:hAnsi="Times New Roman" w:cs="Times New Roman"/>
          <w:lang w:eastAsia="it-IT"/>
        </w:rPr>
        <w:t xml:space="preserve"> Agreement for United Nations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Relief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Rehabilitation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Administration, November 9, 1943, </w:t>
      </w:r>
      <w:hyperlink r:id="rId9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https://www.ibiblio.org/pha/policy/1943/431109a.html</w:t>
        </w:r>
      </w:hyperlink>
    </w:p>
    <w:bookmarkStart w:id="26" w:name="_edn8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"_ednref8"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[8]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6"/>
      <w:r w:rsidRPr="0038291B">
        <w:rPr>
          <w:rFonts w:ascii="Times New Roman" w:eastAsia="Times New Roman" w:hAnsi="Times New Roman" w:cs="Times New Roman"/>
          <w:lang w:eastAsia="it-IT"/>
        </w:rPr>
        <w:t xml:space="preserve"> Convention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Modifying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Sanitary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Convention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June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21, 1926: "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Every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Contracting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Party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shall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addition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specifically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mentioned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[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Article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1],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wit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plague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cholera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yellow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fever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typhus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smallpox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notify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UNRRA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such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other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communicable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in the opinion of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Party or in the opinion of UNRRA,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constitute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menace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other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countries by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their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spread or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potential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spread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across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frontiers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shall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keep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UNRRA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regularly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informed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course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disease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and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measures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taken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prevent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spread."</w:t>
      </w:r>
    </w:p>
    <w:bookmarkStart w:id="27" w:name="_edn9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"_ednref9"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[9]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7"/>
      <w:r w:rsidRPr="0038291B">
        <w:rPr>
          <w:rFonts w:ascii="Times New Roman" w:eastAsia="Times New Roman" w:hAnsi="Times New Roman" w:cs="Times New Roman"/>
          <w:lang w:eastAsia="it-IT"/>
        </w:rPr>
        <w:t xml:space="preserve"> 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Assembly. 1983.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International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 xml:space="preserve"> (1969)</w:t>
      </w:r>
      <w:r w:rsidRPr="0038291B">
        <w:rPr>
          <w:rFonts w:ascii="Times New Roman" w:eastAsia="Times New Roman" w:hAnsi="Times New Roman" w:cs="Times New Roman"/>
          <w:lang w:eastAsia="it-IT"/>
        </w:rPr>
        <w:t xml:space="preserve">. Geneva: 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Organization.</w:t>
      </w:r>
    </w:p>
    <w:bookmarkStart w:id="28" w:name="_edn10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"_ednref10"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[10]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8"/>
      <w:r w:rsidRPr="0038291B">
        <w:rPr>
          <w:rFonts w:ascii="Times New Roman" w:eastAsia="Times New Roman" w:hAnsi="Times New Roman" w:cs="Times New Roman"/>
          <w:lang w:eastAsia="it-IT"/>
        </w:rPr>
        <w:t xml:space="preserve"> 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Organization. WHO/CDS/CSR/EDC/99.1 Influenza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Pandemic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Plan. The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Role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WHO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Guidelines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National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Regional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Planning (Apr. 1999).</w:t>
      </w:r>
    </w:p>
    <w:bookmarkStart w:id="29" w:name="_edn11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"_ednref11"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[11]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9"/>
      <w:r w:rsidRPr="0038291B">
        <w:rPr>
          <w:rFonts w:ascii="Times New Roman" w:eastAsia="Times New Roman" w:hAnsi="Times New Roman" w:cs="Times New Roman"/>
          <w:lang w:eastAsia="it-IT"/>
        </w:rPr>
        <w:t xml:space="preserve"> 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(2005), 2nd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edition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. Geneva: 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Organization, art. 6.</w:t>
      </w:r>
    </w:p>
    <w:bookmarkStart w:id="30" w:name="_edn12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"_ednref12"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[12]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0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Id.</w:t>
      </w:r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Annex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2.</w:t>
      </w:r>
    </w:p>
    <w:bookmarkStart w:id="31" w:name="_edn13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"_ednref13"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[13]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1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Id.</w:t>
      </w:r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 15-16.</w:t>
      </w:r>
    </w:p>
    <w:bookmarkStart w:id="32" w:name="_edn14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"_ednref14"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[14]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2"/>
      <w:r w:rsidRPr="0038291B">
        <w:rPr>
          <w:rFonts w:ascii="Times New Roman" w:eastAsia="Times New Roman" w:hAnsi="Times New Roman" w:cs="Times New Roman"/>
          <w:lang w:eastAsia="it-IT"/>
        </w:rPr>
        <w:t> </w:t>
      </w:r>
      <w:r w:rsidRPr="0038291B">
        <w:rPr>
          <w:rFonts w:ascii="Times New Roman" w:eastAsia="Times New Roman" w:hAnsi="Times New Roman" w:cs="Times New Roman"/>
          <w:i/>
          <w:iCs/>
          <w:lang w:eastAsia="it-IT"/>
        </w:rPr>
        <w:t>Id</w:t>
      </w:r>
      <w:r w:rsidRPr="0038291B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arts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 48-49.</w:t>
      </w:r>
    </w:p>
    <w:bookmarkStart w:id="33" w:name="_edn15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"_ednref15"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[15]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3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of March 12, 2020, 110 countries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reported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confirmed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cases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bookmarkStart w:id="34" w:name="_edn16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"_ednref16"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[16]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4"/>
      <w:r w:rsidRPr="0038291B">
        <w:rPr>
          <w:rFonts w:ascii="Times New Roman" w:eastAsia="Times New Roman" w:hAnsi="Times New Roman" w:cs="Times New Roman"/>
          <w:lang w:eastAsia="it-IT"/>
        </w:rPr>
        <w:t xml:space="preserve"> World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Organization,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Novel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Coronavirus-China, </w:t>
      </w:r>
      <w:hyperlink r:id="rId10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https://www.who.int/csr/don/12-january-2020-novel-coronavirus-china/en/</w:t>
        </w:r>
      </w:hyperlink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bookmarkStart w:id="35" w:name="_edn17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"_ednref17"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[17]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5"/>
      <w:r w:rsidRPr="0038291B">
        <w:rPr>
          <w:rFonts w:ascii="Times New Roman" w:eastAsia="Times New Roman" w:hAnsi="Times New Roman" w:cs="Times New Roman"/>
          <w:lang w:eastAsia="it-IT"/>
        </w:rPr>
        <w:t> 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Updated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WHO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recommendations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for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traffic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relation to 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(Feb. 29, 2020), </w:t>
      </w:r>
      <w:hyperlink r:id="rId11" w:tgtFrame="_blank" w:history="1">
        <w:r w:rsidRPr="0038291B">
          <w:rPr>
            <w:rFonts w:ascii="Times New Roman" w:eastAsia="Times New Roman" w:hAnsi="Times New Roman" w:cs="Times New Roman"/>
            <w:color w:val="0088CC"/>
            <w:u w:val="single"/>
            <w:lang w:eastAsia="it-IT"/>
          </w:rPr>
          <w:t>https://www.who.int/news-room/articles-detail/updated-who-recommendations-for-international-traffic-in-relation-to-covid-19-outbreak</w:t>
        </w:r>
      </w:hyperlink>
      <w:r w:rsidRPr="0038291B">
        <w:rPr>
          <w:rFonts w:ascii="Times New Roman" w:eastAsia="Times New Roman" w:hAnsi="Times New Roman" w:cs="Times New Roman"/>
          <w:lang w:eastAsia="it-IT"/>
        </w:rPr>
        <w:t>.</w:t>
      </w:r>
    </w:p>
    <w:bookmarkStart w:id="36" w:name="_edn18"/>
    <w:p w:rsidR="0038291B" w:rsidRPr="0038291B" w:rsidRDefault="0038291B" w:rsidP="0038291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8291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38291B">
        <w:rPr>
          <w:rFonts w:ascii="Times New Roman" w:eastAsia="Times New Roman" w:hAnsi="Times New Roman" w:cs="Times New Roman"/>
          <w:lang w:eastAsia="it-IT"/>
        </w:rPr>
        <w:instrText xml:space="preserve"> HYPERLINK "https://www.asil.org/insights/volume/24/issue/3/international-governance-global-health-pandemics" \l "_ednref18" \o "" </w:instrTex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38291B">
        <w:rPr>
          <w:rFonts w:ascii="Times New Roman" w:eastAsia="Times New Roman" w:hAnsi="Times New Roman" w:cs="Times New Roman"/>
          <w:color w:val="0088CC"/>
          <w:u w:val="single"/>
          <w:lang w:eastAsia="it-IT"/>
        </w:rPr>
        <w:t>[18]</w:t>
      </w:r>
      <w:r w:rsidRPr="0038291B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36"/>
      <w:r w:rsidRPr="0038291B">
        <w:rPr>
          <w:rFonts w:ascii="Times New Roman" w:eastAsia="Times New Roman" w:hAnsi="Times New Roman" w:cs="Times New Roman"/>
          <w:lang w:eastAsia="it-IT"/>
        </w:rPr>
        <w:t xml:space="preserve"> R.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Habibi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et al.,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Comment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'Do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violate the International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Health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Regulations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during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the COVID-19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', The Lancet, Volume 395,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Issue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10225 (Feb. 29, 2020): 664-666. </w:t>
      </w:r>
      <w:r w:rsidRPr="0038291B">
        <w:rPr>
          <w:rFonts w:ascii="Times New Roman" w:eastAsia="Times New Roman" w:hAnsi="Times New Roman" w:cs="Times New Roman"/>
          <w:lang w:eastAsia="it-IT"/>
        </w:rPr>
        <w:lastRenderedPageBreak/>
        <w:t>("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Responses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that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are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anchored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fear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misinformation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racism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xenophobia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will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save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us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from </w:t>
      </w:r>
      <w:proofErr w:type="spellStart"/>
      <w:r w:rsidRPr="0038291B">
        <w:rPr>
          <w:rFonts w:ascii="Times New Roman" w:eastAsia="Times New Roman" w:hAnsi="Times New Roman" w:cs="Times New Roman"/>
          <w:lang w:eastAsia="it-IT"/>
        </w:rPr>
        <w:t>outbreaks</w:t>
      </w:r>
      <w:proofErr w:type="spellEnd"/>
      <w:r w:rsidRPr="0038291B">
        <w:rPr>
          <w:rFonts w:ascii="Times New Roman" w:eastAsia="Times New Roman" w:hAnsi="Times New Roman" w:cs="Times New Roman"/>
          <w:lang w:eastAsia="it-IT"/>
        </w:rPr>
        <w:t xml:space="preserve"> like COVID-19.")</w:t>
      </w:r>
    </w:p>
    <w:p w:rsidR="0038291B" w:rsidRPr="0038291B" w:rsidRDefault="0038291B" w:rsidP="0038291B">
      <w:pPr>
        <w:jc w:val="both"/>
        <w:rPr>
          <w:rFonts w:ascii="Times New Roman" w:hAnsi="Times New Roman" w:cs="Times New Roman"/>
        </w:rPr>
      </w:pPr>
    </w:p>
    <w:sectPr w:rsidR="0038291B" w:rsidRPr="0038291B" w:rsidSect="0038291B">
      <w:pgSz w:w="11906" w:h="16838"/>
      <w:pgMar w:top="1769" w:right="1769" w:bottom="1769" w:left="176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1B"/>
    <w:rsid w:val="003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D287D-E346-4649-9A78-72A28F5A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1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9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3135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6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1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0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0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9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6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62873/14549_eng.pdf;jsessionid=3A2CDB32A63A175A8A04F4467AAF29D9?sequence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ho.int/ihr/alert_and_response/outbreak-network/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csr/resources/publications/influenza/whocdscsredc991.pdf" TargetMode="External"/><Relationship Id="rId11" Type="http://schemas.openxmlformats.org/officeDocument/2006/relationships/hyperlink" Target="https://www.who.int/news-room/articles-detail/updated-who-recommendations-for-international-traffic-in-relation-to-covid-19-outbreak" TargetMode="External"/><Relationship Id="rId5" Type="http://schemas.openxmlformats.org/officeDocument/2006/relationships/hyperlink" Target="https://www.who.int/influenza/gip-anniversary/en/" TargetMode="External"/><Relationship Id="rId10" Type="http://schemas.openxmlformats.org/officeDocument/2006/relationships/hyperlink" Target="https://www.who.int/csr/don/12-january-2020-novel-coronavirus-china/en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biblio.org/pha/policy/1943/431109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2793</Words>
  <Characters>15921</Characters>
  <Application>Microsoft Office Word</Application>
  <DocSecurity>0</DocSecurity>
  <Lines>132</Lines>
  <Paragraphs>37</Paragraphs>
  <ScaleCrop>false</ScaleCrop>
  <Company/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</dc:creator>
  <cp:keywords/>
  <dc:description/>
  <cp:lastModifiedBy> </cp:lastModifiedBy>
  <cp:revision>1</cp:revision>
  <dcterms:created xsi:type="dcterms:W3CDTF">2020-03-27T09:37:00Z</dcterms:created>
  <dcterms:modified xsi:type="dcterms:W3CDTF">2020-03-27T09:38:00Z</dcterms:modified>
</cp:coreProperties>
</file>