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B4" w:rsidRPr="008539B4" w:rsidRDefault="008539B4" w:rsidP="008539B4">
      <w:pPr>
        <w:jc w:val="center"/>
        <w:rPr>
          <w:rStyle w:val="lbl-numero-articolo"/>
          <w:u w:val="single"/>
          <w:lang w:eastAsia="it-IT" w:bidi="ar-SA"/>
        </w:rPr>
      </w:pPr>
      <w:r w:rsidRPr="008539B4">
        <w:rPr>
          <w:rStyle w:val="lbl-numero-articolo"/>
          <w:u w:val="single"/>
          <w:lang w:eastAsia="it-IT" w:bidi="ar-SA"/>
        </w:rPr>
        <w:t>7 maggio 2020</w:t>
      </w:r>
    </w:p>
    <w:p w:rsidR="008539B4" w:rsidRDefault="008539B4" w:rsidP="008539B4">
      <w:pPr>
        <w:jc w:val="center"/>
        <w:rPr>
          <w:rStyle w:val="lbl-numero-articolo"/>
          <w:lang w:val="it-IT" w:eastAsia="it-IT" w:bidi="ar-SA"/>
        </w:rPr>
      </w:pPr>
    </w:p>
    <w:p w:rsidR="008539B4" w:rsidRDefault="008539B4" w:rsidP="008539B4">
      <w:pPr>
        <w:jc w:val="center"/>
        <w:rPr>
          <w:rStyle w:val="lbl-numero-articolo"/>
          <w:lang w:val="it-IT" w:eastAsia="it-IT" w:bidi="ar-SA"/>
        </w:rPr>
      </w:pP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rStyle w:val="lbl-numero-articolo"/>
          <w:lang w:val="it-IT" w:eastAsia="it-IT" w:bidi="ar-SA"/>
        </w:rPr>
        <w:t xml:space="preserve">LIBRO IV </w:t>
      </w:r>
      <w:r>
        <w:rPr>
          <w:rStyle w:val="lbl-numero-articolo"/>
          <w:lang w:val="it-IT" w:eastAsia="it-IT" w:bidi="ar-SA"/>
        </w:rPr>
        <w:br/>
        <w:t xml:space="preserve">LIBRO QUARTO </w:t>
      </w:r>
      <w:r>
        <w:rPr>
          <w:rStyle w:val="lbl-numero-articolo"/>
          <w:lang w:val="it-IT" w:eastAsia="it-IT" w:bidi="ar-SA"/>
        </w:rPr>
        <w:br/>
        <w:t>OTTEMPERANZA E RITI SPECIALI</w:t>
      </w:r>
      <w:r>
        <w:rPr>
          <w:rStyle w:val="lbl-numero-articolo"/>
          <w:lang w:val="it-IT" w:eastAsia="it-IT" w:bidi="ar-SA"/>
        </w:rPr>
        <w:br/>
        <w:t xml:space="preserve">TITOLO I </w:t>
      </w:r>
      <w:r>
        <w:rPr>
          <w:rStyle w:val="lbl-numero-articolo"/>
          <w:lang w:val="it-IT" w:eastAsia="it-IT" w:bidi="ar-SA"/>
        </w:rPr>
        <w:br/>
        <w:t xml:space="preserve">Titolo I </w:t>
      </w:r>
      <w:r>
        <w:rPr>
          <w:rStyle w:val="lbl-numero-articolo"/>
          <w:lang w:val="it-IT" w:eastAsia="it-IT" w:bidi="ar-SA"/>
        </w:rPr>
        <w:br/>
        <w:t xml:space="preserve">Giudizio di ottemperanza </w:t>
      </w:r>
      <w:r>
        <w:rPr>
          <w:rStyle w:val="lbl-numero-articolo"/>
          <w:lang w:val="it-IT" w:eastAsia="it-IT" w:bidi="ar-SA"/>
        </w:rPr>
        <w:br/>
      </w:r>
      <w:r>
        <w:rPr>
          <w:rStyle w:val="lbl-numero-articolo"/>
          <w:lang w:val="it-IT" w:eastAsia="it-IT" w:bidi="ar-SA"/>
        </w:rPr>
        <w:br/>
        <w:t xml:space="preserve">Articolo 112 </w:t>
      </w: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b/>
          <w:bCs/>
          <w:lang w:val="it-IT" w:eastAsia="it-IT" w:bidi="ar-SA"/>
        </w:rPr>
        <w:t xml:space="preserve">Disposizioni generali sul giudizio di ottemperanza </w:t>
      </w:r>
    </w:p>
    <w:p w:rsidR="008539B4" w:rsidRDefault="008539B4" w:rsidP="008539B4">
      <w:pPr>
        <w:pStyle w:val="dj-para-center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 xml:space="preserve">Art. 112 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1. I provvedimenti del giudice amministrativo devono essere eseguiti dalla pubblica amministrazione e dalle altre parti.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2. L'azione di ottemperanza pu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essere proposta per conseguire l'attuazione: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a) delle sentenze del giudice amministrativo passate in giudicato;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b) delle sentenze esecutive e degli altri provvedimenti esecutivi del giudice amministrativo;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c) delle sentenze passate in giudicato e degli altri provvedimenti ad esse equiparati del giudice ordinario, al fine di ottenere l'adempimento dell'obbligo della pubblica amministrazione di conformarsi, per quanto riguarda il caso deciso, al giudicato;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d) delle sentenze passate in giudicato e degli altri provvedimenti ad esse equiparati per i quali non sia previsto il rimedio dell'ottemperanza, al fine di ottenere l'adempimento dell'obbligo della pubblica amministrazione di conformarsi alla decisione;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e) dei lodi arbitrali esecutivi divenuti inoppugnabili al fine di ottenere l'adempimento dell'obbligo della pubblica amministrazione di conformarsi, per quanto riguarda il caso deciso, al giudicato.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3. Pu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essere proposta, anche in unico grado dinanzi al giudice dell'ottemperanza, azione di condanna al pagamento di somme a titolo di </w:t>
      </w:r>
      <w:r>
        <w:rPr>
          <w:lang w:val="it-IT" w:eastAsia="it-IT" w:bidi="ar-SA"/>
        </w:rPr>
        <w:lastRenderedPageBreak/>
        <w:t xml:space="preserve">rivalutazione e interessi maturati dopo il passaggio in giudicato della sentenza, </w:t>
      </w:r>
      <w:proofErr w:type="spellStart"/>
      <w:r>
        <w:rPr>
          <w:lang w:val="it-IT" w:eastAsia="it-IT" w:bidi="ar-SA"/>
        </w:rPr>
        <w:t>nonch</w:t>
      </w:r>
      <w:r>
        <w:rPr>
          <w:lang w:val="it-IT" w:eastAsia="it-IT" w:bidi="ar-SA"/>
        </w:rPr>
        <w:t>è</w:t>
      </w:r>
      <w:proofErr w:type="spellEnd"/>
      <w:r>
        <w:rPr>
          <w:lang w:val="it-IT" w:eastAsia="it-IT" w:bidi="ar-SA"/>
        </w:rPr>
        <w:t xml:space="preserve"> azione di risarcimento dei danni connessi all'impossibilit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o comunque alla mancata esecuzione in forma specifica, totale o parziale, del giudicato o alla sua violazione o elusione (1).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[4. Nel processo di ottemperanza pu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essere </w:t>
      </w:r>
      <w:proofErr w:type="spellStart"/>
      <w:r>
        <w:rPr>
          <w:lang w:val="it-IT" w:eastAsia="it-IT" w:bidi="ar-SA"/>
        </w:rPr>
        <w:t>altresi'</w:t>
      </w:r>
      <w:proofErr w:type="spellEnd"/>
      <w:r>
        <w:rPr>
          <w:lang w:val="it-IT" w:eastAsia="it-IT" w:bidi="ar-SA"/>
        </w:rPr>
        <w:t xml:space="preserve"> proposta la connessa domanda risarcitoria di cui all'</w:t>
      </w:r>
      <w:hyperlink w:anchor="/ricerca/fonti_documento?idDatabank=7&amp;idDocMaster=1804510&amp;idUnitaDoc=5595280&amp;nVigUnitaDoc=1&amp;docIdx=1&amp;isCorrelazioniSearch=true&amp;correlatoA=Normativa" w:history="1">
        <w:r>
          <w:rPr>
            <w:rStyle w:val="alink"/>
            <w:lang w:val="it-IT" w:eastAsia="it-IT" w:bidi="ar-SA"/>
          </w:rPr>
          <w:t>articolo 30, comma 5</w:t>
        </w:r>
      </w:hyperlink>
      <w:r>
        <w:rPr>
          <w:lang w:val="it-IT" w:eastAsia="it-IT" w:bidi="ar-SA"/>
        </w:rPr>
        <w:t>, nel termine ivi stabilito. In tal caso il giudizio di ottemperanza si svolge nelle forme, nei modi e nei termini del processo ordinario.] (2)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5. Il ricorso di cui al presente articolo pu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essere proposto anche al fine di ottenere chiarimenti in ordine alle modalit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di ottemperanza.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(1) Comma sostituito dall'</w:t>
      </w:r>
      <w:hyperlink w:anchor="/ricerca/fonti_documento?idDatabank=7&amp;idDocMaster=1804615&amp;idUnitaDoc=5597810&amp;nVigUnitaDoc=1&amp;docIdx=1&amp;isCorrelazioniSearch=true&amp;correlatoA=Normativa" w:history="1">
        <w:r>
          <w:rPr>
            <w:rStyle w:val="alink"/>
            <w:lang w:val="it-IT" w:eastAsia="it-IT" w:bidi="ar-SA"/>
          </w:rPr>
          <w:t xml:space="preserve">articolo 1, comma 1, lettera cc), numero 1), del </w:t>
        </w:r>
        <w:proofErr w:type="spellStart"/>
        <w:r>
          <w:rPr>
            <w:rStyle w:val="alink"/>
            <w:lang w:val="it-IT" w:eastAsia="it-IT" w:bidi="ar-SA"/>
          </w:rPr>
          <w:t>D.Lgs.</w:t>
        </w:r>
        <w:proofErr w:type="spellEnd"/>
        <w:r>
          <w:rPr>
            <w:rStyle w:val="alink"/>
            <w:lang w:val="it-IT" w:eastAsia="it-IT" w:bidi="ar-SA"/>
          </w:rPr>
          <w:t xml:space="preserve"> 15 novembre 2011, n. 195</w:t>
        </w:r>
      </w:hyperlink>
      <w:r>
        <w:rPr>
          <w:lang w:val="it-IT" w:eastAsia="it-IT" w:bidi="ar-SA"/>
        </w:rPr>
        <w:t>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(2) Comma soppresso dall'</w:t>
      </w:r>
      <w:hyperlink w:anchor="/ricerca/fonti_documento?idDatabank=7&amp;idDocMaster=1804615&amp;idUnitaDoc=5597810&amp;nVigUnitaDoc=1&amp;docIdx=1&amp;isCorrelazioniSearch=true&amp;correlatoA=Normativa" w:history="1">
        <w:r>
          <w:rPr>
            <w:rStyle w:val="alink"/>
            <w:lang w:val="it-IT" w:eastAsia="it-IT" w:bidi="ar-SA"/>
          </w:rPr>
          <w:t xml:space="preserve">articolo 1, comma 1, lettera cc), numero 2), del </w:t>
        </w:r>
        <w:proofErr w:type="spellStart"/>
        <w:r>
          <w:rPr>
            <w:rStyle w:val="alink"/>
            <w:lang w:val="it-IT" w:eastAsia="it-IT" w:bidi="ar-SA"/>
          </w:rPr>
          <w:t>D.Lgs.</w:t>
        </w:r>
        <w:proofErr w:type="spellEnd"/>
        <w:r>
          <w:rPr>
            <w:rStyle w:val="alink"/>
            <w:lang w:val="it-IT" w:eastAsia="it-IT" w:bidi="ar-SA"/>
          </w:rPr>
          <w:t xml:space="preserve"> 15 novembre 2011, n. 195</w:t>
        </w:r>
      </w:hyperlink>
      <w:r>
        <w:rPr>
          <w:lang w:val="it-IT" w:eastAsia="it-IT" w:bidi="ar-SA"/>
        </w:rPr>
        <w:t>.</w:t>
      </w:r>
    </w:p>
    <w:p w:rsidR="008539B4" w:rsidRDefault="008539B4" w:rsidP="008539B4">
      <w:pPr>
        <w:rPr>
          <w:lang w:val="it-IT" w:eastAsia="it-IT" w:bidi="ar-SA"/>
        </w:rPr>
      </w:pP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rStyle w:val="lbl-numero-articolo"/>
          <w:lang w:val="it-IT" w:eastAsia="it-IT" w:bidi="ar-SA"/>
        </w:rPr>
        <w:t xml:space="preserve">Articolo 113 </w:t>
      </w: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b/>
          <w:bCs/>
          <w:lang w:val="it-IT" w:eastAsia="it-IT" w:bidi="ar-SA"/>
        </w:rPr>
        <w:t xml:space="preserve">Giudice dell'ottemperanza </w:t>
      </w:r>
    </w:p>
    <w:p w:rsidR="008539B4" w:rsidRDefault="008539B4" w:rsidP="008539B4">
      <w:pPr>
        <w:pStyle w:val="dj-para-center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Art. 113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1. Il ricorso si propone, nel caso di cui all'</w:t>
      </w:r>
      <w:hyperlink w:anchor="/ricerca/fonti_documento?idDatabank=7&amp;idDocMaster=1804510&amp;idUnitaDoc=5595280&amp;nVigUnitaDoc=1&amp;docIdx=1&amp;isCorrelazioniSearch=true&amp;correlatoA=Normativa" w:history="1">
        <w:r>
          <w:rPr>
            <w:rStyle w:val="alink"/>
            <w:lang w:val="it-IT" w:eastAsia="it-IT" w:bidi="ar-SA"/>
          </w:rPr>
          <w:t>articolo 112, comma 2, lettere a) e b)</w:t>
        </w:r>
      </w:hyperlink>
      <w:r>
        <w:rPr>
          <w:lang w:val="it-IT" w:eastAsia="it-IT" w:bidi="ar-SA"/>
        </w:rPr>
        <w:t xml:space="preserve">, al giudice che ha emesso il provvedimento della cui ottemperanza si tratta; la competenza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del tribunale amministrativo regionale anche per i suoi provvedimenti confermati in appello con motivazione che abbia lo stesso contenuto dispositivo e conformativo dei provvedimenti di primo grado.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2. Nei casi di cui all'</w:t>
      </w:r>
      <w:hyperlink w:anchor="/ricerca/fonti_documento?idDatabank=7&amp;idDocMaster=1804510&amp;idUnitaDoc=5595280&amp;nVigUnitaDoc=1&amp;docIdx=1&amp;isCorrelazioniSearch=true&amp;correlatoA=Normativa" w:history="1">
        <w:r>
          <w:rPr>
            <w:rStyle w:val="alink"/>
            <w:lang w:val="it-IT" w:eastAsia="it-IT" w:bidi="ar-SA"/>
          </w:rPr>
          <w:t>articolo 112, comma 2, lettere c), d) ed e)</w:t>
        </w:r>
      </w:hyperlink>
      <w:r>
        <w:rPr>
          <w:lang w:val="it-IT" w:eastAsia="it-IT" w:bidi="ar-SA"/>
        </w:rPr>
        <w:t xml:space="preserve">, il ricorso si propone al tribunale amministrativo regionale nella cui circoscrizione ha sede il giudice che ha emesso la sentenza di cui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chiesta l'ottemperanza.</w:t>
      </w:r>
    </w:p>
    <w:p w:rsidR="008539B4" w:rsidRDefault="008539B4" w:rsidP="008539B4">
      <w:pPr>
        <w:rPr>
          <w:lang w:val="it-IT" w:eastAsia="it-IT" w:bidi="ar-SA"/>
        </w:rPr>
      </w:pP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rStyle w:val="lbl-numero-articolo"/>
          <w:lang w:val="it-IT" w:eastAsia="it-IT" w:bidi="ar-SA"/>
        </w:rPr>
        <w:t xml:space="preserve">Articolo 114 </w:t>
      </w:r>
    </w:p>
    <w:p w:rsidR="008539B4" w:rsidRDefault="008539B4" w:rsidP="008539B4">
      <w:pPr>
        <w:jc w:val="center"/>
        <w:rPr>
          <w:lang w:val="it-IT" w:eastAsia="it-IT" w:bidi="ar-SA"/>
        </w:rPr>
      </w:pPr>
      <w:r>
        <w:rPr>
          <w:b/>
          <w:bCs/>
          <w:lang w:val="it-IT" w:eastAsia="it-IT" w:bidi="ar-SA"/>
        </w:rPr>
        <w:t xml:space="preserve">Procedimento </w:t>
      </w:r>
    </w:p>
    <w:p w:rsidR="008539B4" w:rsidRDefault="008539B4" w:rsidP="008539B4">
      <w:pPr>
        <w:pStyle w:val="dj-para-center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Art. 114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lastRenderedPageBreak/>
        <w:t>1. L'azione si propone, anche senza previa diffida, con ricorso notificato alla pubblica amministrazione e a tutte le altre parti del giudizio definito dalla sentenza o dal lodo della cui ottemperanza si tratta; l'azione si prescrive con il decorso di dieci anni dal passaggio in giudicato della sentenza.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 xml:space="preserve">2. Unitamente al ricorso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depositato in copia autentica il provvedimento di cui si chiede l'ottemperanza, con l'eventuale prova del suo passaggio in giudicato (1).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3. Il giudice decide con sentenza in forma semplificata.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4. Il giudice, in caso di accoglimento del ricorso: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 xml:space="preserve">a) ordina l'ottemperanza, </w:t>
      </w:r>
      <w:r w:rsidRPr="00D57783">
        <w:rPr>
          <w:highlight w:val="yellow"/>
          <w:lang w:val="it-IT" w:eastAsia="it-IT" w:bidi="ar-SA"/>
        </w:rPr>
        <w:t>prescrivendo le relative modalit</w:t>
      </w:r>
      <w:r>
        <w:rPr>
          <w:highlight w:val="yellow"/>
          <w:lang w:val="it-IT" w:eastAsia="it-IT" w:bidi="ar-SA"/>
        </w:rPr>
        <w:t>à</w:t>
      </w:r>
      <w:r w:rsidRPr="00D57783">
        <w:rPr>
          <w:highlight w:val="yellow"/>
          <w:lang w:val="it-IT" w:eastAsia="it-IT" w:bidi="ar-SA"/>
        </w:rPr>
        <w:t>,</w:t>
      </w:r>
      <w:r>
        <w:rPr>
          <w:lang w:val="it-IT" w:eastAsia="it-IT" w:bidi="ar-SA"/>
        </w:rPr>
        <w:t xml:space="preserve"> anche mediante la determinazione del contenuto del provvedimento amministrativo o l'emanazione dello stesso in luogo dell'amministrazione;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b) dichiara nulli gli eventuali atti in violazione o elusione del giudicato;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c) nel caso di ottemperanza di sentenze non passate in giudicato o di altri provvedimenti, determina le modalit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esecutive, considerando inefficaci gli atti emessi in violazione o elusione e provvede di conseguenza, </w:t>
      </w:r>
      <w:r w:rsidRPr="00D57783">
        <w:rPr>
          <w:highlight w:val="yellow"/>
          <w:lang w:val="it-IT" w:eastAsia="it-IT" w:bidi="ar-SA"/>
        </w:rPr>
        <w:t>tenendo conto degli effetti che ne derivano;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 xml:space="preserve">d) </w:t>
      </w:r>
      <w:r w:rsidRPr="00D57783">
        <w:rPr>
          <w:highlight w:val="yellow"/>
          <w:lang w:val="it-IT" w:eastAsia="it-IT" w:bidi="ar-SA"/>
        </w:rPr>
        <w:t>nomina, ove occorra, un commissario ad acta;</w:t>
      </w:r>
    </w:p>
    <w:p w:rsidR="008539B4" w:rsidRDefault="008539B4" w:rsidP="008539B4">
      <w:pPr>
        <w:pStyle w:val="dj-para-r2"/>
        <w:spacing w:before="270" w:after="270"/>
        <w:ind w:left="75" w:right="75"/>
        <w:rPr>
          <w:lang w:val="it-IT" w:eastAsia="it-IT" w:bidi="ar-SA"/>
        </w:rPr>
      </w:pPr>
      <w:r>
        <w:rPr>
          <w:lang w:val="it-IT" w:eastAsia="it-IT" w:bidi="ar-SA"/>
        </w:rPr>
        <w:t>e) salvo che ci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sia manifestamente iniquo, e se non sussistono altre ragioni ostative, fissa, su richiesta di parte, la somma di denaro dovuta dal resistente per ogni violazione o inosservanza successiva, ovvero per ogni ritardo nell'esecuzione del giudicato; tale statuizione costituisce titolo esecutivo. Nei giudizi di ottemperanza aventi ad oggetto il pagamento di somme di denaro, la penalit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di mora di cui al primo periodo decorre dal giorno della comunicazione o notificazione dell'ordine di pagamento disposto nella sentenza di ottemperanza; detta penalit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non pu</w:t>
      </w:r>
      <w:r>
        <w:rPr>
          <w:lang w:val="it-IT" w:eastAsia="it-IT" w:bidi="ar-SA"/>
        </w:rPr>
        <w:t>ò</w:t>
      </w:r>
      <w:r>
        <w:rPr>
          <w:lang w:val="it-IT" w:eastAsia="it-IT" w:bidi="ar-SA"/>
        </w:rPr>
        <w:t xml:space="preserve"> considerarsi manifestamente iniqua quando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stabilita in misura pari agli interessi legali (2).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 xml:space="preserve">5. Se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chiesta l'esecuzione di un'ordinanza il giudice provvede con ordinanza.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 xml:space="preserve">6. Il giudice conosce di tutte le questioni relative all'ottemperanza, </w:t>
      </w:r>
      <w:proofErr w:type="spellStart"/>
      <w:r>
        <w:rPr>
          <w:lang w:val="it-IT" w:eastAsia="it-IT" w:bidi="ar-SA"/>
        </w:rPr>
        <w:t>nonch</w:t>
      </w:r>
      <w:r>
        <w:rPr>
          <w:lang w:val="it-IT" w:eastAsia="it-IT" w:bidi="ar-SA"/>
        </w:rPr>
        <w:t>è</w:t>
      </w:r>
      <w:proofErr w:type="spellEnd"/>
      <w:r>
        <w:rPr>
          <w:lang w:val="it-IT" w:eastAsia="it-IT" w:bidi="ar-SA"/>
        </w:rPr>
        <w:t xml:space="preserve">, tra le parti nei cui confronti si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formato il giudicato, di quelle inerenti agli atti del commissario ad acta. Avverso gli atti del commissario ad acta le stesse parti possono proporre, dinanzi al giudice dell'ottemperanza, reclamo, che </w:t>
      </w:r>
      <w:r>
        <w:rPr>
          <w:lang w:val="it-IT" w:eastAsia="it-IT" w:bidi="ar-SA"/>
        </w:rPr>
        <w:t>è</w:t>
      </w:r>
      <w:r>
        <w:rPr>
          <w:lang w:val="it-IT" w:eastAsia="it-IT" w:bidi="ar-SA"/>
        </w:rPr>
        <w:t xml:space="preserve"> </w:t>
      </w:r>
      <w:r>
        <w:rPr>
          <w:lang w:val="it-IT" w:eastAsia="it-IT" w:bidi="ar-SA"/>
        </w:rPr>
        <w:lastRenderedPageBreak/>
        <w:t>depositato, previa notifica ai controinteressati, nel termine di sessanta giorni. Gli atti emanati dal giudice dell'ottemperanza o dal suo ausiliario sono impugnabili dai terzi estranei al giudicato ai sensi dell'articolo 29, con il rito ordinario (3).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7. Nel caso di ricorso ai sensi del comma 5 dell'articolo 112, il giudice fornisce chiarimenti in ordine alle modalit</w:t>
      </w:r>
      <w:r>
        <w:rPr>
          <w:lang w:val="it-IT" w:eastAsia="it-IT" w:bidi="ar-SA"/>
        </w:rPr>
        <w:t>à</w:t>
      </w:r>
      <w:r>
        <w:rPr>
          <w:lang w:val="it-IT" w:eastAsia="it-IT" w:bidi="ar-SA"/>
        </w:rPr>
        <w:t xml:space="preserve"> di ottemperanza, anche su richiesta del commissario.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8. Le disposizioni di cui al presente Titolo si applicano anche alle impugnazioni avverso i provvedimenti giurisdizionali adottati dal giudice dell'ottemperanza.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9. I termini per la proposizione delle impugnazioni sono quelli previsti nel Libro III.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(1) Comma sostituito dall'</w:t>
      </w:r>
      <w:hyperlink w:anchor="/ricerca/fonti_documento?idDatabank=7&amp;idDocMaster=1804615&amp;idUnitaDoc=5597810&amp;nVigUnitaDoc=1&amp;docIdx=1&amp;isCorrelazioniSearch=true&amp;correlatoA=Normativa" w:history="1">
        <w:r>
          <w:rPr>
            <w:rStyle w:val="alink"/>
            <w:lang w:val="it-IT" w:eastAsia="it-IT" w:bidi="ar-SA"/>
          </w:rPr>
          <w:t xml:space="preserve">articolo 1, comma 1, lettera </w:t>
        </w:r>
        <w:proofErr w:type="spellStart"/>
        <w:r>
          <w:rPr>
            <w:rStyle w:val="alink"/>
            <w:lang w:val="it-IT" w:eastAsia="it-IT" w:bidi="ar-SA"/>
          </w:rPr>
          <w:t>dd</w:t>
        </w:r>
        <w:proofErr w:type="spellEnd"/>
        <w:r>
          <w:rPr>
            <w:rStyle w:val="alink"/>
            <w:lang w:val="it-IT" w:eastAsia="it-IT" w:bidi="ar-SA"/>
          </w:rPr>
          <w:t xml:space="preserve">), numero 1), del </w:t>
        </w:r>
        <w:proofErr w:type="spellStart"/>
        <w:r>
          <w:rPr>
            <w:rStyle w:val="alink"/>
            <w:lang w:val="it-IT" w:eastAsia="it-IT" w:bidi="ar-SA"/>
          </w:rPr>
          <w:t>D.Lgs.</w:t>
        </w:r>
        <w:proofErr w:type="spellEnd"/>
        <w:r>
          <w:rPr>
            <w:rStyle w:val="alink"/>
            <w:lang w:val="it-IT" w:eastAsia="it-IT" w:bidi="ar-SA"/>
          </w:rPr>
          <w:t xml:space="preserve"> 15 novembre 2011, n. 195</w:t>
        </w:r>
      </w:hyperlink>
      <w:r>
        <w:rPr>
          <w:lang w:val="it-IT" w:eastAsia="it-IT" w:bidi="ar-SA"/>
        </w:rPr>
        <w:t>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(2) Lettera modificata dall'</w:t>
      </w:r>
      <w:hyperlink w:anchor="/ricerca/fonti_documento?idDatabank=7&amp;idDocMaster=4845525&amp;idUnitaDoc=28768709&amp;nVigUnitaDoc=1&amp;docIdx=1&amp;isCorrelazioniSearch=true&amp;correlatoA=Normativa" w:history="1">
        <w:r>
          <w:rPr>
            <w:rStyle w:val="alink"/>
            <w:lang w:val="it-IT" w:eastAsia="it-IT" w:bidi="ar-SA"/>
          </w:rPr>
          <w:t>articolo 1, comma 781, lettera a), della Legge 28 dicembre 2015, n. 208</w:t>
        </w:r>
      </w:hyperlink>
      <w:r>
        <w:rPr>
          <w:lang w:val="it-IT" w:eastAsia="it-IT" w:bidi="ar-SA"/>
        </w:rPr>
        <w:t>.</w:t>
      </w:r>
    </w:p>
    <w:p w:rsidR="008539B4" w:rsidRDefault="008539B4" w:rsidP="008539B4">
      <w:pPr>
        <w:pStyle w:val="testo-leggedj-para-r1"/>
        <w:spacing w:before="270" w:after="270"/>
        <w:rPr>
          <w:lang w:val="it-IT" w:eastAsia="it-IT" w:bidi="ar-SA"/>
        </w:rPr>
      </w:pPr>
      <w:r>
        <w:rPr>
          <w:lang w:val="it-IT" w:eastAsia="it-IT" w:bidi="ar-SA"/>
        </w:rPr>
        <w:t>(3) Comma sostituito dall'</w:t>
      </w:r>
      <w:hyperlink w:anchor="/ricerca/fonti_documento?idDatabank=7&amp;idDocMaster=1804615&amp;idUnitaDoc=5597810&amp;nVigUnitaDoc=1&amp;docIdx=1&amp;isCorrelazioniSearch=true&amp;correlatoA=Normativa" w:history="1">
        <w:r>
          <w:rPr>
            <w:rStyle w:val="alink"/>
            <w:lang w:val="it-IT" w:eastAsia="it-IT" w:bidi="ar-SA"/>
          </w:rPr>
          <w:t xml:space="preserve">articolo 1, comma 1, lettera </w:t>
        </w:r>
        <w:proofErr w:type="spellStart"/>
        <w:r>
          <w:rPr>
            <w:rStyle w:val="alink"/>
            <w:lang w:val="it-IT" w:eastAsia="it-IT" w:bidi="ar-SA"/>
          </w:rPr>
          <w:t>dd</w:t>
        </w:r>
        <w:proofErr w:type="spellEnd"/>
        <w:r>
          <w:rPr>
            <w:rStyle w:val="alink"/>
            <w:lang w:val="it-IT" w:eastAsia="it-IT" w:bidi="ar-SA"/>
          </w:rPr>
          <w:t xml:space="preserve">), numero 2), del </w:t>
        </w:r>
        <w:proofErr w:type="spellStart"/>
        <w:r>
          <w:rPr>
            <w:rStyle w:val="alink"/>
            <w:lang w:val="it-IT" w:eastAsia="it-IT" w:bidi="ar-SA"/>
          </w:rPr>
          <w:t>D.Lgs.</w:t>
        </w:r>
        <w:proofErr w:type="spellEnd"/>
        <w:r>
          <w:rPr>
            <w:rStyle w:val="alink"/>
            <w:lang w:val="it-IT" w:eastAsia="it-IT" w:bidi="ar-SA"/>
          </w:rPr>
          <w:t xml:space="preserve"> 15 novembre 2011, n. 195</w:t>
        </w:r>
      </w:hyperlink>
      <w:r>
        <w:rPr>
          <w:lang w:val="it-IT" w:eastAsia="it-IT" w:bidi="ar-SA"/>
        </w:rPr>
        <w:t>.</w:t>
      </w:r>
    </w:p>
    <w:p w:rsidR="008539B4" w:rsidRDefault="008539B4" w:rsidP="008539B4">
      <w:pPr>
        <w:rPr>
          <w:lang w:val="it-IT" w:eastAsia="it-IT" w:bidi="ar-SA"/>
        </w:rPr>
      </w:pPr>
    </w:p>
    <w:p w:rsidR="007165C9" w:rsidRDefault="007165C9"/>
    <w:sectPr w:rsidR="00716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B4"/>
    <w:rsid w:val="007165C9"/>
    <w:rsid w:val="008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A18E"/>
  <w15:chartTrackingRefBased/>
  <w15:docId w15:val="{F88000BD-BA29-4121-8E55-23495CD1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9B4"/>
    <w:pPr>
      <w:spacing w:after="0" w:line="360" w:lineRule="atLeast"/>
    </w:pPr>
    <w:rPr>
      <w:rFonts w:ascii="Arial" w:eastAsia="Arial" w:hAnsi="Arial" w:cs="Arial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ink">
    <w:name w:val="a_link"/>
    <w:rsid w:val="008539B4"/>
    <w:rPr>
      <w:color w:val="000000"/>
    </w:rPr>
  </w:style>
  <w:style w:type="paragraph" w:customStyle="1" w:styleId="dj-para-center">
    <w:name w:val="dj-para-center"/>
    <w:basedOn w:val="Normale"/>
    <w:rsid w:val="008539B4"/>
    <w:pPr>
      <w:jc w:val="center"/>
    </w:pPr>
  </w:style>
  <w:style w:type="character" w:customStyle="1" w:styleId="lbl-numero-articolo">
    <w:name w:val="lbl-numero-articolo"/>
    <w:rsid w:val="008539B4"/>
    <w:rPr>
      <w:b/>
      <w:bCs/>
    </w:rPr>
  </w:style>
  <w:style w:type="paragraph" w:customStyle="1" w:styleId="testo-leggedj-para-r1">
    <w:name w:val="testo-legge_dj-para-r1"/>
    <w:basedOn w:val="Normale"/>
    <w:rsid w:val="008539B4"/>
    <w:pPr>
      <w:pBdr>
        <w:top w:val="none" w:sz="0" w:space="1" w:color="auto"/>
        <w:bottom w:val="none" w:sz="0" w:space="1" w:color="auto"/>
      </w:pBdr>
      <w:jc w:val="both"/>
    </w:pPr>
  </w:style>
  <w:style w:type="paragraph" w:customStyle="1" w:styleId="dj-para-r2">
    <w:name w:val="dj-para-r2"/>
    <w:basedOn w:val="Normale"/>
    <w:rsid w:val="008539B4"/>
    <w:pPr>
      <w:pBdr>
        <w:top w:val="none" w:sz="0" w:space="6" w:color="auto"/>
        <w:left w:val="none" w:sz="0" w:space="3" w:color="auto"/>
        <w:bottom w:val="none" w:sz="0" w:space="6" w:color="auto"/>
        <w:right w:val="none" w:sz="0" w:space="3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Venier</dc:creator>
  <cp:keywords/>
  <dc:description/>
  <cp:lastModifiedBy>Iacopo Venier</cp:lastModifiedBy>
  <cp:revision>1</cp:revision>
  <dcterms:created xsi:type="dcterms:W3CDTF">2020-05-11T12:52:00Z</dcterms:created>
  <dcterms:modified xsi:type="dcterms:W3CDTF">2020-05-11T12:54:00Z</dcterms:modified>
</cp:coreProperties>
</file>