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FBA30" w14:textId="77777777" w:rsidR="00A80C52" w:rsidRDefault="00A80C52" w:rsidP="00F02543">
      <w:pPr>
        <w:jc w:val="center"/>
        <w:rPr>
          <w:rStyle w:val="lbl-numero-articolo"/>
        </w:rPr>
      </w:pPr>
    </w:p>
    <w:p w14:paraId="5CCC6FCF" w14:textId="685D7F02" w:rsidR="00A80C52" w:rsidRPr="00A80C52" w:rsidRDefault="00A80C52" w:rsidP="00F02543">
      <w:pPr>
        <w:jc w:val="center"/>
        <w:rPr>
          <w:rStyle w:val="lbl-numero-articolo"/>
          <w:b w:val="0"/>
          <w:bCs w:val="0"/>
          <w:u w:val="single"/>
        </w:rPr>
      </w:pPr>
      <w:r w:rsidRPr="00A80C52">
        <w:rPr>
          <w:rStyle w:val="lbl-numero-articolo"/>
          <w:b w:val="0"/>
          <w:bCs w:val="0"/>
          <w:u w:val="single"/>
        </w:rPr>
        <w:t>RIFERIMENTI LEZIONE 11 MAGGIO 2020</w:t>
      </w:r>
    </w:p>
    <w:p w14:paraId="1BC1B673" w14:textId="77777777" w:rsidR="00A80C52" w:rsidRDefault="00A80C52" w:rsidP="00F02543">
      <w:pPr>
        <w:jc w:val="center"/>
        <w:rPr>
          <w:rStyle w:val="lbl-numero-articolo"/>
        </w:rPr>
      </w:pPr>
    </w:p>
    <w:p w14:paraId="010B4F97" w14:textId="77777777" w:rsidR="00A80C52" w:rsidRDefault="00A80C52" w:rsidP="00F02543">
      <w:pPr>
        <w:jc w:val="center"/>
        <w:rPr>
          <w:rStyle w:val="lbl-numero-articolo"/>
        </w:rPr>
      </w:pPr>
    </w:p>
    <w:p w14:paraId="4FCC79B3" w14:textId="71811B90" w:rsidR="00F02543" w:rsidRDefault="00F02543" w:rsidP="00F02543">
      <w:pPr>
        <w:jc w:val="center"/>
      </w:pPr>
      <w:r>
        <w:rPr>
          <w:rStyle w:val="lbl-numero-articolo"/>
        </w:rPr>
        <w:t xml:space="preserve">Articolo 31 </w:t>
      </w:r>
    </w:p>
    <w:p w14:paraId="7265A04A" w14:textId="7C59F366" w:rsidR="00F02543" w:rsidRDefault="00F02543" w:rsidP="00F02543">
      <w:pPr>
        <w:jc w:val="center"/>
      </w:pPr>
      <w:r w:rsidRPr="000137C0">
        <w:rPr>
          <w:b/>
          <w:bCs/>
          <w:highlight w:val="yellow"/>
        </w:rPr>
        <w:t>Azione avverso il silenzio</w:t>
      </w:r>
      <w:r>
        <w:rPr>
          <w:b/>
          <w:bCs/>
        </w:rPr>
        <w:t xml:space="preserve"> e declaratoria di nullit</w:t>
      </w:r>
      <w:r w:rsidR="00A80C52">
        <w:rPr>
          <w:b/>
          <w:bCs/>
        </w:rPr>
        <w:t>à</w:t>
      </w:r>
      <w:r>
        <w:rPr>
          <w:b/>
          <w:bCs/>
        </w:rPr>
        <w:t xml:space="preserve"> </w:t>
      </w:r>
    </w:p>
    <w:p w14:paraId="3FC33609" w14:textId="77777777" w:rsidR="00F02543" w:rsidRDefault="00F02543" w:rsidP="00F02543">
      <w:pPr>
        <w:pStyle w:val="dj-para-center"/>
        <w:spacing w:before="270" w:after="270"/>
      </w:pPr>
      <w:r>
        <w:t>Art. 31</w:t>
      </w:r>
    </w:p>
    <w:p w14:paraId="3EFCDA8D" w14:textId="07F978DB" w:rsidR="00F02543" w:rsidRDefault="00F02543" w:rsidP="00F02543">
      <w:pPr>
        <w:pStyle w:val="testo-leggedj-para-r1"/>
        <w:spacing w:before="270" w:after="270"/>
      </w:pPr>
      <w:r>
        <w:t>1. Decorsi i termini per la conclusione del procedimento amministrativo e negli altri casi previsti dalla legge, chi vi ha interesse pu</w:t>
      </w:r>
      <w:r w:rsidR="00A80C52">
        <w:t>ò</w:t>
      </w:r>
      <w:r>
        <w:t xml:space="preserve"> chiedere l'accertamento dell'obbligo dell'amministrazione di provvedere (1).</w:t>
      </w:r>
    </w:p>
    <w:p w14:paraId="0559208D" w14:textId="33B020BF" w:rsidR="00F02543" w:rsidRDefault="00F02543" w:rsidP="00F02543">
      <w:pPr>
        <w:pStyle w:val="testo-leggedj-para-r1"/>
        <w:spacing w:before="270" w:after="270"/>
      </w:pPr>
      <w:r>
        <w:t>2. L'azione pu</w:t>
      </w:r>
      <w:r w:rsidR="00A80C52">
        <w:t>ò</w:t>
      </w:r>
      <w:r>
        <w:t xml:space="preserve"> essere proposta fintanto che perdura l'inadempimento e, comunque, non oltre un anno dalla scadenza del termine di conclusione del procedimento. </w:t>
      </w:r>
      <w:proofErr w:type="gramStart"/>
      <w:r>
        <w:t>E'</w:t>
      </w:r>
      <w:proofErr w:type="gramEnd"/>
      <w:r>
        <w:t xml:space="preserve"> fatta salva la </w:t>
      </w:r>
      <w:proofErr w:type="spellStart"/>
      <w:r>
        <w:t>riproponibilit</w:t>
      </w:r>
      <w:r w:rsidR="00A80C52">
        <w:t>à</w:t>
      </w:r>
      <w:proofErr w:type="spellEnd"/>
      <w:r>
        <w:t xml:space="preserve"> dell'istanza di avvio del procedimento ove ne ricorrano i presupposti.</w:t>
      </w:r>
    </w:p>
    <w:p w14:paraId="47428615" w14:textId="7AA19299" w:rsidR="00F02543" w:rsidRDefault="00F02543" w:rsidP="00F02543">
      <w:pPr>
        <w:pStyle w:val="testo-leggedj-para-r1"/>
        <w:spacing w:before="270" w:after="270"/>
      </w:pPr>
      <w:r w:rsidRPr="00106821">
        <w:rPr>
          <w:highlight w:val="yellow"/>
        </w:rPr>
        <w:t>3. Il giudice pu</w:t>
      </w:r>
      <w:r w:rsidR="00A80C52">
        <w:rPr>
          <w:highlight w:val="yellow"/>
        </w:rPr>
        <w:t>ò</w:t>
      </w:r>
      <w:r w:rsidRPr="00106821">
        <w:rPr>
          <w:highlight w:val="yellow"/>
        </w:rPr>
        <w:t xml:space="preserve"> pronunciare sulla fondatezza della pretesa dedotta in giudizio solo quando si tratta di attivit</w:t>
      </w:r>
      <w:r w:rsidR="00A80C52">
        <w:rPr>
          <w:highlight w:val="yellow"/>
        </w:rPr>
        <w:t>à</w:t>
      </w:r>
      <w:r w:rsidRPr="00106821">
        <w:rPr>
          <w:highlight w:val="yellow"/>
        </w:rPr>
        <w:t xml:space="preserve"> vincolata o quando risulta che non residuano ulteriori margini di esercizio della discrezionalit</w:t>
      </w:r>
      <w:r w:rsidR="00A80C52">
        <w:rPr>
          <w:highlight w:val="yellow"/>
        </w:rPr>
        <w:t>à</w:t>
      </w:r>
      <w:r w:rsidRPr="00106821">
        <w:rPr>
          <w:highlight w:val="yellow"/>
        </w:rPr>
        <w:t xml:space="preserve"> e non sono necessari adempimenti istruttori che debbano essere compiuti dall'amministrazione.</w:t>
      </w:r>
    </w:p>
    <w:p w14:paraId="5E1EAAB2" w14:textId="02809CFC" w:rsidR="00F02543" w:rsidRDefault="00F02543" w:rsidP="00F02543">
      <w:pPr>
        <w:pStyle w:val="testo-leggedj-para-r1"/>
        <w:spacing w:before="270" w:after="270"/>
      </w:pPr>
      <w:r>
        <w:t>4. La domanda volta all'accertamento delle nullit</w:t>
      </w:r>
      <w:r w:rsidR="00A80C52">
        <w:t>à</w:t>
      </w:r>
      <w:r>
        <w:t xml:space="preserve"> previste dalla legge si propone entro il termine di decadenza di centottanta giorni. La nullit</w:t>
      </w:r>
      <w:r w:rsidR="00A80C52">
        <w:t>à</w:t>
      </w:r>
      <w:r>
        <w:t xml:space="preserve"> dell'atto pu</w:t>
      </w:r>
      <w:r w:rsidR="00A80C52">
        <w:t>ò</w:t>
      </w:r>
      <w:r>
        <w:t xml:space="preserve"> sempre essere opposta dalla parte resistente o essere rilevata d'ufficio dal giudice. Le disposizioni del presente comma non si applicano alle nullit</w:t>
      </w:r>
      <w:r w:rsidR="00A80C52">
        <w:t>à</w:t>
      </w:r>
      <w:r>
        <w:t xml:space="preserve"> di cui all'</w:t>
      </w:r>
      <w:hyperlink w:anchor="/ricerca/fonti_documento?idDatabank=7&amp;idDocMaster=1804510&amp;idUnitaDoc=5595280&amp;nVigUnitaDoc=1&amp;docIdx=1&amp;isCorrelazioniSearch=true&amp;correlatoA=Normativa" w:history="1">
        <w:r>
          <w:rPr>
            <w:rStyle w:val="alink"/>
          </w:rPr>
          <w:t>articolo 114, comma 4, lettera b)</w:t>
        </w:r>
      </w:hyperlink>
      <w:r>
        <w:t>, per le quali restano ferme le disposizioni del Titolo I del Libro IV.</w:t>
      </w:r>
    </w:p>
    <w:p w14:paraId="59874B0D" w14:textId="77777777" w:rsidR="00F02543" w:rsidRDefault="00F02543" w:rsidP="00F02543">
      <w:pPr>
        <w:pStyle w:val="testo-leggedj-para-r1"/>
        <w:spacing w:before="270" w:after="270"/>
      </w:pPr>
      <w:r>
        <w:t>(1) Comma modificato dall'</w:t>
      </w:r>
      <w:hyperlink w:anchor="/ricerca/fonti_documento?idDatabank=7&amp;idDocMaster=1804615&amp;idUnitaDoc=5597810&amp;nVigUnitaDoc=1&amp;docIdx=1&amp;isCorrelazioniSearch=true&amp;correlatoA=Normativa" w:history="1">
        <w:r>
          <w:rPr>
            <w:rStyle w:val="alink"/>
          </w:rPr>
          <w:t xml:space="preserve">articolo 1, comma 1, lettera g), del </w:t>
        </w:r>
        <w:proofErr w:type="spellStart"/>
        <w:r>
          <w:rPr>
            <w:rStyle w:val="alink"/>
          </w:rPr>
          <w:t>D.Lgs.</w:t>
        </w:r>
        <w:proofErr w:type="spellEnd"/>
        <w:r>
          <w:rPr>
            <w:rStyle w:val="alink"/>
          </w:rPr>
          <w:t xml:space="preserve"> 15 novembre 2011, n. 195</w:t>
        </w:r>
      </w:hyperlink>
      <w:r>
        <w:t>.</w:t>
      </w:r>
    </w:p>
    <w:p w14:paraId="36570A24" w14:textId="77777777" w:rsidR="00F02543" w:rsidRDefault="00F02543" w:rsidP="00F02543"/>
    <w:p w14:paraId="442CC771" w14:textId="77777777" w:rsidR="00F02543" w:rsidRDefault="00F02543" w:rsidP="00F02543">
      <w:pPr>
        <w:jc w:val="center"/>
      </w:pPr>
      <w:r>
        <w:rPr>
          <w:rStyle w:val="lbl-numero-articolo"/>
        </w:rPr>
        <w:t xml:space="preserve">Articolo 32 </w:t>
      </w:r>
    </w:p>
    <w:p w14:paraId="04EC1505" w14:textId="475618D0" w:rsidR="00F02543" w:rsidRDefault="00F02543" w:rsidP="00F02543">
      <w:pPr>
        <w:jc w:val="center"/>
      </w:pPr>
      <w:r>
        <w:rPr>
          <w:b/>
          <w:bCs/>
        </w:rPr>
        <w:t>Pluralit</w:t>
      </w:r>
      <w:r w:rsidR="00A80C52">
        <w:rPr>
          <w:b/>
          <w:bCs/>
        </w:rPr>
        <w:t>à</w:t>
      </w:r>
      <w:r>
        <w:rPr>
          <w:b/>
          <w:bCs/>
        </w:rPr>
        <w:t xml:space="preserve"> delle domande e conversione delle azioni </w:t>
      </w:r>
    </w:p>
    <w:p w14:paraId="6FEF018F" w14:textId="77777777" w:rsidR="00F02543" w:rsidRDefault="00F02543" w:rsidP="00F02543">
      <w:pPr>
        <w:pStyle w:val="dj-para-center"/>
        <w:spacing w:before="270" w:after="270"/>
      </w:pPr>
      <w:r>
        <w:t>Art. 32</w:t>
      </w:r>
    </w:p>
    <w:p w14:paraId="3F1BB340" w14:textId="77777777" w:rsidR="00F02543" w:rsidRDefault="00F02543" w:rsidP="00F02543">
      <w:pPr>
        <w:pStyle w:val="testo-leggedj-para-r1"/>
        <w:spacing w:before="270" w:after="270"/>
      </w:pPr>
      <w:r>
        <w:lastRenderedPageBreak/>
        <w:t>1. E' sempre possibile nello stesso giudizio il cumulo di domande connesse proposte in via principale o incidentale. Se le azioni sono soggette a riti diversi, si applica quello ordinario, salvo quanto previsto dal Titolo V del Libro IV (1).</w:t>
      </w:r>
    </w:p>
    <w:p w14:paraId="24B87219" w14:textId="6028F307" w:rsidR="00F02543" w:rsidRDefault="00F02543" w:rsidP="00F02543">
      <w:pPr>
        <w:pStyle w:val="testo-leggedj-para-r1"/>
        <w:spacing w:before="270" w:after="270"/>
      </w:pPr>
      <w:r>
        <w:t>2. Il giudice qualifica l'azione proposta in base ai suoi elementi sostanziali. Sussistendone i presupposti il giudice pu</w:t>
      </w:r>
      <w:r w:rsidR="00A80C52">
        <w:t>ò</w:t>
      </w:r>
      <w:r>
        <w:t xml:space="preserve"> sempre disporre la conversione delle azioni.</w:t>
      </w:r>
    </w:p>
    <w:p w14:paraId="52FDE65F" w14:textId="77777777" w:rsidR="00F02543" w:rsidRDefault="00F02543" w:rsidP="00F02543">
      <w:pPr>
        <w:pStyle w:val="testo-leggedj-para-r1"/>
        <w:spacing w:before="270" w:after="270"/>
      </w:pPr>
      <w:r>
        <w:t>(1) Comma modificato dall'</w:t>
      </w:r>
      <w:hyperlink w:anchor="/ricerca/fonti_documento?idDatabank=7&amp;idDocMaster=1804615&amp;idUnitaDoc=5597810&amp;nVigUnitaDoc=1&amp;docIdx=1&amp;isCorrelazioniSearch=true&amp;correlatoA=Normativa" w:history="1">
        <w:r>
          <w:rPr>
            <w:rStyle w:val="alink"/>
          </w:rPr>
          <w:t xml:space="preserve">articolo 1, comma 1, lettera h), del </w:t>
        </w:r>
        <w:proofErr w:type="spellStart"/>
        <w:r>
          <w:rPr>
            <w:rStyle w:val="alink"/>
          </w:rPr>
          <w:t>D.Lgs.</w:t>
        </w:r>
        <w:proofErr w:type="spellEnd"/>
        <w:r>
          <w:rPr>
            <w:rStyle w:val="alink"/>
          </w:rPr>
          <w:t xml:space="preserve"> 15 novembre 2011, n. 195</w:t>
        </w:r>
      </w:hyperlink>
      <w:r>
        <w:t>.</w:t>
      </w:r>
    </w:p>
    <w:p w14:paraId="717BBAAD" w14:textId="77777777" w:rsidR="007165C9" w:rsidRDefault="007165C9"/>
    <w:sectPr w:rsidR="00716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43"/>
    <w:rsid w:val="007165C9"/>
    <w:rsid w:val="00A80C52"/>
    <w:rsid w:val="00F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4CF4"/>
  <w15:chartTrackingRefBased/>
  <w15:docId w15:val="{776B55D7-3491-4792-9248-3E76F796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543"/>
    <w:pPr>
      <w:spacing w:after="0" w:line="360" w:lineRule="atLeast"/>
    </w:pPr>
    <w:rPr>
      <w:rFonts w:ascii="Arial" w:eastAsia="Arial" w:hAnsi="Arial" w:cs="Arial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ink">
    <w:name w:val="a_link"/>
    <w:rsid w:val="00F02543"/>
    <w:rPr>
      <w:color w:val="000000"/>
    </w:rPr>
  </w:style>
  <w:style w:type="paragraph" w:customStyle="1" w:styleId="dj-para-center">
    <w:name w:val="dj-para-center"/>
    <w:basedOn w:val="Normale"/>
    <w:rsid w:val="00F02543"/>
    <w:pPr>
      <w:jc w:val="center"/>
    </w:pPr>
  </w:style>
  <w:style w:type="character" w:customStyle="1" w:styleId="lbl-numero-articolo">
    <w:name w:val="lbl-numero-articolo"/>
    <w:rsid w:val="00F02543"/>
    <w:rPr>
      <w:b/>
      <w:bCs/>
    </w:rPr>
  </w:style>
  <w:style w:type="paragraph" w:customStyle="1" w:styleId="testo-leggedj-para-r1">
    <w:name w:val="testo-legge_dj-para-r1"/>
    <w:basedOn w:val="Normale"/>
    <w:rsid w:val="00F02543"/>
    <w:pPr>
      <w:pBdr>
        <w:top w:val="none" w:sz="0" w:space="1" w:color="auto"/>
        <w:bottom w:val="none" w:sz="0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Venier</dc:creator>
  <cp:keywords/>
  <dc:description/>
  <cp:lastModifiedBy>Iacopo Venier</cp:lastModifiedBy>
  <cp:revision>2</cp:revision>
  <dcterms:created xsi:type="dcterms:W3CDTF">2020-05-11T12:57:00Z</dcterms:created>
  <dcterms:modified xsi:type="dcterms:W3CDTF">2020-05-14T15:21:00Z</dcterms:modified>
</cp:coreProperties>
</file>