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32" w:rsidRDefault="00433532" w:rsidP="00433532">
      <w:pPr>
        <w:spacing w:after="0" w:line="36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proofErr w:type="spellStart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Welche</w:t>
      </w:r>
      <w:proofErr w:type="spellEnd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der</w:t>
      </w:r>
      <w:proofErr w:type="spellEnd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folgenden</w:t>
      </w:r>
      <w:proofErr w:type="spellEnd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Signale</w:t>
      </w:r>
      <w:proofErr w:type="spellEnd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der</w:t>
      </w:r>
      <w:proofErr w:type="spellEnd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Körpersprache</w:t>
      </w:r>
      <w:proofErr w:type="spellEnd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(</w:t>
      </w:r>
      <w:proofErr w:type="spellStart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Stimme</w:t>
      </w:r>
      <w:proofErr w:type="spellEnd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Mimik</w:t>
      </w:r>
      <w:proofErr w:type="spellEnd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Gesten</w:t>
      </w:r>
      <w:proofErr w:type="spellEnd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Körperhaltung</w:t>
      </w:r>
      <w:proofErr w:type="spellEnd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) </w:t>
      </w:r>
      <w:proofErr w:type="spellStart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wirken</w:t>
      </w:r>
      <w:proofErr w:type="spellEnd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jeweils</w:t>
      </w:r>
      <w:proofErr w:type="spellEnd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vorteilhaft</w:t>
      </w:r>
      <w:proofErr w:type="spellEnd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bzw</w:t>
      </w:r>
      <w:proofErr w:type="spellEnd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. </w:t>
      </w:r>
      <w:proofErr w:type="spellStart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unvorteilhaft</w:t>
      </w:r>
      <w:proofErr w:type="spellEnd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auf die </w:t>
      </w:r>
      <w:proofErr w:type="spellStart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Zuhörer</w:t>
      </w:r>
      <w:proofErr w:type="spellEnd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? </w:t>
      </w:r>
    </w:p>
    <w:p w:rsidR="00433532" w:rsidRDefault="00433532" w:rsidP="0043353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433532" w:rsidRPr="00433532" w:rsidTr="00433532">
        <w:tc>
          <w:tcPr>
            <w:tcW w:w="4889" w:type="dxa"/>
            <w:hideMark/>
          </w:tcPr>
          <w:p w:rsidR="00433532" w:rsidRDefault="00433532" w:rsidP="00E25A9D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Blickkontakt</w:t>
            </w:r>
            <w:proofErr w:type="spellEnd"/>
          </w:p>
          <w:p w:rsidR="00433532" w:rsidRDefault="00433532" w:rsidP="00E25A9D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eine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Hand locker in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der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Hosentasche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halten</w:t>
            </w:r>
            <w:proofErr w:type="spellEnd"/>
          </w:p>
          <w:p w:rsidR="00433532" w:rsidRDefault="00433532" w:rsidP="00E25A9D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ständig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lächeln</w:t>
            </w:r>
            <w:proofErr w:type="spellEnd"/>
          </w:p>
          <w:p w:rsidR="00433532" w:rsidRDefault="00433532" w:rsidP="00E25A9D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mit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genügend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lauter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Stimme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sprechen</w:t>
            </w:r>
            <w:proofErr w:type="spellEnd"/>
          </w:p>
          <w:p w:rsidR="00433532" w:rsidRDefault="00433532" w:rsidP="00E25A9D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lässig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mit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einem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Gegenstand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spielen</w:t>
            </w:r>
            <w:proofErr w:type="spellEnd"/>
          </w:p>
          <w:p w:rsidR="00433532" w:rsidRDefault="00433532" w:rsidP="00E25A9D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das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Publikum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freundlich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anschauen</w:t>
            </w:r>
            <w:proofErr w:type="spellEnd"/>
          </w:p>
          <w:p w:rsidR="00433532" w:rsidRDefault="00433532" w:rsidP="00E25A9D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in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Ihren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Unterlagen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herumsuchen</w:t>
            </w:r>
            <w:proofErr w:type="spellEnd"/>
          </w:p>
          <w:p w:rsidR="00433532" w:rsidRDefault="00433532" w:rsidP="00E25A9D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einen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neutralen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Gesichtsausdruck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beibehalten</w:t>
            </w:r>
            <w:proofErr w:type="spellEnd"/>
          </w:p>
        </w:tc>
        <w:tc>
          <w:tcPr>
            <w:tcW w:w="4889" w:type="dxa"/>
            <w:hideMark/>
          </w:tcPr>
          <w:p w:rsidR="00433532" w:rsidRDefault="00433532" w:rsidP="00E25A9D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die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Hände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offen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vor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der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Körpermitte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halten</w:t>
            </w:r>
            <w:proofErr w:type="spellEnd"/>
          </w:p>
          <w:p w:rsidR="00433532" w:rsidRDefault="00433532" w:rsidP="00E25A9D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ruhig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auf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einem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Stuhl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sitzen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bleiben</w:t>
            </w:r>
            <w:proofErr w:type="spellEnd"/>
          </w:p>
          <w:p w:rsidR="00433532" w:rsidRDefault="00433532" w:rsidP="00E25A9D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aufrecht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aber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locker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stehen</w:t>
            </w:r>
            <w:proofErr w:type="spellEnd"/>
          </w:p>
          <w:p w:rsidR="00433532" w:rsidRDefault="00433532" w:rsidP="00E25A9D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konzentriert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ins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Manuskript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blicken</w:t>
            </w:r>
            <w:proofErr w:type="spellEnd"/>
          </w:p>
          <w:p w:rsidR="00433532" w:rsidRDefault="00433532" w:rsidP="00E25A9D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auf und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ab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gehen</w:t>
            </w:r>
            <w:proofErr w:type="spellEnd"/>
          </w:p>
          <w:p w:rsidR="00433532" w:rsidRDefault="00433532" w:rsidP="00E25A9D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die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Arme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locker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an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den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Seiten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hängen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lassen</w:t>
            </w:r>
            <w:proofErr w:type="spellEnd"/>
          </w:p>
          <w:p w:rsidR="00433532" w:rsidRDefault="00433532" w:rsidP="00E25A9D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die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Folie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etc.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mit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dem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Körper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verdecken</w:t>
            </w:r>
            <w:proofErr w:type="spellEnd"/>
          </w:p>
          <w:p w:rsidR="00433532" w:rsidRDefault="00433532" w:rsidP="00E25A9D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alle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Ausführungen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mit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starken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Gesten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begleiten</w:t>
            </w:r>
            <w:proofErr w:type="spellEnd"/>
          </w:p>
        </w:tc>
      </w:tr>
    </w:tbl>
    <w:p w:rsidR="00433532" w:rsidRDefault="00433532" w:rsidP="0043353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:rsidR="00433532" w:rsidRDefault="00433532" w:rsidP="00433532">
      <w:pPr>
        <w:spacing w:after="0" w:line="36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:rsidR="00433532" w:rsidRDefault="00433532" w:rsidP="0043353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Handout</w:t>
      </w:r>
    </w:p>
    <w:p w:rsidR="00433532" w:rsidRDefault="00433532" w:rsidP="0043353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Füllen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den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Kopfteil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des Handouts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mit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den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folgenden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Informationen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aus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:rsidR="00433532" w:rsidRDefault="00433532" w:rsidP="0043353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:rsidR="00433532" w:rsidRDefault="00433532" w:rsidP="00433532">
      <w:pPr>
        <w:spacing w:after="0" w:line="360" w:lineRule="auto"/>
        <w:jc w:val="center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Neuroinformatik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 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Wintersemester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2009/2010    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Maren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Daul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  Dr. Werner</w:t>
      </w:r>
    </w:p>
    <w:p w:rsidR="00433532" w:rsidRDefault="00433532" w:rsidP="00433532">
      <w:pPr>
        <w:spacing w:after="0" w:line="360" w:lineRule="auto"/>
        <w:jc w:val="center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Künstliche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Intelligenz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–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Grenzen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und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Möglichkeiten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  Kant-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Universität</w:t>
      </w:r>
      <w:proofErr w:type="spellEnd"/>
    </w:p>
    <w:p w:rsidR="00433532" w:rsidRDefault="00433532" w:rsidP="0043353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:rsidR="00433532" w:rsidRDefault="00433532" w:rsidP="00433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Hochschule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:</w:t>
      </w:r>
      <w:r>
        <w:rPr>
          <w:rFonts w:ascii="Arial" w:hAnsi="Arial" w:cs="Arial"/>
          <w:color w:val="000000" w:themeColor="text1"/>
          <w:sz w:val="21"/>
          <w:szCs w:val="21"/>
          <w:lang w:val="en-US"/>
        </w:rPr>
        <w:tab/>
      </w:r>
      <w:r>
        <w:rPr>
          <w:rFonts w:ascii="Arial" w:hAnsi="Arial" w:cs="Arial"/>
          <w:color w:val="000000" w:themeColor="text1"/>
          <w:sz w:val="21"/>
          <w:szCs w:val="21"/>
          <w:lang w:val="en-US"/>
        </w:rPr>
        <w:tab/>
      </w:r>
      <w:r>
        <w:rPr>
          <w:rFonts w:ascii="Arial" w:hAnsi="Arial" w:cs="Arial"/>
          <w:color w:val="000000" w:themeColor="text1"/>
          <w:sz w:val="21"/>
          <w:szCs w:val="21"/>
          <w:lang w:val="en-US"/>
        </w:rPr>
        <w:tab/>
      </w:r>
      <w:r>
        <w:rPr>
          <w:rFonts w:ascii="Arial" w:hAnsi="Arial" w:cs="Arial"/>
          <w:color w:val="000000" w:themeColor="text1"/>
          <w:sz w:val="21"/>
          <w:szCs w:val="21"/>
          <w:lang w:val="en-US"/>
        </w:rPr>
        <w:tab/>
      </w:r>
      <w:r>
        <w:rPr>
          <w:rFonts w:ascii="Arial" w:hAnsi="Arial" w:cs="Arial"/>
          <w:color w:val="000000" w:themeColor="text1"/>
          <w:sz w:val="21"/>
          <w:szCs w:val="21"/>
          <w:lang w:val="en-US"/>
        </w:rPr>
        <w:tab/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Seminartitel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: </w:t>
      </w:r>
    </w:p>
    <w:p w:rsidR="00433532" w:rsidRDefault="00433532" w:rsidP="00433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  <w:lang w:val="en-US"/>
        </w:rPr>
        <w:t>Semester:</w:t>
      </w:r>
      <w:r>
        <w:rPr>
          <w:rFonts w:ascii="Arial" w:hAnsi="Arial" w:cs="Arial"/>
          <w:color w:val="000000" w:themeColor="text1"/>
          <w:sz w:val="21"/>
          <w:szCs w:val="21"/>
          <w:lang w:val="en-US"/>
        </w:rPr>
        <w:tab/>
      </w:r>
      <w:r>
        <w:rPr>
          <w:rFonts w:ascii="Arial" w:hAnsi="Arial" w:cs="Arial"/>
          <w:color w:val="000000" w:themeColor="text1"/>
          <w:sz w:val="21"/>
          <w:szCs w:val="21"/>
          <w:lang w:val="en-US"/>
        </w:rPr>
        <w:tab/>
      </w:r>
      <w:r>
        <w:rPr>
          <w:rFonts w:ascii="Arial" w:hAnsi="Arial" w:cs="Arial"/>
          <w:color w:val="000000" w:themeColor="text1"/>
          <w:sz w:val="21"/>
          <w:szCs w:val="21"/>
          <w:lang w:val="en-US"/>
        </w:rPr>
        <w:tab/>
      </w:r>
      <w:r>
        <w:rPr>
          <w:rFonts w:ascii="Arial" w:hAnsi="Arial" w:cs="Arial"/>
          <w:color w:val="000000" w:themeColor="text1"/>
          <w:sz w:val="21"/>
          <w:szCs w:val="21"/>
          <w:lang w:val="en-US"/>
        </w:rPr>
        <w:tab/>
      </w:r>
      <w:r>
        <w:rPr>
          <w:rFonts w:ascii="Arial" w:hAnsi="Arial" w:cs="Arial"/>
          <w:color w:val="000000" w:themeColor="text1"/>
          <w:sz w:val="21"/>
          <w:szCs w:val="21"/>
          <w:lang w:val="en-US"/>
        </w:rPr>
        <w:tab/>
        <w:t xml:space="preserve">Name des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Dozenten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/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der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Dozentin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:</w:t>
      </w:r>
    </w:p>
    <w:p w:rsidR="00433532" w:rsidRDefault="00433532" w:rsidP="00433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  <w:lang w:val="en-US"/>
        </w:rPr>
        <w:t>Referent/in:</w:t>
      </w:r>
      <w:r>
        <w:rPr>
          <w:rFonts w:ascii="Arial" w:hAnsi="Arial" w:cs="Arial"/>
          <w:color w:val="000000" w:themeColor="text1"/>
          <w:sz w:val="21"/>
          <w:szCs w:val="21"/>
          <w:lang w:val="en-US"/>
        </w:rPr>
        <w:tab/>
      </w:r>
      <w:r>
        <w:rPr>
          <w:rFonts w:ascii="Arial" w:hAnsi="Arial" w:cs="Arial"/>
          <w:color w:val="000000" w:themeColor="text1"/>
          <w:sz w:val="21"/>
          <w:szCs w:val="21"/>
          <w:lang w:val="en-US"/>
        </w:rPr>
        <w:tab/>
      </w:r>
      <w:r>
        <w:rPr>
          <w:rFonts w:ascii="Arial" w:hAnsi="Arial" w:cs="Arial"/>
          <w:color w:val="000000" w:themeColor="text1"/>
          <w:sz w:val="21"/>
          <w:szCs w:val="21"/>
          <w:lang w:val="en-US"/>
        </w:rPr>
        <w:tab/>
      </w:r>
      <w:r>
        <w:rPr>
          <w:rFonts w:ascii="Arial" w:hAnsi="Arial" w:cs="Arial"/>
          <w:color w:val="000000" w:themeColor="text1"/>
          <w:sz w:val="21"/>
          <w:szCs w:val="21"/>
          <w:lang w:val="en-US"/>
        </w:rPr>
        <w:tab/>
      </w:r>
      <w:r>
        <w:rPr>
          <w:rFonts w:ascii="Arial" w:hAnsi="Arial" w:cs="Arial"/>
          <w:color w:val="000000" w:themeColor="text1"/>
          <w:sz w:val="21"/>
          <w:szCs w:val="21"/>
          <w:lang w:val="en-US"/>
        </w:rPr>
        <w:tab/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Titel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des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Referats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:</w:t>
      </w:r>
    </w:p>
    <w:p w:rsidR="00433532" w:rsidRDefault="00433532" w:rsidP="00433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__________________________________________________________________________________</w:t>
      </w:r>
    </w:p>
    <w:p w:rsidR="00433532" w:rsidRDefault="00433532" w:rsidP="00433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spellStart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Gliederung</w:t>
      </w:r>
      <w:proofErr w:type="spellEnd"/>
    </w:p>
    <w:p w:rsidR="00433532" w:rsidRDefault="00433532" w:rsidP="00433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1.  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Definitionen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von “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Intelligenz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”</w:t>
      </w:r>
    </w:p>
    <w:p w:rsidR="00433532" w:rsidRDefault="00433532" w:rsidP="00433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  <w:lang w:val="en-US"/>
        </w:rPr>
        <w:t>…</w:t>
      </w:r>
    </w:p>
    <w:p w:rsidR="00433532" w:rsidRDefault="00433532" w:rsidP="00433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:rsidR="00433532" w:rsidRDefault="00433532" w:rsidP="00433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:rsidR="00433532" w:rsidRDefault="00433532" w:rsidP="00433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:rsidR="00433532" w:rsidRDefault="00433532" w:rsidP="00433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:rsidR="00433532" w:rsidRDefault="00433532" w:rsidP="00433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:rsidR="00433532" w:rsidRDefault="00433532" w:rsidP="00433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  <w:lang w:val="en-US"/>
        </w:rPr>
        <w:t>___________________________________________________</w:t>
      </w:r>
    </w:p>
    <w:p w:rsidR="00433532" w:rsidRDefault="00433532" w:rsidP="00433532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18"/>
          <w:szCs w:val="18"/>
          <w:lang w:val="en-US"/>
        </w:rPr>
        <w:t>Der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  <w:lang w:val="en-US"/>
        </w:rPr>
        <w:t>Brockhaus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in 3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  <w:lang w:val="en-US"/>
        </w:rPr>
        <w:t>Bänden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lang w:val="en-US"/>
        </w:rPr>
        <w:t>, Leipzig 2006, Band 2</w:t>
      </w:r>
    </w:p>
    <w:p w:rsidR="00433532" w:rsidRDefault="00433532" w:rsidP="00433532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Meyers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  <w:lang w:val="en-US"/>
        </w:rPr>
        <w:t>Großes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  <w:lang w:val="en-US"/>
        </w:rPr>
        <w:t>Taschenlexikon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in 26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  <w:lang w:val="en-US"/>
        </w:rPr>
        <w:t>Bänden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lang w:val="en-US"/>
        </w:rPr>
        <w:t>, Mannheim 2003, Bd. 10/13</w:t>
      </w:r>
    </w:p>
    <w:p w:rsidR="00433532" w:rsidRDefault="00433532" w:rsidP="00433532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Cruse,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  <w:lang w:val="en-US"/>
        </w:rPr>
        <w:t>Holk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/ Dean, Jeffrey / Ritter,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  <w:lang w:val="en-US"/>
        </w:rPr>
        <w:t>Helge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: </w:t>
      </w:r>
      <w:r>
        <w:rPr>
          <w:rFonts w:ascii="Arial" w:hAnsi="Arial" w:cs="Arial"/>
          <w:i/>
          <w:color w:val="000000" w:themeColor="text1"/>
          <w:sz w:val="18"/>
          <w:szCs w:val="18"/>
          <w:lang w:val="en-US"/>
        </w:rPr>
        <w:t xml:space="preserve">Die </w:t>
      </w:r>
      <w:proofErr w:type="spellStart"/>
      <w:r>
        <w:rPr>
          <w:rFonts w:ascii="Arial" w:hAnsi="Arial" w:cs="Arial"/>
          <w:i/>
          <w:color w:val="000000" w:themeColor="text1"/>
          <w:sz w:val="18"/>
          <w:szCs w:val="18"/>
          <w:lang w:val="en-US"/>
        </w:rPr>
        <w:t>Entdeckung</w:t>
      </w:r>
      <w:proofErr w:type="spellEnd"/>
      <w:r>
        <w:rPr>
          <w:rFonts w:ascii="Arial" w:hAnsi="Arial" w:cs="Arial"/>
          <w:i/>
          <w:color w:val="000000" w:themeColor="text1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  <w:sz w:val="18"/>
          <w:szCs w:val="18"/>
          <w:lang w:val="en-US"/>
        </w:rPr>
        <w:t>der</w:t>
      </w:r>
      <w:proofErr w:type="spellEnd"/>
      <w:r>
        <w:rPr>
          <w:rFonts w:ascii="Arial" w:hAnsi="Arial" w:cs="Arial"/>
          <w:i/>
          <w:color w:val="000000" w:themeColor="text1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  <w:sz w:val="18"/>
          <w:szCs w:val="18"/>
          <w:lang w:val="en-US"/>
        </w:rPr>
        <w:t>Intelligenz</w:t>
      </w:r>
      <w:proofErr w:type="spellEnd"/>
      <w:r>
        <w:rPr>
          <w:rFonts w:ascii="Arial" w:hAnsi="Arial" w:cs="Arial"/>
          <w:i/>
          <w:color w:val="000000" w:themeColor="text1"/>
          <w:sz w:val="18"/>
          <w:szCs w:val="18"/>
          <w:lang w:val="en-US"/>
        </w:rPr>
        <w:t xml:space="preserve"> – </w:t>
      </w:r>
      <w:proofErr w:type="spellStart"/>
      <w:r>
        <w:rPr>
          <w:rFonts w:ascii="Arial" w:hAnsi="Arial" w:cs="Arial"/>
          <w:i/>
          <w:color w:val="000000" w:themeColor="text1"/>
          <w:sz w:val="18"/>
          <w:szCs w:val="18"/>
          <w:lang w:val="en-US"/>
        </w:rPr>
        <w:t>oder</w:t>
      </w:r>
      <w:proofErr w:type="spellEnd"/>
      <w:r>
        <w:rPr>
          <w:rFonts w:ascii="Arial" w:hAnsi="Arial" w:cs="Arial"/>
          <w:i/>
          <w:color w:val="000000" w:themeColor="text1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  <w:sz w:val="18"/>
          <w:szCs w:val="18"/>
          <w:lang w:val="en-US"/>
        </w:rPr>
        <w:t>Können</w:t>
      </w:r>
      <w:proofErr w:type="spellEnd"/>
      <w:r>
        <w:rPr>
          <w:rFonts w:ascii="Arial" w:hAnsi="Arial" w:cs="Arial"/>
          <w:i/>
          <w:color w:val="000000" w:themeColor="text1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  <w:sz w:val="18"/>
          <w:szCs w:val="18"/>
          <w:lang w:val="en-US"/>
        </w:rPr>
        <w:t>Ameisen</w:t>
      </w:r>
      <w:proofErr w:type="spellEnd"/>
      <w:r>
        <w:rPr>
          <w:rFonts w:ascii="Arial" w:hAnsi="Arial" w:cs="Arial"/>
          <w:i/>
          <w:color w:val="000000" w:themeColor="text1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  <w:sz w:val="18"/>
          <w:szCs w:val="18"/>
          <w:lang w:val="en-US"/>
        </w:rPr>
        <w:t>denken</w:t>
      </w:r>
      <w:proofErr w:type="spellEnd"/>
      <w:r>
        <w:rPr>
          <w:rFonts w:ascii="Arial" w:hAnsi="Arial" w:cs="Arial"/>
          <w:i/>
          <w:color w:val="000000" w:themeColor="text1"/>
          <w:sz w:val="18"/>
          <w:szCs w:val="18"/>
          <w:lang w:val="en-US"/>
        </w:rPr>
        <w:t>?</w:t>
      </w:r>
      <w:r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  <w:lang w:val="en-US"/>
        </w:rPr>
        <w:t>München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: C.H.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  <w:lang w:val="en-US"/>
        </w:rPr>
        <w:t>Beck’sche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  <w:lang w:val="en-US"/>
        </w:rPr>
        <w:t>Verlagsbuchhandlung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(Oscar Beck), 1998</w:t>
      </w:r>
    </w:p>
    <w:p w:rsidR="00433532" w:rsidRDefault="00433532" w:rsidP="00433532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Dörner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, Dietrich: </w:t>
      </w:r>
      <w:proofErr w:type="spellStart"/>
      <w:r>
        <w:rPr>
          <w:rFonts w:ascii="Arial" w:hAnsi="Arial" w:cs="Arial"/>
          <w:i/>
          <w:color w:val="000000" w:themeColor="text1"/>
          <w:sz w:val="18"/>
          <w:szCs w:val="18"/>
        </w:rPr>
        <w:t>Psychologie</w:t>
      </w:r>
      <w:proofErr w:type="spellEnd"/>
      <w:r>
        <w:rPr>
          <w:rFonts w:ascii="Arial" w:hAnsi="Arial" w:cs="Arial"/>
          <w:i/>
          <w:color w:val="000000" w:themeColor="text1"/>
          <w:sz w:val="18"/>
          <w:szCs w:val="18"/>
        </w:rPr>
        <w:t>, “</w:t>
      </w:r>
      <w:proofErr w:type="spellStart"/>
      <w:r>
        <w:rPr>
          <w:rFonts w:ascii="Arial" w:hAnsi="Arial" w:cs="Arial"/>
          <w:i/>
          <w:color w:val="000000" w:themeColor="text1"/>
          <w:sz w:val="18"/>
          <w:szCs w:val="18"/>
        </w:rPr>
        <w:t>Künstliche</w:t>
      </w:r>
      <w:proofErr w:type="spellEnd"/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  <w:sz w:val="18"/>
          <w:szCs w:val="18"/>
        </w:rPr>
        <w:t>Intelligenz</w:t>
      </w:r>
      <w:proofErr w:type="spellEnd"/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” und </w:t>
      </w:r>
      <w:proofErr w:type="spellStart"/>
      <w:r>
        <w:rPr>
          <w:rFonts w:ascii="Arial" w:hAnsi="Arial" w:cs="Arial"/>
          <w:i/>
          <w:color w:val="000000" w:themeColor="text1"/>
          <w:sz w:val="18"/>
          <w:szCs w:val="18"/>
        </w:rPr>
        <w:t>Konfektionismus</w:t>
      </w:r>
      <w:proofErr w:type="spellEnd"/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,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in: </w:t>
      </w:r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Neurobiologie / </w:t>
      </w:r>
      <w:proofErr w:type="spellStart"/>
      <w:r>
        <w:rPr>
          <w:rFonts w:ascii="Arial" w:hAnsi="Arial" w:cs="Arial"/>
          <w:i/>
          <w:color w:val="000000" w:themeColor="text1"/>
          <w:sz w:val="18"/>
          <w:szCs w:val="18"/>
        </w:rPr>
        <w:t>Hirnforschung</w:t>
      </w:r>
      <w:proofErr w:type="spellEnd"/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– </w:t>
      </w:r>
      <w:proofErr w:type="spellStart"/>
      <w:r>
        <w:rPr>
          <w:rFonts w:ascii="Arial" w:hAnsi="Arial" w:cs="Arial"/>
          <w:i/>
          <w:color w:val="000000" w:themeColor="text1"/>
          <w:sz w:val="18"/>
          <w:szCs w:val="18"/>
        </w:rPr>
        <w:t>Neuroinformatik</w:t>
      </w:r>
      <w:proofErr w:type="spellEnd"/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– </w:t>
      </w:r>
      <w:proofErr w:type="spellStart"/>
      <w:r>
        <w:rPr>
          <w:rFonts w:ascii="Arial" w:hAnsi="Arial" w:cs="Arial"/>
          <w:i/>
          <w:color w:val="000000" w:themeColor="text1"/>
          <w:sz w:val="18"/>
          <w:szCs w:val="18"/>
        </w:rPr>
        <w:t>Künstliche</w:t>
      </w:r>
      <w:proofErr w:type="spellEnd"/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  <w:sz w:val="18"/>
          <w:szCs w:val="18"/>
        </w:rPr>
        <w:t>Intelligenz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i/>
          <w:color w:val="000000" w:themeColor="text1"/>
          <w:sz w:val="18"/>
          <w:szCs w:val="18"/>
        </w:rPr>
        <w:t>Bericht</w:t>
      </w:r>
      <w:proofErr w:type="spellEnd"/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  <w:sz w:val="18"/>
          <w:szCs w:val="18"/>
        </w:rPr>
        <w:t>der</w:t>
      </w:r>
      <w:proofErr w:type="spellEnd"/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  <w:sz w:val="18"/>
          <w:szCs w:val="18"/>
        </w:rPr>
        <w:t>Expertenkomission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>, Bonn; BMFT, 1991, S. 60-68</w:t>
      </w:r>
    </w:p>
    <w:p w:rsidR="00433532" w:rsidRDefault="00433532" w:rsidP="00433532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Pöppel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, Ernst: </w:t>
      </w:r>
      <w:r>
        <w:rPr>
          <w:rFonts w:ascii="Arial" w:hAnsi="Arial" w:cs="Arial"/>
          <w:i/>
          <w:color w:val="000000" w:themeColor="text1"/>
          <w:sz w:val="18"/>
          <w:szCs w:val="18"/>
        </w:rPr>
        <w:t>“</w:t>
      </w:r>
      <w:proofErr w:type="spellStart"/>
      <w:r>
        <w:rPr>
          <w:rFonts w:ascii="Arial" w:hAnsi="Arial" w:cs="Arial"/>
          <w:i/>
          <w:color w:val="000000" w:themeColor="text1"/>
          <w:sz w:val="18"/>
          <w:szCs w:val="18"/>
        </w:rPr>
        <w:t>Intelligenz</w:t>
      </w:r>
      <w:proofErr w:type="spellEnd"/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” </w:t>
      </w:r>
      <w:proofErr w:type="spellStart"/>
      <w:r>
        <w:rPr>
          <w:rFonts w:ascii="Arial" w:hAnsi="Arial" w:cs="Arial"/>
          <w:i/>
          <w:color w:val="000000" w:themeColor="text1"/>
          <w:sz w:val="18"/>
          <w:szCs w:val="18"/>
        </w:rPr>
        <w:t>als</w:t>
      </w:r>
      <w:proofErr w:type="spellEnd"/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modulare </w:t>
      </w:r>
      <w:proofErr w:type="spellStart"/>
      <w:r>
        <w:rPr>
          <w:rFonts w:ascii="Arial" w:hAnsi="Arial" w:cs="Arial"/>
          <w:i/>
          <w:color w:val="000000" w:themeColor="text1"/>
          <w:sz w:val="18"/>
          <w:szCs w:val="18"/>
        </w:rPr>
        <w:t>Informationsverarbeitung</w:t>
      </w:r>
      <w:proofErr w:type="spellEnd"/>
      <w:r>
        <w:rPr>
          <w:rFonts w:ascii="Arial" w:hAnsi="Arial" w:cs="Arial"/>
          <w:i/>
          <w:color w:val="000000" w:themeColor="text1"/>
          <w:sz w:val="18"/>
          <w:szCs w:val="18"/>
        </w:rPr>
        <w:t>,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in: </w:t>
      </w:r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Neurobiologie / </w:t>
      </w:r>
      <w:proofErr w:type="spellStart"/>
      <w:r>
        <w:rPr>
          <w:rFonts w:ascii="Arial" w:hAnsi="Arial" w:cs="Arial"/>
          <w:i/>
          <w:color w:val="000000" w:themeColor="text1"/>
          <w:sz w:val="18"/>
          <w:szCs w:val="18"/>
        </w:rPr>
        <w:t>Hirnforschung</w:t>
      </w:r>
      <w:proofErr w:type="spellEnd"/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– </w:t>
      </w:r>
      <w:proofErr w:type="spellStart"/>
      <w:r>
        <w:rPr>
          <w:rFonts w:ascii="Arial" w:hAnsi="Arial" w:cs="Arial"/>
          <w:i/>
          <w:color w:val="000000" w:themeColor="text1"/>
          <w:sz w:val="18"/>
          <w:szCs w:val="18"/>
        </w:rPr>
        <w:t>Neuroinformatik</w:t>
      </w:r>
      <w:proofErr w:type="spellEnd"/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– </w:t>
      </w:r>
      <w:proofErr w:type="spellStart"/>
      <w:r>
        <w:rPr>
          <w:rFonts w:ascii="Arial" w:hAnsi="Arial" w:cs="Arial"/>
          <w:i/>
          <w:color w:val="000000" w:themeColor="text1"/>
          <w:sz w:val="18"/>
          <w:szCs w:val="18"/>
        </w:rPr>
        <w:t>Künstliche</w:t>
      </w:r>
      <w:proofErr w:type="spellEnd"/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  <w:sz w:val="18"/>
          <w:szCs w:val="18"/>
        </w:rPr>
        <w:t>Intelligenz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i/>
          <w:color w:val="000000" w:themeColor="text1"/>
          <w:sz w:val="18"/>
          <w:szCs w:val="18"/>
        </w:rPr>
        <w:t>Bericht</w:t>
      </w:r>
      <w:proofErr w:type="spellEnd"/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  <w:sz w:val="18"/>
          <w:szCs w:val="18"/>
        </w:rPr>
        <w:t>der</w:t>
      </w:r>
      <w:proofErr w:type="spellEnd"/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  <w:sz w:val="18"/>
          <w:szCs w:val="18"/>
        </w:rPr>
        <w:t>Expertenkomission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>, Bonn; BMFT, 1991, S. 51-59</w:t>
      </w:r>
    </w:p>
    <w:p w:rsidR="00433532" w:rsidRDefault="00433532" w:rsidP="0043353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spellStart"/>
      <w:r>
        <w:rPr>
          <w:rFonts w:ascii="Arial" w:hAnsi="Arial" w:cs="Arial"/>
          <w:b/>
          <w:color w:val="000000" w:themeColor="text1"/>
          <w:sz w:val="21"/>
          <w:szCs w:val="21"/>
        </w:rPr>
        <w:lastRenderedPageBreak/>
        <w:t>Sprache</w:t>
      </w:r>
      <w:proofErr w:type="spellEnd"/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b/>
          <w:color w:val="000000" w:themeColor="text1"/>
          <w:sz w:val="21"/>
          <w:szCs w:val="21"/>
        </w:rPr>
        <w:t>Vorträgen</w:t>
      </w:r>
      <w:proofErr w:type="spellEnd"/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: 12 </w:t>
      </w:r>
      <w:proofErr w:type="spellStart"/>
      <w:r>
        <w:rPr>
          <w:rFonts w:ascii="Arial" w:hAnsi="Arial" w:cs="Arial"/>
          <w:b/>
          <w:color w:val="000000" w:themeColor="text1"/>
          <w:sz w:val="21"/>
          <w:szCs w:val="21"/>
        </w:rPr>
        <w:t>Tipps</w:t>
      </w:r>
      <w:proofErr w:type="spellEnd"/>
    </w:p>
    <w:p w:rsidR="00433532" w:rsidRDefault="00433532" w:rsidP="0043353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</w:p>
    <w:p w:rsidR="00433532" w:rsidRDefault="00433532" w:rsidP="00433532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Artikulieren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deutlich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und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halten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ein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mittleres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Sprechtempo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ein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. (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Sprechen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nicht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wie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bei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einem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Schnellrednerwettbewerb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aber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auch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nicht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einschläfernd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langsam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!)</w:t>
      </w:r>
    </w:p>
    <w:p w:rsidR="00433532" w:rsidRDefault="00433532" w:rsidP="00433532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Passen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die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Lautstärke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den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Raumverhältnissen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an.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Sprechen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1"/>
          <w:szCs w:val="21"/>
        </w:rPr>
        <w:t>nie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zu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leise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>!</w:t>
      </w:r>
    </w:p>
    <w:p w:rsidR="00433532" w:rsidRDefault="00433532" w:rsidP="00433532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Wechseln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die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Stimmlage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d.h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.,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sprechen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mal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höher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mal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tiefer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– je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nach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Situation.</w:t>
      </w:r>
    </w:p>
    <w:p w:rsidR="00433532" w:rsidRDefault="00433532" w:rsidP="00433532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Setzen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gezielt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Sprechpausen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ein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:rsidR="00433532" w:rsidRDefault="00433532" w:rsidP="00433532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Vermeiden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Schachtelsätze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sprechen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eher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in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kurzen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Sätzen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:rsidR="00433532" w:rsidRDefault="00433532" w:rsidP="00433532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Verwenden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Standardsprache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d.h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.,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vermeiden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zu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viele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umgangssprachliche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Ausdrücke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:rsidR="00433532" w:rsidRDefault="00433532" w:rsidP="00433532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Definieren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bzw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erklären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neue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Fachbegriffe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:rsidR="00433532" w:rsidRDefault="00433532" w:rsidP="00433532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Sprechen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weniger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von “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ich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” und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mehr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von “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wir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”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oder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“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”, um das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Publikum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einzubeziehen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:rsidR="00433532" w:rsidRDefault="00433532" w:rsidP="00433532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Benutzen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eher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Aktiv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-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als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Passivformen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 Das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macht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den Text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persönlicher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und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lebhafter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Bei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wissenschaftlichen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Vorträgen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etc.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sind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Passivformen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bzw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Passiversatzformen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jedoch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akzeptabel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wenn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nicht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die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beteiligten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Wissenschaftler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sondern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der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Forschungsgegenstand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im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Vordergrund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steht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z.B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. “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Der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Prozess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muss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noch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untersucht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werden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.” “Das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Ergebnis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ist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noch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abzuwarten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.”</w:t>
      </w:r>
    </w:p>
    <w:p w:rsidR="00433532" w:rsidRDefault="00433532" w:rsidP="00433532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Formulieren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Ihre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Sätze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eher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verbal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als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nominal, das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macht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es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den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Zuhörern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leichter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zu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folgen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z.B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 “Am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Ende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werden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wir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über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die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Ergebnisse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diskutieren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.”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statt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“Die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Diskussion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der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Ergebnisse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folgt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am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Ende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.”).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Bei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wissenschaftlichen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Vorträgen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etc.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ist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die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Verwendung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nominaler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Ausdrücke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eher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erlaubt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sollte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sich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aber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auch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hier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in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Grenzen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halten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 </w:t>
      </w:r>
    </w:p>
    <w:p w:rsidR="00433532" w:rsidRDefault="00433532" w:rsidP="00433532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Verwenden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aussagekräftige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Beispiele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um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Ihre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Inhalte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zu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verdeutlichen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:rsidR="00433532" w:rsidRDefault="00433532" w:rsidP="00433532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Sagen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ab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und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zu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etwas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Nettes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oder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Humorvolles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das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freut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das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Publikum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und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entspannt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die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Atmosphäre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:rsidR="00433532" w:rsidRDefault="00433532" w:rsidP="0043353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:rsidR="00433532" w:rsidRDefault="00433532" w:rsidP="00433532">
      <w:pPr>
        <w:rPr>
          <w:color w:val="000000" w:themeColor="text1"/>
          <w:lang w:val="en-US"/>
        </w:rPr>
      </w:pPr>
    </w:p>
    <w:p w:rsidR="00433532" w:rsidRDefault="00433532" w:rsidP="00433532">
      <w:pPr>
        <w:spacing w:after="0" w:line="36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proofErr w:type="spellStart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Tipps</w:t>
      </w:r>
      <w:proofErr w:type="spellEnd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zur</w:t>
      </w:r>
      <w:proofErr w:type="spellEnd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Gestaltung</w:t>
      </w:r>
      <w:proofErr w:type="spellEnd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von PowerPoint- und Overhead-</w:t>
      </w:r>
      <w:proofErr w:type="spellStart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Folien</w:t>
      </w:r>
      <w:proofErr w:type="spellEnd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:</w:t>
      </w:r>
    </w:p>
    <w:p w:rsidR="00433532" w:rsidRDefault="00433532" w:rsidP="0043353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:rsidR="00433532" w:rsidRDefault="00433532" w:rsidP="00433532">
      <w:pPr>
        <w:pStyle w:val="Paragrafoelenco"/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Schreiben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ca. 6 (max. 9)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Zeilen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auf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eine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Folie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und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höchstens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7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Wörter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pro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Zeile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:rsidR="00433532" w:rsidRDefault="00433532" w:rsidP="00433532">
      <w:pPr>
        <w:pStyle w:val="Paragrafoelenco"/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Schreiben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mindestens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in 18-Punkt-Schrift,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bleiben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bei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einem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Schrifttyp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und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verwenden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nur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wenige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Farben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:rsidR="00433532" w:rsidRDefault="00433532" w:rsidP="00433532">
      <w:pPr>
        <w:pStyle w:val="Paragrafoelenco"/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Verwenden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klare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Gliederungszeichen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für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die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Unterpunkte</w:t>
      </w:r>
      <w:proofErr w:type="spellEnd"/>
    </w:p>
    <w:p w:rsidR="00433532" w:rsidRDefault="00433532" w:rsidP="00433532">
      <w:pPr>
        <w:pStyle w:val="Paragrafoelenco"/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Verwenden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Symbole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um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Beziehungen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zwischen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den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Punkten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darzustellen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z.B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Grund-Folge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- Relation:  </w:t>
      </w:r>
      <w:r>
        <w:rPr>
          <w:color w:val="000000" w:themeColor="text1"/>
          <w:lang w:val="en-US"/>
        </w:rPr>
        <w:sym w:font="Symbol" w:char="00AE"/>
      </w:r>
    </w:p>
    <w:p w:rsidR="00433532" w:rsidRDefault="00433532" w:rsidP="00433532">
      <w:pPr>
        <w:pStyle w:val="Paragrafoelenco"/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Verwenden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zentrale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Schlüsselwörter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Ihres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Redetextes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für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die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Formulierung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von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Kernaussagen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 </w:t>
      </w:r>
    </w:p>
    <w:p w:rsidR="00433532" w:rsidRDefault="00433532" w:rsidP="00433532">
      <w:pPr>
        <w:pStyle w:val="Paragrafoelenco"/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Formulieren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die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Kernaussagen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in Form von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kurzen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Aussagesätzen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oder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in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nominalisierten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Stichwörtern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:rsidR="00433532" w:rsidRDefault="00433532" w:rsidP="00433532">
      <w:pPr>
        <w:rPr>
          <w:color w:val="000000" w:themeColor="text1"/>
          <w:lang w:val="en-US"/>
        </w:rPr>
      </w:pPr>
    </w:p>
    <w:p w:rsidR="00433532" w:rsidRDefault="00433532" w:rsidP="00433532">
      <w:pPr>
        <w:rPr>
          <w:color w:val="000000" w:themeColor="text1"/>
          <w:lang w:val="en-US"/>
        </w:rPr>
      </w:pPr>
    </w:p>
    <w:p w:rsidR="005330CD" w:rsidRPr="00433532" w:rsidRDefault="005330CD">
      <w:pPr>
        <w:rPr>
          <w:lang w:val="en-US"/>
        </w:rPr>
      </w:pPr>
    </w:p>
    <w:sectPr w:rsidR="005330CD" w:rsidRPr="00433532" w:rsidSect="002844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000D"/>
    <w:multiLevelType w:val="hybridMultilevel"/>
    <w:tmpl w:val="3D2E73E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857F50"/>
    <w:multiLevelType w:val="hybridMultilevel"/>
    <w:tmpl w:val="D752038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F813A7"/>
    <w:multiLevelType w:val="hybridMultilevel"/>
    <w:tmpl w:val="3E408DE4"/>
    <w:lvl w:ilvl="0" w:tplc="82DE0BF4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196A26"/>
    <w:multiLevelType w:val="hybridMultilevel"/>
    <w:tmpl w:val="E58E18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433532"/>
    <w:rsid w:val="000D084F"/>
    <w:rsid w:val="000F0D25"/>
    <w:rsid w:val="00102715"/>
    <w:rsid w:val="00121E70"/>
    <w:rsid w:val="00236EB4"/>
    <w:rsid w:val="002844D2"/>
    <w:rsid w:val="00307882"/>
    <w:rsid w:val="00322F52"/>
    <w:rsid w:val="00433532"/>
    <w:rsid w:val="005330CD"/>
    <w:rsid w:val="00562CA9"/>
    <w:rsid w:val="005B2A89"/>
    <w:rsid w:val="005B5D3C"/>
    <w:rsid w:val="006D0CB3"/>
    <w:rsid w:val="006F02EF"/>
    <w:rsid w:val="007E74EC"/>
    <w:rsid w:val="00981E18"/>
    <w:rsid w:val="009A53C0"/>
    <w:rsid w:val="00A01CD0"/>
    <w:rsid w:val="00A9780E"/>
    <w:rsid w:val="00B65BD5"/>
    <w:rsid w:val="00BE6CD1"/>
    <w:rsid w:val="00BF50ED"/>
    <w:rsid w:val="00D46823"/>
    <w:rsid w:val="00EE5E5E"/>
    <w:rsid w:val="00F11BB7"/>
    <w:rsid w:val="00F224F5"/>
    <w:rsid w:val="00F234AF"/>
    <w:rsid w:val="00F2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35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3532"/>
    <w:pPr>
      <w:ind w:left="720"/>
      <w:contextualSpacing/>
    </w:pPr>
  </w:style>
  <w:style w:type="table" w:styleId="Grigliatabella">
    <w:name w:val="Table Grid"/>
    <w:basedOn w:val="Tabellanormale"/>
    <w:uiPriority w:val="59"/>
    <w:rsid w:val="0043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2020-10-22T06:05:00Z</dcterms:created>
  <dcterms:modified xsi:type="dcterms:W3CDTF">2020-10-22T06:05:00Z</dcterms:modified>
</cp:coreProperties>
</file>