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B6" w:rsidRPr="001E1CB6" w:rsidRDefault="001E1CB6" w:rsidP="001E1CB6">
      <w:bookmarkStart w:id="0" w:name="_GoBack"/>
      <w:bookmarkEnd w:id="0"/>
      <w:r>
        <w:t xml:space="preserve">LE POINT </w:t>
      </w:r>
      <w:hyperlink r:id="rId4" w:history="1">
        <w:r w:rsidRPr="001E1CB6">
          <w:rPr>
            <w:rStyle w:val="Collegamentoipertestuale"/>
          </w:rPr>
          <w:t>Accueil</w:t>
        </w:r>
      </w:hyperlink>
      <w:r w:rsidRPr="001E1CB6">
        <w:t> / </w:t>
      </w:r>
      <w:hyperlink r:id="rId5" w:history="1">
        <w:r w:rsidRPr="001E1CB6">
          <w:rPr>
            <w:rStyle w:val="Collegamentoipertestuale"/>
          </w:rPr>
          <w:t>Economie</w:t>
        </w:r>
      </w:hyperlink>
      <w:r w:rsidR="00C7712F">
        <w:t xml:space="preserve"> </w:t>
      </w:r>
      <w:r w:rsidR="00C7712F" w:rsidRPr="00C7712F">
        <w:rPr>
          <w:b/>
        </w:rPr>
        <w:t>DICTEE CIA1 19-02-2021</w:t>
      </w:r>
      <w:r w:rsidR="00C7712F">
        <w:rPr>
          <w:b/>
        </w:rPr>
        <w:t xml:space="preserve"> (les deux</w:t>
      </w:r>
      <w:r w:rsidR="002F6853">
        <w:rPr>
          <w:b/>
        </w:rPr>
        <w:t xml:space="preserve"> premiers</w:t>
      </w:r>
      <w:r w:rsidR="00C7712F">
        <w:rPr>
          <w:b/>
        </w:rPr>
        <w:t xml:space="preserve"> </w:t>
      </w:r>
      <w:r w:rsidR="002F6853">
        <w:rPr>
          <w:b/>
        </w:rPr>
        <w:t>paragraphes</w:t>
      </w:r>
      <w:r w:rsidR="00C7712F">
        <w:rPr>
          <w:b/>
        </w:rPr>
        <w:t xml:space="preserve"> = 297 mots)</w:t>
      </w:r>
    </w:p>
    <w:p w:rsidR="001E1CB6" w:rsidRPr="001E1CB6" w:rsidRDefault="001E1CB6" w:rsidP="001E1CB6">
      <w:pPr>
        <w:jc w:val="center"/>
        <w:rPr>
          <w:b/>
          <w:bCs/>
          <w:sz w:val="28"/>
        </w:rPr>
      </w:pPr>
      <w:r w:rsidRPr="001E1CB6">
        <w:rPr>
          <w:b/>
          <w:bCs/>
          <w:sz w:val="28"/>
        </w:rPr>
        <w:t>Londres perd sa position de première place boursière européenne</w:t>
      </w:r>
    </w:p>
    <w:p w:rsidR="001E1CB6" w:rsidRPr="001E1CB6" w:rsidRDefault="001E1CB6" w:rsidP="001E1CB6">
      <w:pPr>
        <w:jc w:val="both"/>
        <w:rPr>
          <w:b/>
        </w:rPr>
      </w:pPr>
      <w:r w:rsidRPr="001E1CB6">
        <w:rPr>
          <w:b/>
        </w:rPr>
        <w:t>Les craintes de la City étaient fondées : le poids de sa finance est en large recul, au profit des autres places du Vieux Continent, en particulier Amsterdam.</w:t>
      </w:r>
    </w:p>
    <w:p w:rsidR="001E1CB6" w:rsidRPr="001E1CB6" w:rsidRDefault="001E1CB6" w:rsidP="001E1CB6">
      <w:pPr>
        <w:jc w:val="both"/>
      </w:pPr>
      <w:r w:rsidRPr="001E1CB6">
        <w:rPr>
          <w:noProof/>
        </w:rPr>
        <w:drawing>
          <wp:inline distT="0" distB="0" distL="0" distR="0">
            <wp:extent cx="1560035" cy="816256"/>
            <wp:effectExtent l="0" t="0" r="2540" b="3175"/>
            <wp:docPr id="1" name="Immagine 1" descr="https://www.liberation.fr/resizer/CMwNKhKBkL2UBZAZj30ysB_cLmQ=/800x0/filters:format(jpg):quality(70):focal(1810x1760:1820x1770)/cloudfront-eu-central-1.images.arcpublishing.com/liberation/FVVXUDZXLRCNJBAV4XKYOHKQ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beration.fr/resizer/CMwNKhKBkL2UBZAZj30ysB_cLmQ=/800x0/filters:format(jpg):quality(70):focal(1810x1760:1820x1770)/cloudfront-eu-central-1.images.arcpublishing.com/liberation/FVVXUDZXLRCNJBAV4XKYOHKQP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914" cy="828227"/>
                    </a:xfrm>
                    <a:prstGeom prst="rect">
                      <a:avLst/>
                    </a:prstGeom>
                    <a:noFill/>
                    <a:ln>
                      <a:noFill/>
                    </a:ln>
                  </pic:spPr>
                </pic:pic>
              </a:graphicData>
            </a:graphic>
          </wp:inline>
        </w:drawing>
      </w:r>
    </w:p>
    <w:p w:rsidR="001E1CB6" w:rsidRPr="001E1CB6" w:rsidRDefault="001E1CB6" w:rsidP="001E1CB6">
      <w:pPr>
        <w:jc w:val="both"/>
        <w:rPr>
          <w:sz w:val="16"/>
        </w:rPr>
      </w:pPr>
      <w:r w:rsidRPr="001E1CB6">
        <w:rPr>
          <w:sz w:val="16"/>
        </w:rPr>
        <w:t>Les volumes d’actions enregistrés entre décembre et janvier à la City sont passés de 14,6 milliards d’euros à 8,6 milliards. (</w:t>
      </w:r>
      <w:proofErr w:type="spellStart"/>
      <w:r w:rsidRPr="001E1CB6">
        <w:rPr>
          <w:sz w:val="16"/>
        </w:rPr>
        <w:t>Tolga</w:t>
      </w:r>
      <w:proofErr w:type="spellEnd"/>
      <w:r w:rsidRPr="001E1CB6">
        <w:rPr>
          <w:sz w:val="16"/>
        </w:rPr>
        <w:t xml:space="preserve"> </w:t>
      </w:r>
      <w:proofErr w:type="spellStart"/>
      <w:r w:rsidRPr="001E1CB6">
        <w:rPr>
          <w:sz w:val="16"/>
        </w:rPr>
        <w:t>Akmen</w:t>
      </w:r>
      <w:proofErr w:type="spellEnd"/>
      <w:r w:rsidRPr="001E1CB6">
        <w:rPr>
          <w:sz w:val="16"/>
        </w:rPr>
        <w:t>/AFP)</w:t>
      </w:r>
    </w:p>
    <w:p w:rsidR="001E1CB6" w:rsidRDefault="001E1CB6" w:rsidP="001E1CB6">
      <w:pPr>
        <w:jc w:val="both"/>
      </w:pPr>
      <w:r w:rsidRPr="001E1CB6">
        <w:t>par </w:t>
      </w:r>
      <w:hyperlink r:id="rId7" w:history="1">
        <w:r w:rsidRPr="001E1CB6">
          <w:rPr>
            <w:rStyle w:val="Collegamentoipertestuale"/>
          </w:rPr>
          <w:t>Damien Dole</w:t>
        </w:r>
      </w:hyperlink>
      <w:r w:rsidRPr="001E1CB6">
        <w:rPr>
          <w:i/>
          <w:sz w:val="24"/>
        </w:rPr>
        <w:t>. Le Point</w:t>
      </w:r>
      <w:r>
        <w:t>,</w:t>
      </w:r>
      <w:r w:rsidRPr="001E1CB6">
        <w:t xml:space="preserve"> </w:t>
      </w:r>
      <w:r>
        <w:t>12 février 2021.</w:t>
      </w:r>
    </w:p>
    <w:p w:rsidR="001E1CB6" w:rsidRPr="001E1CB6" w:rsidRDefault="001E1CB6" w:rsidP="001E1CB6">
      <w:pPr>
        <w:jc w:val="both"/>
        <w:rPr>
          <w:sz w:val="28"/>
        </w:rPr>
      </w:pPr>
      <w:r w:rsidRPr="001E1CB6">
        <w:rPr>
          <w:sz w:val="28"/>
        </w:rPr>
        <w:t xml:space="preserve">C’est la fin d’un monde. La City, chantre européen de la finance rayonnante et débridée, a perdu sa position de première place boursière du Vieux Continent dans les échanges de janvier, a annoncé jeudi </w:t>
      </w:r>
      <w:proofErr w:type="spellStart"/>
      <w:r w:rsidRPr="001E1CB6">
        <w:rPr>
          <w:sz w:val="28"/>
        </w:rPr>
        <w:t>Cboe</w:t>
      </w:r>
      <w:proofErr w:type="spellEnd"/>
      <w:r w:rsidRPr="001E1CB6">
        <w:rPr>
          <w:sz w:val="28"/>
        </w:rPr>
        <w:t xml:space="preserve"> Europe. Les chiffres sont éloquents : quatre places importantes (Amsterdam, Paris, Francfort et Milan) font un bond en avant quand Londres recule, </w:t>
      </w:r>
      <w:hyperlink r:id="rId8" w:tgtFrame="_blank" w:history="1">
        <w:r w:rsidRPr="001E1CB6">
          <w:rPr>
            <w:sz w:val="28"/>
          </w:rPr>
          <w:t>les volumes d’actions enregistrés entre décembre et janvier</w:t>
        </w:r>
      </w:hyperlink>
      <w:r w:rsidRPr="001E1CB6">
        <w:rPr>
          <w:sz w:val="28"/>
        </w:rPr>
        <w:t> passant à la City de 14,6 milliards d’euros à 8,6 milliards. Et si </w:t>
      </w:r>
      <w:hyperlink r:id="rId9" w:tgtFrame="_blank" w:history="1">
        <w:r w:rsidRPr="001E1CB6">
          <w:rPr>
            <w:sz w:val="28"/>
          </w:rPr>
          <w:t>les capitales économiques française et allemande étaient souvent citées parmi les grandes «gagnantes» du Brexit</w:t>
        </w:r>
      </w:hyperlink>
      <w:r w:rsidRPr="001E1CB6">
        <w:rPr>
          <w:sz w:val="28"/>
        </w:rPr>
        <w:t>, c’est la ville néerlandaise qui remporte le gros lot. De 2,2 milliards d’euros d’actions échangées par jour en décembre, la Bourse de Berlage en était à 9,2 milliards le mois suivant, la</w:t>
      </w:r>
      <w:r>
        <w:rPr>
          <w:sz w:val="28"/>
        </w:rPr>
        <w:t xml:space="preserve"> faisant passer de la 4</w:t>
      </w:r>
      <w:r w:rsidRPr="00C7712F">
        <w:rPr>
          <w:sz w:val="28"/>
          <w:vertAlign w:val="superscript"/>
        </w:rPr>
        <w:t>e</w:t>
      </w:r>
      <w:r>
        <w:rPr>
          <w:sz w:val="28"/>
        </w:rPr>
        <w:t xml:space="preserve"> à la 1</w:t>
      </w:r>
      <w:r w:rsidRPr="00C7712F">
        <w:rPr>
          <w:sz w:val="28"/>
          <w:vertAlign w:val="superscript"/>
        </w:rPr>
        <w:t>re</w:t>
      </w:r>
      <w:r w:rsidRPr="001E1CB6">
        <w:rPr>
          <w:sz w:val="28"/>
        </w:rPr>
        <w:t xml:space="preserve"> place, au nez et la barbe de Paris (qui reste malgré tout 3e, avec 6,1 milliards contre 2,9 milliards en décembre) et Francfort (passée de la 3</w:t>
      </w:r>
      <w:r w:rsidRPr="00C7712F">
        <w:rPr>
          <w:sz w:val="28"/>
          <w:vertAlign w:val="superscript"/>
        </w:rPr>
        <w:t>e</w:t>
      </w:r>
      <w:r w:rsidRPr="001E1CB6">
        <w:rPr>
          <w:sz w:val="28"/>
        </w:rPr>
        <w:t xml:space="preserve"> à la 4</w:t>
      </w:r>
      <w:r w:rsidRPr="00C7712F">
        <w:rPr>
          <w:sz w:val="28"/>
          <w:vertAlign w:val="superscript"/>
        </w:rPr>
        <w:t>e</w:t>
      </w:r>
      <w:r w:rsidRPr="001E1CB6">
        <w:rPr>
          <w:sz w:val="28"/>
        </w:rPr>
        <w:t xml:space="preserve"> avec 5,9 milliards). Une actualité financière vintage en quelque sorte, puisque Amsterdam était déjà la première place boursière mondiale au… XVIII</w:t>
      </w:r>
      <w:r w:rsidRPr="00C7712F">
        <w:rPr>
          <w:sz w:val="28"/>
          <w:vertAlign w:val="superscript"/>
        </w:rPr>
        <w:t>e</w:t>
      </w:r>
      <w:r w:rsidRPr="001E1CB6">
        <w:rPr>
          <w:sz w:val="28"/>
        </w:rPr>
        <w:t xml:space="preserve"> siècle.</w:t>
      </w:r>
    </w:p>
    <w:p w:rsidR="001E1CB6" w:rsidRPr="001E1CB6" w:rsidRDefault="001E1CB6" w:rsidP="001E1CB6">
      <w:pPr>
        <w:jc w:val="both"/>
        <w:rPr>
          <w:sz w:val="28"/>
        </w:rPr>
      </w:pPr>
      <w:r w:rsidRPr="001E1CB6">
        <w:rPr>
          <w:sz w:val="28"/>
        </w:rPr>
        <w:t>Si les études manquent encore pour quantifier le poids réel et concret du Brexit dans ces grands mouvements, la sortie du Royaume Uni de l’UE le 1er janvier reste le principal suspect. L’accord signé de justesse à la fin de l’année 2020 ne traitait pas des services financiers et plus largement de la City. Et si quelques dérogations, expliquaient </w:t>
      </w:r>
      <w:r w:rsidRPr="00C7712F">
        <w:rPr>
          <w:i/>
          <w:sz w:val="28"/>
        </w:rPr>
        <w:t>les Échos</w:t>
      </w:r>
      <w:r w:rsidRPr="001E1CB6">
        <w:rPr>
          <w:sz w:val="28"/>
        </w:rPr>
        <w:t> le mois dernier, ont été accordées, les banques et la finance internationale ont préféré rapatrier des salariés, des sièges sociaux sur le Vieux Continent. Surtout, </w:t>
      </w:r>
      <w:hyperlink r:id="rId10" w:tgtFrame="_blank" w:history="1">
        <w:r w:rsidRPr="001E1CB6">
          <w:rPr>
            <w:sz w:val="28"/>
          </w:rPr>
          <w:t>explique le Financial Times,</w:t>
        </w:r>
      </w:hyperlink>
      <w:r w:rsidRPr="001E1CB6">
        <w:rPr>
          <w:sz w:val="28"/>
        </w:rPr>
        <w:t> «Bruxelles n’a pas reconnu les bourses et les plateformes de négociation britanniques comme ayant le même statut de surveillance que les siens».</w:t>
      </w:r>
    </w:p>
    <w:p w:rsidR="001E1CB6" w:rsidRPr="001E1CB6" w:rsidRDefault="001E1CB6" w:rsidP="001E1CB6">
      <w:pPr>
        <w:jc w:val="both"/>
        <w:rPr>
          <w:sz w:val="24"/>
        </w:rPr>
      </w:pPr>
      <w:r w:rsidRPr="001E1CB6">
        <w:rPr>
          <w:sz w:val="24"/>
        </w:rPr>
        <w:t xml:space="preserve">Une mauvaise nouvelle n’arrivant jamais seule, surtout pour le monde post-Brexit de la finance britannique, les rives de la Tamise perdent </w:t>
      </w:r>
      <w:r w:rsidRPr="0077487E">
        <w:rPr>
          <w:sz w:val="24"/>
        </w:rPr>
        <w:t>également </w:t>
      </w:r>
      <w:hyperlink r:id="rId11" w:tgtFrame="_blank" w:history="1">
        <w:r w:rsidRPr="0077487E">
          <w:rPr>
            <w:rStyle w:val="Collegamentoipertestuale"/>
            <w:color w:val="auto"/>
            <w:sz w:val="24"/>
            <w:u w:val="none"/>
          </w:rPr>
          <w:t>l’une des principales bourses du carbone</w:t>
        </w:r>
      </w:hyperlink>
      <w:r w:rsidRPr="0077487E">
        <w:rPr>
          <w:sz w:val="24"/>
        </w:rPr>
        <w:t xml:space="preserve"> au profit là encore… d’Amsterdam. L’opérateur boursier américain Intercontinental Exchange a en effet annoncé </w:t>
      </w:r>
      <w:r w:rsidRPr="001E1CB6">
        <w:rPr>
          <w:sz w:val="24"/>
        </w:rPr>
        <w:t xml:space="preserve">lundi qu’il allait déplacer son marché de quotas d’émissions de CO2 et de contrats à terme européens sur le carbone de Londres vers les Pays-Bas dans les prochains mois. Là encore le Brexit est l’élément déclencheur du déménagement, puisque l’opérateur ne veut pas se fermer le marché européen, qui verrait les coûts des transitions augmenter depuis la sortie du Royaume-Uni de l’UE. Le montant de cette autre perte outre-Manche : </w:t>
      </w:r>
      <w:r>
        <w:rPr>
          <w:sz w:val="24"/>
        </w:rPr>
        <w:t>un</w:t>
      </w:r>
      <w:r w:rsidRPr="001E1CB6">
        <w:rPr>
          <w:sz w:val="24"/>
        </w:rPr>
        <w:t xml:space="preserve"> milliard d’euros d’échange en moyenne par jour. Amorce de décadence ou simple écueil dans le règne de la City sur la finance européenne ?</w:t>
      </w:r>
    </w:p>
    <w:p w:rsidR="00777F9F" w:rsidRPr="001E1CB6" w:rsidRDefault="0074337C">
      <w:pPr>
        <w:rPr>
          <w:sz w:val="20"/>
        </w:rPr>
      </w:pPr>
    </w:p>
    <w:sectPr w:rsidR="00777F9F" w:rsidRPr="001E1CB6" w:rsidSect="001E1C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B6"/>
    <w:rsid w:val="001E1CB6"/>
    <w:rsid w:val="00273633"/>
    <w:rsid w:val="002F6853"/>
    <w:rsid w:val="00672C27"/>
    <w:rsid w:val="0073322A"/>
    <w:rsid w:val="0074337C"/>
    <w:rsid w:val="0077487E"/>
    <w:rsid w:val="00C7712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EF139-DA14-4F98-AC16-C6A0438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1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0644">
      <w:bodyDiv w:val="1"/>
      <w:marLeft w:val="0"/>
      <w:marRight w:val="0"/>
      <w:marTop w:val="0"/>
      <w:marBottom w:val="0"/>
      <w:divBdr>
        <w:top w:val="none" w:sz="0" w:space="0" w:color="auto"/>
        <w:left w:val="none" w:sz="0" w:space="0" w:color="auto"/>
        <w:bottom w:val="none" w:sz="0" w:space="0" w:color="auto"/>
        <w:right w:val="none" w:sz="0" w:space="0" w:color="auto"/>
      </w:divBdr>
      <w:divsChild>
        <w:div w:id="1030716434">
          <w:marLeft w:val="0"/>
          <w:marRight w:val="0"/>
          <w:marTop w:val="0"/>
          <w:marBottom w:val="0"/>
          <w:divBdr>
            <w:top w:val="none" w:sz="0" w:space="0" w:color="auto"/>
            <w:left w:val="none" w:sz="0" w:space="0" w:color="auto"/>
            <w:bottom w:val="none" w:sz="0" w:space="0" w:color="auto"/>
            <w:right w:val="none" w:sz="0" w:space="0" w:color="auto"/>
          </w:divBdr>
          <w:divsChild>
            <w:div w:id="1593468596">
              <w:marLeft w:val="0"/>
              <w:marRight w:val="0"/>
              <w:marTop w:val="0"/>
              <w:marBottom w:val="0"/>
              <w:divBdr>
                <w:top w:val="none" w:sz="0" w:space="0" w:color="auto"/>
                <w:left w:val="none" w:sz="0" w:space="0" w:color="auto"/>
                <w:bottom w:val="none" w:sz="0" w:space="0" w:color="auto"/>
                <w:right w:val="none" w:sz="0" w:space="0" w:color="auto"/>
              </w:divBdr>
              <w:divsChild>
                <w:div w:id="19530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60575">
          <w:marLeft w:val="0"/>
          <w:marRight w:val="0"/>
          <w:marTop w:val="0"/>
          <w:marBottom w:val="0"/>
          <w:divBdr>
            <w:top w:val="none" w:sz="0" w:space="0" w:color="auto"/>
            <w:left w:val="none" w:sz="0" w:space="0" w:color="auto"/>
            <w:bottom w:val="none" w:sz="0" w:space="0" w:color="auto"/>
            <w:right w:val="none" w:sz="0" w:space="0" w:color="auto"/>
          </w:divBdr>
          <w:divsChild>
            <w:div w:id="2134513702">
              <w:marLeft w:val="0"/>
              <w:marRight w:val="0"/>
              <w:marTop w:val="0"/>
              <w:marBottom w:val="0"/>
              <w:divBdr>
                <w:top w:val="none" w:sz="0" w:space="0" w:color="auto"/>
                <w:left w:val="none" w:sz="0" w:space="0" w:color="auto"/>
                <w:bottom w:val="none" w:sz="0" w:space="0" w:color="auto"/>
                <w:right w:val="single" w:sz="6" w:space="0" w:color="DADADA"/>
              </w:divBdr>
              <w:divsChild>
                <w:div w:id="580262984">
                  <w:marLeft w:val="0"/>
                  <w:marRight w:val="0"/>
                  <w:marTop w:val="0"/>
                  <w:marBottom w:val="0"/>
                  <w:divBdr>
                    <w:top w:val="none" w:sz="0" w:space="0" w:color="auto"/>
                    <w:left w:val="none" w:sz="0" w:space="0" w:color="auto"/>
                    <w:bottom w:val="none" w:sz="0" w:space="0" w:color="auto"/>
                    <w:right w:val="none" w:sz="0" w:space="0" w:color="auto"/>
                  </w:divBdr>
                  <w:divsChild>
                    <w:div w:id="1239096752">
                      <w:marLeft w:val="0"/>
                      <w:marRight w:val="0"/>
                      <w:marTop w:val="0"/>
                      <w:marBottom w:val="0"/>
                      <w:divBdr>
                        <w:top w:val="none" w:sz="0" w:space="0" w:color="auto"/>
                        <w:left w:val="none" w:sz="0" w:space="0" w:color="auto"/>
                        <w:bottom w:val="none" w:sz="0" w:space="0" w:color="auto"/>
                        <w:right w:val="none" w:sz="0" w:space="0" w:color="auto"/>
                      </w:divBdr>
                      <w:divsChild>
                        <w:div w:id="1669819952">
                          <w:marLeft w:val="0"/>
                          <w:marRight w:val="0"/>
                          <w:marTop w:val="0"/>
                          <w:marBottom w:val="0"/>
                          <w:divBdr>
                            <w:top w:val="none" w:sz="0" w:space="0" w:color="auto"/>
                            <w:left w:val="none" w:sz="0" w:space="0" w:color="auto"/>
                            <w:bottom w:val="none" w:sz="0" w:space="0" w:color="auto"/>
                            <w:right w:val="none" w:sz="0" w:space="0" w:color="auto"/>
                          </w:divBdr>
                        </w:div>
                      </w:divsChild>
                    </w:div>
                    <w:div w:id="1910726203">
                      <w:marLeft w:val="0"/>
                      <w:marRight w:val="0"/>
                      <w:marTop w:val="0"/>
                      <w:marBottom w:val="0"/>
                      <w:divBdr>
                        <w:top w:val="none" w:sz="0" w:space="0" w:color="auto"/>
                        <w:left w:val="none" w:sz="0" w:space="0" w:color="auto"/>
                        <w:bottom w:val="none" w:sz="0" w:space="0" w:color="auto"/>
                        <w:right w:val="none" w:sz="0" w:space="0" w:color="auto"/>
                      </w:divBdr>
                    </w:div>
                  </w:divsChild>
                </w:div>
                <w:div w:id="2066833739">
                  <w:marLeft w:val="0"/>
                  <w:marRight w:val="0"/>
                  <w:marTop w:val="0"/>
                  <w:marBottom w:val="0"/>
                  <w:divBdr>
                    <w:top w:val="none" w:sz="0" w:space="0" w:color="auto"/>
                    <w:left w:val="none" w:sz="0" w:space="0" w:color="auto"/>
                    <w:bottom w:val="none" w:sz="0" w:space="0" w:color="auto"/>
                    <w:right w:val="none" w:sz="0" w:space="0" w:color="auto"/>
                  </w:divBdr>
                </w:div>
                <w:div w:id="973173367">
                  <w:marLeft w:val="0"/>
                  <w:marRight w:val="0"/>
                  <w:marTop w:val="0"/>
                  <w:marBottom w:val="0"/>
                  <w:divBdr>
                    <w:top w:val="none" w:sz="0" w:space="0" w:color="auto"/>
                    <w:left w:val="none" w:sz="0" w:space="0" w:color="auto"/>
                    <w:bottom w:val="none" w:sz="0" w:space="0" w:color="auto"/>
                    <w:right w:val="none" w:sz="0" w:space="0" w:color="auto"/>
                  </w:divBdr>
                  <w:divsChild>
                    <w:div w:id="658577511">
                      <w:marLeft w:val="0"/>
                      <w:marRight w:val="0"/>
                      <w:marTop w:val="0"/>
                      <w:marBottom w:val="0"/>
                      <w:divBdr>
                        <w:top w:val="none" w:sz="0" w:space="0" w:color="auto"/>
                        <w:left w:val="none" w:sz="0" w:space="0" w:color="auto"/>
                        <w:bottom w:val="none" w:sz="0" w:space="0" w:color="auto"/>
                        <w:right w:val="none" w:sz="0" w:space="0" w:color="auto"/>
                      </w:divBdr>
                    </w:div>
                  </w:divsChild>
                </w:div>
                <w:div w:id="639190868">
                  <w:marLeft w:val="0"/>
                  <w:marRight w:val="0"/>
                  <w:marTop w:val="0"/>
                  <w:marBottom w:val="0"/>
                  <w:divBdr>
                    <w:top w:val="none" w:sz="0" w:space="0" w:color="auto"/>
                    <w:left w:val="none" w:sz="0" w:space="0" w:color="auto"/>
                    <w:bottom w:val="none" w:sz="0" w:space="0" w:color="auto"/>
                    <w:right w:val="none" w:sz="0" w:space="0" w:color="auto"/>
                  </w:divBdr>
                  <w:divsChild>
                    <w:div w:id="1134104198">
                      <w:marLeft w:val="0"/>
                      <w:marRight w:val="0"/>
                      <w:marTop w:val="0"/>
                      <w:marBottom w:val="0"/>
                      <w:divBdr>
                        <w:top w:val="single" w:sz="6" w:space="0" w:color="auto"/>
                        <w:left w:val="single" w:sz="2" w:space="0" w:color="auto"/>
                        <w:bottom w:val="single" w:sz="6" w:space="0" w:color="auto"/>
                        <w:right w:val="single" w:sz="2" w:space="0" w:color="auto"/>
                      </w:divBdr>
                      <w:divsChild>
                        <w:div w:id="1963609948">
                          <w:marLeft w:val="0"/>
                          <w:marRight w:val="0"/>
                          <w:marTop w:val="0"/>
                          <w:marBottom w:val="0"/>
                          <w:divBdr>
                            <w:top w:val="none" w:sz="0" w:space="0" w:color="auto"/>
                            <w:left w:val="none" w:sz="0" w:space="0" w:color="auto"/>
                            <w:bottom w:val="none" w:sz="0" w:space="0" w:color="auto"/>
                            <w:right w:val="none" w:sz="0" w:space="0" w:color="auto"/>
                          </w:divBdr>
                        </w:div>
                        <w:div w:id="2141459783">
                          <w:marLeft w:val="0"/>
                          <w:marRight w:val="0"/>
                          <w:marTop w:val="0"/>
                          <w:marBottom w:val="0"/>
                          <w:divBdr>
                            <w:top w:val="none" w:sz="0" w:space="0" w:color="auto"/>
                            <w:left w:val="none" w:sz="0" w:space="0" w:color="auto"/>
                            <w:bottom w:val="none" w:sz="0" w:space="0" w:color="auto"/>
                            <w:right w:val="none" w:sz="0" w:space="0" w:color="auto"/>
                          </w:divBdr>
                          <w:divsChild>
                            <w:div w:id="1078749838">
                              <w:marLeft w:val="0"/>
                              <w:marRight w:val="0"/>
                              <w:marTop w:val="0"/>
                              <w:marBottom w:val="0"/>
                              <w:divBdr>
                                <w:top w:val="none" w:sz="0" w:space="0" w:color="auto"/>
                                <w:left w:val="none" w:sz="0" w:space="0" w:color="auto"/>
                                <w:bottom w:val="none" w:sz="0" w:space="0" w:color="auto"/>
                                <w:right w:val="none" w:sz="0" w:space="0" w:color="auto"/>
                              </w:divBdr>
                              <w:divsChild>
                                <w:div w:id="535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21-02-10/amsterdam-topples-london-as-europe-s-main-share-trading-hub-f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beration.fr/auteur/damien-do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iberation.fr/futurs/2005/03/11/permis-de-polluer-un-marche-pare-a-decoller_512479/" TargetMode="External"/><Relationship Id="rId5" Type="http://schemas.openxmlformats.org/officeDocument/2006/relationships/hyperlink" Target="https://www.liberation.fr/economie/" TargetMode="External"/><Relationship Id="rId10" Type="http://schemas.openxmlformats.org/officeDocument/2006/relationships/hyperlink" Target="https://www.ft.com/content/3dad4ef3-59e8-437e-8f63-f629a5b7d0aa" TargetMode="External"/><Relationship Id="rId4" Type="http://schemas.openxmlformats.org/officeDocument/2006/relationships/hyperlink" Target="https://www.liberation.fr/" TargetMode="External"/><Relationship Id="rId9" Type="http://schemas.openxmlformats.org/officeDocument/2006/relationships/hyperlink" Target="https://www.liberation.fr/futurs/2017/05/26/apres-le-brexit-quelle-cite-pour-les-exiles-de-la-city_15725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2</cp:revision>
  <cp:lastPrinted>2021-02-18T22:02:00Z</cp:lastPrinted>
  <dcterms:created xsi:type="dcterms:W3CDTF">2021-02-19T11:16:00Z</dcterms:created>
  <dcterms:modified xsi:type="dcterms:W3CDTF">2021-02-19T11:16:00Z</dcterms:modified>
</cp:coreProperties>
</file>