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10A3" w14:textId="77777777" w:rsidR="00625057" w:rsidRPr="007522B1" w:rsidRDefault="00625057" w:rsidP="00625057">
      <w:pPr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A</w:t>
      </w:r>
      <w:r w:rsidRPr="007522B1">
        <w:rPr>
          <w:b/>
          <w:noProof/>
          <w:lang w:eastAsia="it-IT"/>
        </w:rPr>
        <w:t>nalisi di bilancio di un’azienda che lavora su commessa</w:t>
      </w:r>
    </w:p>
    <w:p w14:paraId="41391A33" w14:textId="77777777" w:rsidR="00625057" w:rsidRDefault="00625057" w:rsidP="00625057">
      <w:pPr>
        <w:jc w:val="both"/>
        <w:rPr>
          <w:noProof/>
          <w:lang w:eastAsia="it-IT"/>
        </w:rPr>
      </w:pPr>
    </w:p>
    <w:p w14:paraId="46AF0053" w14:textId="784682E3" w:rsidR="00625057" w:rsidRDefault="00625057" w:rsidP="00625057">
      <w:pPr>
        <w:ind w:right="543"/>
        <w:jc w:val="both"/>
        <w:rPr>
          <w:noProof/>
          <w:lang w:eastAsia="it-IT"/>
        </w:rPr>
      </w:pPr>
      <w:r>
        <w:rPr>
          <w:noProof/>
          <w:lang w:eastAsia="it-IT"/>
        </w:rPr>
        <w:t>VI viene fornito</w:t>
      </w:r>
      <w:r>
        <w:rPr>
          <w:noProof/>
          <w:lang w:eastAsia="it-IT"/>
        </w:rPr>
        <w:t xml:space="preserve"> il bilancio e il bilancio di Design 2000, una società che allestisce interni per dimore di lusso “chiavi in mano”, su progetto approvato dal committente. Il fatturato viene realizzato prevalentemente in Russia e negli Emirati Arabi. L’azienda non produce i beni necessari per realizzare gli interni, ma li acquista facendoli realizzare da imprese e artigiani italiani, salvo poi farli mettere in opera attraverso maestranze locali o, in alcuni casi, artigiani di propria fiducia. L’attività aziendale è prevalentemente di progettazione, cui segue una fase di selezione e ricerca dei fornitori di marmi, arredi e quant’altro. </w:t>
      </w:r>
    </w:p>
    <w:p w14:paraId="42AC5C46" w14:textId="77777777" w:rsidR="00625057" w:rsidRDefault="00625057" w:rsidP="00625057">
      <w:pPr>
        <w:ind w:right="543"/>
        <w:jc w:val="both"/>
        <w:rPr>
          <w:noProof/>
          <w:lang w:eastAsia="it-IT"/>
        </w:rPr>
      </w:pPr>
      <w:r>
        <w:rPr>
          <w:noProof/>
          <w:lang w:eastAsia="it-IT"/>
        </w:rPr>
        <w:t>Recentemente si sono fatti avanti alcuni concorrenti, che offrono un servizio parzialmente diverso in quanto acquistano mobili già disponibili sul mercato, non necessariamente prodotti su misura: in questo modo riescono a contenere il costo del prodotto finito e risultano molto competitivi, pur rispettando gli standard tipici della fascia “luxury goods”.</w:t>
      </w:r>
    </w:p>
    <w:p w14:paraId="7007D196" w14:textId="77777777" w:rsidR="00625057" w:rsidRDefault="00625057" w:rsidP="00625057">
      <w:pPr>
        <w:ind w:right="543"/>
        <w:jc w:val="both"/>
        <w:rPr>
          <w:noProof/>
          <w:lang w:eastAsia="it-IT"/>
        </w:rPr>
      </w:pPr>
      <w:r>
        <w:rPr>
          <w:noProof/>
          <w:lang w:eastAsia="it-IT"/>
        </w:rPr>
        <w:t>Si chiede di</w:t>
      </w:r>
      <w:r>
        <w:rPr>
          <w:noProof/>
          <w:lang w:eastAsia="it-IT"/>
        </w:rPr>
        <w:t xml:space="preserve">: </w:t>
      </w:r>
    </w:p>
    <w:p w14:paraId="1182A0A6" w14:textId="77777777" w:rsidR="00625057" w:rsidRDefault="00625057" w:rsidP="00625057">
      <w:pPr>
        <w:pStyle w:val="Paragrafoelenco"/>
        <w:numPr>
          <w:ilvl w:val="0"/>
          <w:numId w:val="1"/>
        </w:numPr>
        <w:ind w:right="543"/>
        <w:jc w:val="both"/>
        <w:rPr>
          <w:noProof/>
          <w:lang w:eastAsia="it-IT"/>
        </w:rPr>
      </w:pPr>
      <w:r>
        <w:rPr>
          <w:noProof/>
          <w:lang w:eastAsia="it-IT"/>
        </w:rPr>
        <w:t>Riclassificare il conto economico e lo stato patrimoniale</w:t>
      </w:r>
    </w:p>
    <w:p w14:paraId="695CC763" w14:textId="50D83553" w:rsidR="00625057" w:rsidRDefault="00625057" w:rsidP="00625057">
      <w:pPr>
        <w:pStyle w:val="Paragrafoelenco"/>
        <w:numPr>
          <w:ilvl w:val="0"/>
          <w:numId w:val="1"/>
        </w:numPr>
        <w:ind w:right="543"/>
        <w:jc w:val="both"/>
        <w:rPr>
          <w:noProof/>
          <w:lang w:eastAsia="it-IT"/>
        </w:rPr>
      </w:pPr>
      <w:r>
        <w:rPr>
          <w:noProof/>
          <w:lang w:eastAsia="it-IT"/>
        </w:rPr>
        <w:t>fornire un’analisi della situazione dell’azienda sotto il profilo dell’equilibrio patrimoniale e finanziario, della redditività, del grado di rischio, utilizzando gli indicatori ritenuti rilevanti e calcolando il cash flow della gestione operativa.</w:t>
      </w:r>
    </w:p>
    <w:p w14:paraId="7233F22F" w14:textId="77777777" w:rsidR="00F51910" w:rsidRDefault="00625057"/>
    <w:sectPr w:rsidR="00F51910" w:rsidSect="00443C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FDA"/>
    <w:multiLevelType w:val="hybridMultilevel"/>
    <w:tmpl w:val="0BD09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57"/>
    <w:rsid w:val="0002012F"/>
    <w:rsid w:val="0005140E"/>
    <w:rsid w:val="003F55D3"/>
    <w:rsid w:val="00443CB4"/>
    <w:rsid w:val="004B69A2"/>
    <w:rsid w:val="005D0EAF"/>
    <w:rsid w:val="00625057"/>
    <w:rsid w:val="009871CD"/>
    <w:rsid w:val="00A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425BE"/>
  <w14:defaultImageDpi w14:val="32767"/>
  <w15:chartTrackingRefBased/>
  <w15:docId w15:val="{2BCE8197-7271-B745-A8B5-88C18FBD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2505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Modugno Guido</dc:creator>
  <cp:keywords/>
  <dc:description/>
  <cp:lastModifiedBy>Modugno Guido</cp:lastModifiedBy>
  <cp:revision>1</cp:revision>
  <dcterms:created xsi:type="dcterms:W3CDTF">2021-04-07T12:06:00Z</dcterms:created>
  <dcterms:modified xsi:type="dcterms:W3CDTF">2021-04-07T12:08:00Z</dcterms:modified>
</cp:coreProperties>
</file>