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253A5" w14:textId="77777777" w:rsidR="00381629" w:rsidRDefault="00381629" w:rsidP="0006381A">
      <w:pPr>
        <w:jc w:val="both"/>
        <w:rPr>
          <w:sz w:val="24"/>
          <w:szCs w:val="24"/>
        </w:rPr>
      </w:pPr>
      <w:r>
        <w:rPr>
          <w:sz w:val="24"/>
          <w:szCs w:val="24"/>
        </w:rPr>
        <w:t>Cesare Vetter</w:t>
      </w:r>
    </w:p>
    <w:p w14:paraId="13EFDEC0" w14:textId="77777777" w:rsidR="00381629" w:rsidRDefault="00381629" w:rsidP="0006381A">
      <w:pPr>
        <w:jc w:val="both"/>
        <w:rPr>
          <w:sz w:val="24"/>
          <w:szCs w:val="24"/>
        </w:rPr>
      </w:pPr>
    </w:p>
    <w:p w14:paraId="74411E40" w14:textId="77777777" w:rsidR="00B45B51" w:rsidRPr="00381629" w:rsidRDefault="008D6B08" w:rsidP="0006381A">
      <w:pPr>
        <w:jc w:val="both"/>
        <w:rPr>
          <w:sz w:val="24"/>
          <w:szCs w:val="24"/>
        </w:rPr>
      </w:pPr>
      <w:r w:rsidRPr="00381629">
        <w:rPr>
          <w:sz w:val="24"/>
          <w:szCs w:val="24"/>
        </w:rPr>
        <w:t>Il bacio di Lamourette</w:t>
      </w:r>
      <w:r w:rsidR="00B45B51" w:rsidRPr="00381629">
        <w:rPr>
          <w:sz w:val="24"/>
          <w:szCs w:val="24"/>
        </w:rPr>
        <w:t>: fraternità inclusiva e fraternità identitaria nella rivoluzione francese.</w:t>
      </w:r>
    </w:p>
    <w:p w14:paraId="0132676D" w14:textId="77777777" w:rsidR="00B45B51" w:rsidRDefault="00B45B51" w:rsidP="0006381A">
      <w:pPr>
        <w:jc w:val="both"/>
        <w:rPr>
          <w:sz w:val="24"/>
          <w:szCs w:val="24"/>
        </w:rPr>
      </w:pPr>
    </w:p>
    <w:p w14:paraId="05B682EA" w14:textId="77777777" w:rsidR="00B45B51" w:rsidRDefault="00B45B51" w:rsidP="0006381A">
      <w:pPr>
        <w:jc w:val="both"/>
        <w:rPr>
          <w:sz w:val="24"/>
          <w:szCs w:val="24"/>
        </w:rPr>
      </w:pPr>
    </w:p>
    <w:p w14:paraId="45C8F4F8" w14:textId="77777777" w:rsidR="00F52386" w:rsidRPr="00E437FE" w:rsidRDefault="005F5863" w:rsidP="0006381A">
      <w:pPr>
        <w:jc w:val="both"/>
        <w:rPr>
          <w:sz w:val="24"/>
          <w:szCs w:val="24"/>
        </w:rPr>
      </w:pPr>
      <w:r w:rsidRPr="00E437FE">
        <w:rPr>
          <w:sz w:val="24"/>
          <w:szCs w:val="24"/>
        </w:rPr>
        <w:t>Nell’estate del 1792 la Francia è lacerata da profondi conflitti</w:t>
      </w:r>
      <w:r w:rsidR="005B3B21">
        <w:rPr>
          <w:sz w:val="24"/>
          <w:szCs w:val="24"/>
        </w:rPr>
        <w:t xml:space="preserve">. </w:t>
      </w:r>
      <w:r w:rsidR="0006381A" w:rsidRPr="00E437FE">
        <w:rPr>
          <w:sz w:val="24"/>
          <w:szCs w:val="24"/>
        </w:rPr>
        <w:t>La situazione militare è disastrosa, nell’</w:t>
      </w:r>
      <w:r w:rsidR="00924712" w:rsidRPr="00E437FE">
        <w:rPr>
          <w:sz w:val="24"/>
          <w:szCs w:val="24"/>
        </w:rPr>
        <w:t xml:space="preserve">Assemblea legislativa si contrappongono </w:t>
      </w:r>
      <w:r w:rsidR="005B3B21" w:rsidRPr="00E437FE">
        <w:rPr>
          <w:sz w:val="24"/>
          <w:szCs w:val="24"/>
        </w:rPr>
        <w:t>frontalmente</w:t>
      </w:r>
      <w:r w:rsidR="005B3B21">
        <w:rPr>
          <w:sz w:val="24"/>
          <w:szCs w:val="24"/>
        </w:rPr>
        <w:t xml:space="preserve"> </w:t>
      </w:r>
      <w:r w:rsidR="005B3B21" w:rsidRPr="00E437FE">
        <w:rPr>
          <w:sz w:val="24"/>
          <w:szCs w:val="24"/>
        </w:rPr>
        <w:t>Foglianti</w:t>
      </w:r>
      <w:r w:rsidRPr="00E437FE">
        <w:rPr>
          <w:sz w:val="24"/>
          <w:szCs w:val="24"/>
        </w:rPr>
        <w:t xml:space="preserve"> </w:t>
      </w:r>
      <w:r w:rsidR="00924712" w:rsidRPr="00E437FE">
        <w:rPr>
          <w:sz w:val="24"/>
          <w:szCs w:val="24"/>
        </w:rPr>
        <w:t>e</w:t>
      </w:r>
      <w:r w:rsidR="005B3B21">
        <w:rPr>
          <w:sz w:val="24"/>
          <w:szCs w:val="24"/>
        </w:rPr>
        <w:t xml:space="preserve"> brissotini (</w:t>
      </w:r>
      <w:r w:rsidR="005B3B21" w:rsidRPr="00E437FE">
        <w:rPr>
          <w:sz w:val="24"/>
          <w:szCs w:val="24"/>
        </w:rPr>
        <w:t>i</w:t>
      </w:r>
      <w:r w:rsidR="00E437FE">
        <w:rPr>
          <w:sz w:val="24"/>
          <w:szCs w:val="24"/>
        </w:rPr>
        <w:t xml:space="preserve"> giacobini che fanno riferimento a Brissot</w:t>
      </w:r>
      <w:r w:rsidR="005B3B21">
        <w:rPr>
          <w:sz w:val="24"/>
          <w:szCs w:val="24"/>
        </w:rPr>
        <w:t>),</w:t>
      </w:r>
      <w:r w:rsidR="005077CF">
        <w:rPr>
          <w:sz w:val="24"/>
          <w:szCs w:val="24"/>
        </w:rPr>
        <w:t xml:space="preserve"> il malcontento popolare per le condizioni</w:t>
      </w:r>
      <w:r w:rsidR="00B45B51">
        <w:rPr>
          <w:sz w:val="24"/>
          <w:szCs w:val="24"/>
        </w:rPr>
        <w:t xml:space="preserve"> materiali</w:t>
      </w:r>
      <w:r w:rsidR="005077CF">
        <w:rPr>
          <w:sz w:val="24"/>
          <w:szCs w:val="24"/>
        </w:rPr>
        <w:t xml:space="preserve"> di vita è molto forte e</w:t>
      </w:r>
      <w:r w:rsidR="00395F41">
        <w:rPr>
          <w:sz w:val="24"/>
          <w:szCs w:val="24"/>
        </w:rPr>
        <w:t xml:space="preserve"> nelle sezioni di Parigi</w:t>
      </w:r>
      <w:r w:rsidR="00924712" w:rsidRPr="00E437FE">
        <w:rPr>
          <w:sz w:val="24"/>
          <w:szCs w:val="24"/>
        </w:rPr>
        <w:t xml:space="preserve"> sta prendendo corpo e consistenza il movimento sanculotto.</w:t>
      </w:r>
      <w:r w:rsidR="005077CF">
        <w:rPr>
          <w:sz w:val="24"/>
          <w:szCs w:val="24"/>
        </w:rPr>
        <w:t xml:space="preserve"> </w:t>
      </w:r>
      <w:r w:rsidR="00F52386" w:rsidRPr="00E437FE">
        <w:rPr>
          <w:sz w:val="24"/>
          <w:szCs w:val="24"/>
        </w:rPr>
        <w:t xml:space="preserve">Il 7 luglio 1792 Adrien Lamourette, </w:t>
      </w:r>
      <w:r w:rsidR="004C0707" w:rsidRPr="00E437FE">
        <w:rPr>
          <w:sz w:val="24"/>
          <w:szCs w:val="24"/>
        </w:rPr>
        <w:t>vescovo costituzionale di Lione e deputato della Rhône-et-</w:t>
      </w:r>
      <w:r w:rsidR="00E437FE" w:rsidRPr="00E437FE">
        <w:rPr>
          <w:sz w:val="24"/>
          <w:szCs w:val="24"/>
        </w:rPr>
        <w:t>Loire,</w:t>
      </w:r>
      <w:r w:rsidR="004C0707" w:rsidRPr="00E437FE">
        <w:rPr>
          <w:sz w:val="24"/>
          <w:szCs w:val="24"/>
        </w:rPr>
        <w:t xml:space="preserve"> </w:t>
      </w:r>
      <w:r w:rsidR="00F52386" w:rsidRPr="00E437FE">
        <w:rPr>
          <w:sz w:val="24"/>
          <w:szCs w:val="24"/>
        </w:rPr>
        <w:t xml:space="preserve">prende la </w:t>
      </w:r>
      <w:r w:rsidR="0006381A" w:rsidRPr="00E437FE">
        <w:rPr>
          <w:sz w:val="24"/>
          <w:szCs w:val="24"/>
        </w:rPr>
        <w:t>parola e si rivolge ai deputati invitandoli</w:t>
      </w:r>
      <w:r w:rsidR="00924712" w:rsidRPr="00E437FE">
        <w:rPr>
          <w:sz w:val="24"/>
          <w:szCs w:val="24"/>
        </w:rPr>
        <w:t xml:space="preserve"> a superare le divisioni in nome della fraternità:</w:t>
      </w:r>
    </w:p>
    <w:p w14:paraId="496AA8A4" w14:textId="77777777" w:rsidR="00F52386" w:rsidRPr="00F52386" w:rsidRDefault="00F52386" w:rsidP="0006381A">
      <w:pPr>
        <w:jc w:val="both"/>
      </w:pPr>
    </w:p>
    <w:p w14:paraId="1BD46E4D" w14:textId="77777777" w:rsidR="00EA05BC" w:rsidRPr="00364292" w:rsidRDefault="005F5863" w:rsidP="0006381A">
      <w:pPr>
        <w:jc w:val="both"/>
      </w:pPr>
      <w:r>
        <w:rPr>
          <w:lang w:val="fr-FR"/>
        </w:rPr>
        <w:t>Messieurs,</w:t>
      </w:r>
      <w:r w:rsidR="00F52386" w:rsidRPr="00F52386">
        <w:rPr>
          <w:lang w:val="fr-FR"/>
        </w:rPr>
        <w:t xml:space="preserve"> on vous a proposé, et l'on vous proposera encore sans doute, des mesures extrêmes et terribles, pour arrêter le progrès des maux, des divisions et des fermentations qui déchirent le sein de cet Empire, et qui semblent donner aux légions étrangères qui nous menacent, le signal du dernier degré de notre défaillance et de notre aptitud</w:t>
      </w:r>
      <w:r>
        <w:rPr>
          <w:lang w:val="fr-FR"/>
        </w:rPr>
        <w:t xml:space="preserve">e à retomber dans l'esclavage. </w:t>
      </w:r>
      <w:r w:rsidR="00F52386" w:rsidRPr="00F52386">
        <w:rPr>
          <w:lang w:val="fr-FR"/>
        </w:rPr>
        <w:t>Mais aucune de ces mesures n'atteindra le but où vous voulez atteindre, parce qu'il n'en est aucune qui soit</w:t>
      </w:r>
      <w:r>
        <w:rPr>
          <w:lang w:val="fr-FR"/>
        </w:rPr>
        <w:t xml:space="preserve"> vraiment centrale, aucune qui </w:t>
      </w:r>
      <w:r w:rsidR="00F52386" w:rsidRPr="00F52386">
        <w:rPr>
          <w:lang w:val="fr-FR"/>
        </w:rPr>
        <w:t>aille droit à la source de la maladie a</w:t>
      </w:r>
      <w:r>
        <w:rPr>
          <w:lang w:val="fr-FR"/>
        </w:rPr>
        <w:t xml:space="preserve">ctuelle de la France.  </w:t>
      </w:r>
      <w:r w:rsidR="00F52386" w:rsidRPr="00F52386">
        <w:rPr>
          <w:lang w:val="fr-FR"/>
        </w:rPr>
        <w:t>Cette source, Messieurs, qu'il faut tarir à quelque prix que ce soit, c'est la dé</w:t>
      </w:r>
      <w:r w:rsidR="00E437FE">
        <w:rPr>
          <w:lang w:val="fr-FR"/>
        </w:rPr>
        <w:t>sunion de l'Assemblée nationale […]</w:t>
      </w:r>
      <w:r w:rsidR="00F52386" w:rsidRPr="00F52386">
        <w:rPr>
          <w:lang w:val="fr-FR"/>
        </w:rPr>
        <w:t xml:space="preserve"> Eh quoi ! Messieurs, v</w:t>
      </w:r>
      <w:r>
        <w:rPr>
          <w:lang w:val="fr-FR"/>
        </w:rPr>
        <w:t>ous tenez dans vos mains la clef</w:t>
      </w:r>
      <w:r w:rsidR="00F52386" w:rsidRPr="00F52386">
        <w:rPr>
          <w:lang w:val="fr-FR"/>
        </w:rPr>
        <w:t xml:space="preserve"> du salut public, et vous chercheriez ce salut, l'objet d'une si longue et si laborieuse attente, vous le chercheriez dans des lois toujours incertaines, et vous vous refuseriez à la gloire si touchan</w:t>
      </w:r>
      <w:r>
        <w:rPr>
          <w:lang w:val="fr-FR"/>
        </w:rPr>
        <w:t>te de faire couler de</w:t>
      </w:r>
      <w:r w:rsidR="00F52386" w:rsidRPr="00F52386">
        <w:rPr>
          <w:lang w:val="fr-FR"/>
        </w:rPr>
        <w:t xml:space="preserve"> votre propre sein les douceurs de la paix et de l'unité, sur un peuple à qui cet inappréciable </w:t>
      </w:r>
      <w:r>
        <w:rPr>
          <w:lang w:val="fr-FR"/>
        </w:rPr>
        <w:t xml:space="preserve">bien est devenu si nécessaire. </w:t>
      </w:r>
      <w:r w:rsidR="00F52386" w:rsidRPr="00F52386">
        <w:rPr>
          <w:lang w:val="fr-FR"/>
        </w:rPr>
        <w:t xml:space="preserve">J'ai souvent </w:t>
      </w:r>
      <w:r w:rsidRPr="00F52386">
        <w:rPr>
          <w:lang w:val="fr-FR"/>
        </w:rPr>
        <w:t>entendu</w:t>
      </w:r>
      <w:r w:rsidR="00F52386" w:rsidRPr="00F52386">
        <w:rPr>
          <w:lang w:val="fr-FR"/>
        </w:rPr>
        <w:t xml:space="preserve"> dire qu'au point où en sont les choses, ce rapprochement était impraticable ; et ces mots m'ont fait frémir, car ils renferment la plus flétrissante injure dont</w:t>
      </w:r>
      <w:r>
        <w:rPr>
          <w:lang w:val="fr-FR"/>
        </w:rPr>
        <w:t xml:space="preserve"> on puisse couvrir les hommes. </w:t>
      </w:r>
      <w:r w:rsidR="00F52386" w:rsidRPr="00F52386">
        <w:rPr>
          <w:lang w:val="fr-FR"/>
        </w:rPr>
        <w:t>Jamais scission ne fut irrémédiable que celle qui subsiste entre le vice et la vertu (Appl</w:t>
      </w:r>
      <w:r>
        <w:rPr>
          <w:lang w:val="fr-FR"/>
        </w:rPr>
        <w:t>audissements.) et il n'y a que l</w:t>
      </w:r>
      <w:r w:rsidR="00F52386" w:rsidRPr="00F52386">
        <w:rPr>
          <w:lang w:val="fr-FR"/>
        </w:rPr>
        <w:t>'honnête homme et l'homme méchant qu'il ne faille point espérer d'assortir pour la conduite d'une œuvre honnête et utile au bonheur commun. (Applaudissements.) Mais pour les gens de bien, ils ont beau se trouver opposés, les uns aux autres, et débattre en sens contraire les moyens d'assurer la prospérité et la liberté, d'un Empire, leurs dissentiments ne produisent ni la passion, ni la haine, parce qu'ils s'estiment, parce qu'il subsiste entre eux une unité de fin, parce qu'ils ont tous le sentiment de leur droiture et de leur innocence; parce qu'ils sont sûrs les uns des autres, et qu'après le mouvement décent et modéré de leurs opinions divergentes, ils se rencontrent toujours au poin</w:t>
      </w:r>
      <w:r w:rsidR="00E437FE">
        <w:rPr>
          <w:lang w:val="fr-FR"/>
        </w:rPr>
        <w:t>t central de la probité et de l’h</w:t>
      </w:r>
      <w:r w:rsidR="00F52386" w:rsidRPr="00F52386">
        <w:rPr>
          <w:lang w:val="fr-FR"/>
        </w:rPr>
        <w:t>onneur, à cet asile sacré où la vertu jouit d'elle-même, et où toutes les âmes vraies et honnêtes s'unissent et se concentrent de toutes les parties de l'uni</w:t>
      </w:r>
      <w:r>
        <w:rPr>
          <w:lang w:val="fr-FR"/>
        </w:rPr>
        <w:t xml:space="preserve">vers. (Vifs applaudissements.) </w:t>
      </w:r>
      <w:r w:rsidR="00F52386" w:rsidRPr="00F52386">
        <w:rPr>
          <w:lang w:val="fr-FR"/>
        </w:rPr>
        <w:t xml:space="preserve">Messieurs, il ne tient qu'à vous de vous ménager un moment bien beau et bien solennel, un moment plus plein, plus utile à l'excellent peuple dont vous êtes les organes, que vos journées et vos séances les plus mémorables : il ne tient qu'à vous d'offrir à la France et à l'Europe un spectacle plus redoutable à tous vos ennemis, que toutes les bouches d'airain que vous avez disposées autour de vos frontières. Ramenez à l'unité la représentation nationale </w:t>
      </w:r>
      <w:r w:rsidR="00E437FE">
        <w:rPr>
          <w:lang w:val="fr-FR"/>
        </w:rPr>
        <w:t xml:space="preserve"> […] </w:t>
      </w:r>
      <w:r w:rsidR="00F52386" w:rsidRPr="00F52386">
        <w:rPr>
          <w:lang w:val="fr-FR"/>
        </w:rPr>
        <w:t>J</w:t>
      </w:r>
      <w:r w:rsidR="00E570E4">
        <w:rPr>
          <w:lang w:val="fr-FR"/>
        </w:rPr>
        <w:t>urons-nous fraternité éternelle</w:t>
      </w:r>
      <w:r w:rsidR="00F52386" w:rsidRPr="00F52386">
        <w:rPr>
          <w:lang w:val="fr-FR"/>
        </w:rPr>
        <w:t xml:space="preserve">; confondons-nous en une seule et même masse d'hommes libres, également redoutable, et à l'esprit d'anarchie, et à l'esprit féodal ; et le moment où nos ennemis domestiques et étrangers ne pourront plus douter que nous voulons une chose fixe et précise, et que ce que nous voulons, nous le voulons tous, sera le </w:t>
      </w:r>
      <w:r w:rsidR="00F52386" w:rsidRPr="00F52386">
        <w:rPr>
          <w:lang w:val="fr-FR"/>
        </w:rPr>
        <w:lastRenderedPageBreak/>
        <w:t xml:space="preserve">véritable moment où il sera vrai de dire que la liberté triomphe, et que la France est sauvée. </w:t>
      </w:r>
      <w:r w:rsidR="00F52386" w:rsidRPr="00364292">
        <w:t>(Applau</w:t>
      </w:r>
      <w:r w:rsidR="00D76ECA">
        <w:t>dissements unanimes et réitérés</w:t>
      </w:r>
      <w:r w:rsidR="00F52386" w:rsidRPr="00364292">
        <w:t>)</w:t>
      </w:r>
      <w:r w:rsidR="00D76ECA">
        <w:rPr>
          <w:rStyle w:val="Rimandonotaapidipagina"/>
        </w:rPr>
        <w:footnoteReference w:id="1"/>
      </w:r>
      <w:r w:rsidR="00D76ECA">
        <w:t>.</w:t>
      </w:r>
    </w:p>
    <w:p w14:paraId="3F9847D4" w14:textId="77777777" w:rsidR="005B3B21" w:rsidRPr="00364292" w:rsidRDefault="005B3B21" w:rsidP="0006381A">
      <w:pPr>
        <w:jc w:val="both"/>
      </w:pPr>
    </w:p>
    <w:p w14:paraId="50087146" w14:textId="77777777" w:rsidR="005B3B21" w:rsidRDefault="005B3B21" w:rsidP="0006381A">
      <w:pPr>
        <w:jc w:val="both"/>
        <w:rPr>
          <w:sz w:val="24"/>
          <w:szCs w:val="24"/>
        </w:rPr>
      </w:pPr>
      <w:r w:rsidRPr="005B3B21">
        <w:rPr>
          <w:sz w:val="24"/>
          <w:szCs w:val="24"/>
        </w:rPr>
        <w:t xml:space="preserve">L’intervento di Lamourette provoca un effetto sorprendente. </w:t>
      </w:r>
      <w:r>
        <w:rPr>
          <w:sz w:val="24"/>
          <w:szCs w:val="24"/>
        </w:rPr>
        <w:t>Per un momento le passioni sembrano tacere. I deputati applaudono, si baciano, si abbracciano e propongono di mandare una delegazione a Luigi XVI per comunicargli la ritrovata concordia e unità. Poi tutto tornerà come prima e si arriverà alla sanguinosa giornata del 10 agosto 1792, con l’invasione delle Tuileries e la caduta della monarchia.</w:t>
      </w:r>
    </w:p>
    <w:p w14:paraId="6EEE5B6D" w14:textId="77777777" w:rsidR="00307015" w:rsidRDefault="005077CF" w:rsidP="0006381A">
      <w:pPr>
        <w:jc w:val="both"/>
        <w:rPr>
          <w:sz w:val="24"/>
          <w:szCs w:val="24"/>
        </w:rPr>
      </w:pPr>
      <w:r>
        <w:rPr>
          <w:sz w:val="24"/>
          <w:szCs w:val="24"/>
        </w:rPr>
        <w:t>L’episodio del 7 luglio 1792 è conosciuto come</w:t>
      </w:r>
      <w:r w:rsidR="00D9774C">
        <w:rPr>
          <w:sz w:val="24"/>
          <w:szCs w:val="24"/>
        </w:rPr>
        <w:t xml:space="preserve"> </w:t>
      </w:r>
      <w:r w:rsidR="00D9774C" w:rsidRPr="00D9774C">
        <w:rPr>
          <w:sz w:val="24"/>
          <w:szCs w:val="24"/>
        </w:rPr>
        <w:t>«</w:t>
      </w:r>
      <w:r w:rsidR="00D9774C">
        <w:rPr>
          <w:sz w:val="24"/>
          <w:szCs w:val="24"/>
        </w:rPr>
        <w:t>il</w:t>
      </w:r>
      <w:r w:rsidRPr="00D9774C">
        <w:rPr>
          <w:sz w:val="24"/>
          <w:szCs w:val="24"/>
        </w:rPr>
        <w:t xml:space="preserve"> bacio di Lamourette</w:t>
      </w:r>
      <w:r w:rsidR="00D9774C" w:rsidRPr="00D9774C">
        <w:rPr>
          <w:sz w:val="24"/>
          <w:szCs w:val="24"/>
        </w:rPr>
        <w:t>»</w:t>
      </w:r>
      <w:r>
        <w:rPr>
          <w:sz w:val="24"/>
          <w:szCs w:val="24"/>
        </w:rPr>
        <w:t xml:space="preserve"> ed è stato</w:t>
      </w:r>
      <w:r w:rsidR="00D9774C">
        <w:rPr>
          <w:sz w:val="24"/>
          <w:szCs w:val="24"/>
        </w:rPr>
        <w:t xml:space="preserve"> portato all’attenzione degli specialisti e del grande pubblico da Robert Darnton.</w:t>
      </w:r>
      <w:r>
        <w:rPr>
          <w:sz w:val="24"/>
          <w:szCs w:val="24"/>
        </w:rPr>
        <w:t xml:space="preserve"> </w:t>
      </w:r>
      <w:r w:rsidR="00D9774C">
        <w:rPr>
          <w:sz w:val="24"/>
          <w:szCs w:val="24"/>
        </w:rPr>
        <w:t xml:space="preserve">Le interpretazioni storiografiche sono molto divergenti. Darnton vi vede un’incarnazione di quel </w:t>
      </w:r>
      <w:r w:rsidR="00D9774C" w:rsidRPr="00D9774C">
        <w:rPr>
          <w:sz w:val="24"/>
          <w:szCs w:val="24"/>
        </w:rPr>
        <w:t>«</w:t>
      </w:r>
      <w:r w:rsidR="00D9774C">
        <w:rPr>
          <w:sz w:val="24"/>
          <w:szCs w:val="24"/>
        </w:rPr>
        <w:t>possibilism</w:t>
      </w:r>
      <w:r w:rsidR="00D9774C" w:rsidRPr="00D9774C">
        <w:rPr>
          <w:sz w:val="24"/>
          <w:szCs w:val="24"/>
        </w:rPr>
        <w:t>»</w:t>
      </w:r>
      <w:r w:rsidR="00D0337F">
        <w:rPr>
          <w:sz w:val="24"/>
          <w:szCs w:val="24"/>
        </w:rPr>
        <w:t>,</w:t>
      </w:r>
      <w:r w:rsidR="00D9774C">
        <w:rPr>
          <w:sz w:val="24"/>
          <w:szCs w:val="24"/>
        </w:rPr>
        <w:t xml:space="preserve"> che a suo avviso è il tratto connotativo della rivoluzione francese</w:t>
      </w:r>
      <w:r w:rsidR="00E151D4">
        <w:rPr>
          <w:rStyle w:val="Rimandonotaapidipagina"/>
          <w:sz w:val="24"/>
          <w:szCs w:val="24"/>
        </w:rPr>
        <w:footnoteReference w:id="2"/>
      </w:r>
      <w:r w:rsidR="00D9774C">
        <w:rPr>
          <w:sz w:val="24"/>
          <w:szCs w:val="24"/>
        </w:rPr>
        <w:t>. Altri invece lo interpretano</w:t>
      </w:r>
      <w:r w:rsidR="00D0337F">
        <w:rPr>
          <w:sz w:val="24"/>
          <w:szCs w:val="24"/>
        </w:rPr>
        <w:t xml:space="preserve"> come una</w:t>
      </w:r>
      <w:r w:rsidR="00095F78">
        <w:rPr>
          <w:sz w:val="24"/>
          <w:szCs w:val="24"/>
        </w:rPr>
        <w:t xml:space="preserve"> mossa </w:t>
      </w:r>
      <w:r w:rsidR="00D0337F">
        <w:rPr>
          <w:sz w:val="24"/>
          <w:szCs w:val="24"/>
        </w:rPr>
        <w:t>tattica per</w:t>
      </w:r>
      <w:r w:rsidR="00E570E4">
        <w:rPr>
          <w:sz w:val="24"/>
          <w:szCs w:val="24"/>
        </w:rPr>
        <w:t xml:space="preserve"> salvaguardare</w:t>
      </w:r>
      <w:r w:rsidR="00D0337F">
        <w:rPr>
          <w:sz w:val="24"/>
          <w:szCs w:val="24"/>
        </w:rPr>
        <w:t xml:space="preserve"> </w:t>
      </w:r>
      <w:r w:rsidR="00D0337F" w:rsidRPr="00D0337F">
        <w:rPr>
          <w:i/>
          <w:sz w:val="24"/>
          <w:szCs w:val="24"/>
        </w:rPr>
        <w:t>in extremis</w:t>
      </w:r>
      <w:r w:rsidR="00E570E4">
        <w:rPr>
          <w:sz w:val="24"/>
          <w:szCs w:val="24"/>
        </w:rPr>
        <w:t xml:space="preserve"> la monarchia costituzionale e</w:t>
      </w:r>
      <w:r w:rsidR="00D0337F">
        <w:rPr>
          <w:sz w:val="24"/>
          <w:szCs w:val="24"/>
        </w:rPr>
        <w:t xml:space="preserve"> i fragili equilibri venutisi a creare tra religione cattolica e rivoluzione con la costituzione civile del clero del 12 luglio 1790</w:t>
      </w:r>
      <w:r w:rsidR="00395F41">
        <w:rPr>
          <w:rStyle w:val="Rimandonotaapidipagina"/>
          <w:sz w:val="24"/>
          <w:szCs w:val="24"/>
        </w:rPr>
        <w:footnoteReference w:id="3"/>
      </w:r>
      <w:r w:rsidR="00D0337F">
        <w:rPr>
          <w:sz w:val="24"/>
          <w:szCs w:val="24"/>
        </w:rPr>
        <w:t xml:space="preserve">. </w:t>
      </w:r>
      <w:r w:rsidR="00D9246B">
        <w:rPr>
          <w:sz w:val="24"/>
          <w:szCs w:val="24"/>
        </w:rPr>
        <w:t>Da parte sua Lamourette in interventi successivi, dopo aver aderito alla repubblica, proporrà una lettura ancora diversa: la sua iniziativa del 7 luglio 1792 aveva lo scopo di stanare i progetti controrivoluzionari della monarchia e di una parte dell’Assem</w:t>
      </w:r>
      <w:r w:rsidR="00307015">
        <w:rPr>
          <w:sz w:val="24"/>
          <w:szCs w:val="24"/>
        </w:rPr>
        <w:t>blea:</w:t>
      </w:r>
    </w:p>
    <w:p w14:paraId="49364C00" w14:textId="77777777" w:rsidR="00307015" w:rsidRPr="00307015" w:rsidRDefault="00307015" w:rsidP="00307015">
      <w:pPr>
        <w:jc w:val="both"/>
        <w:rPr>
          <w:lang w:val="fr-FR"/>
        </w:rPr>
      </w:pPr>
      <w:r w:rsidRPr="00307015">
        <w:rPr>
          <w:lang w:val="fr-FR"/>
        </w:rPr>
        <w:t xml:space="preserve">Venons à cette scène de réunion que j'ai provoquée, et qui‘ a si efficacement servi les vues de l’injustice qui  me poursuit. Mais, pour l’entendre, il faut remonter aune époque antérieure ; mais très-voisine de cet événement. Je pensois depuis long-temps en moi-même , que la constitution devenoit de; plus en plus dans les mains du roi et de ses agens pervers , un instrument de contre révolution , et que rien n'étoit plus absurde  et plus superstitieux en politique , que‘ de s’assujettir littéralement à une constitution lorsqu'un Etat est encore en pleine révolution .J'ai écrit mes idées sur cette matière, et je concluois à ce que le corps législatif, jusqu'après la clôture définitive de la' révolution , fermât le livre de la constitution, et ne consultait , dans ses déterminations , que la loi éternelle et suprême du Salut du peuple [….] Ce fut dans cette circonstance, qu'entre trois ou quatre, nous méditâmes un moyen de rendre saillante , et la perversité des hommes </w:t>
      </w:r>
      <w:r w:rsidRPr="00307015">
        <w:rPr>
          <w:lang w:val="fr-FR"/>
        </w:rPr>
        <w:lastRenderedPageBreak/>
        <w:t>corrompus par la cour, et la profonde perfidie de la cour elle-même […]Aussi, seroit-il infiniment aisé de démontrer que cette réunion est l'une des causes qui ont précipité la révolution du 10, et par conséquent assuré à jamais le triomphe de la liberté et de l’égalité dans l'Empire Français</w:t>
      </w:r>
      <w:r w:rsidR="002A0CCF">
        <w:rPr>
          <w:rStyle w:val="Rimandonotaapidipagina"/>
          <w:lang w:val="fr-FR"/>
        </w:rPr>
        <w:footnoteReference w:id="4"/>
      </w:r>
      <w:r w:rsidRPr="00307015">
        <w:rPr>
          <w:lang w:val="fr-FR"/>
        </w:rPr>
        <w:t xml:space="preserve">. </w:t>
      </w:r>
    </w:p>
    <w:p w14:paraId="430E68F4" w14:textId="77777777" w:rsidR="00307015" w:rsidRPr="00307015" w:rsidRDefault="00307015" w:rsidP="0006381A">
      <w:pPr>
        <w:jc w:val="both"/>
        <w:rPr>
          <w:sz w:val="24"/>
          <w:szCs w:val="24"/>
          <w:lang w:val="fr-FR"/>
        </w:rPr>
      </w:pPr>
    </w:p>
    <w:p w14:paraId="1ADD2106" w14:textId="77777777" w:rsidR="00307015" w:rsidRPr="00307015" w:rsidRDefault="00307015" w:rsidP="0006381A">
      <w:pPr>
        <w:jc w:val="both"/>
        <w:rPr>
          <w:sz w:val="24"/>
          <w:szCs w:val="24"/>
          <w:lang w:val="fr-FR"/>
        </w:rPr>
      </w:pPr>
    </w:p>
    <w:p w14:paraId="3215D8A1" w14:textId="21FE3D3A" w:rsidR="00836E62" w:rsidRPr="00836E62" w:rsidRDefault="000C7768" w:rsidP="00836E62">
      <w:pPr>
        <w:jc w:val="both"/>
        <w:rPr>
          <w:rFonts w:ascii="Calibri" w:eastAsia="Calibri" w:hAnsi="Calibri" w:cs="Times New Roman"/>
          <w:sz w:val="24"/>
          <w:szCs w:val="24"/>
        </w:rPr>
      </w:pPr>
      <w:r>
        <w:rPr>
          <w:sz w:val="24"/>
          <w:szCs w:val="24"/>
        </w:rPr>
        <w:t>Quali fossero le reali intenzioni di Lamourette è questione complessa, così come</w:t>
      </w:r>
      <w:r w:rsidR="00316988">
        <w:rPr>
          <w:sz w:val="24"/>
          <w:szCs w:val="24"/>
        </w:rPr>
        <w:t xml:space="preserve"> intrigante e</w:t>
      </w:r>
      <w:r>
        <w:rPr>
          <w:sz w:val="24"/>
          <w:szCs w:val="24"/>
        </w:rPr>
        <w:t xml:space="preserve"> complessa è la figura di questo importante esponente dell’illuminismo cattolico</w:t>
      </w:r>
      <w:r w:rsidR="008E1375">
        <w:rPr>
          <w:rStyle w:val="Rimandonotaapidipagina"/>
          <w:sz w:val="24"/>
          <w:szCs w:val="24"/>
        </w:rPr>
        <w:footnoteReference w:id="5"/>
      </w:r>
      <w:r>
        <w:rPr>
          <w:sz w:val="24"/>
          <w:szCs w:val="24"/>
        </w:rPr>
        <w:t>,</w:t>
      </w:r>
      <w:r w:rsidR="00316988">
        <w:rPr>
          <w:sz w:val="24"/>
          <w:szCs w:val="24"/>
        </w:rPr>
        <w:t xml:space="preserve"> impegnato per una profonda riforma della Chiesa prima della rivoluzione,</w:t>
      </w:r>
      <w:r w:rsidR="00836E62">
        <w:rPr>
          <w:sz w:val="24"/>
          <w:szCs w:val="24"/>
        </w:rPr>
        <w:t xml:space="preserve"> </w:t>
      </w:r>
      <w:r w:rsidR="00316988">
        <w:rPr>
          <w:sz w:val="24"/>
          <w:szCs w:val="24"/>
        </w:rPr>
        <w:t>collaboratore di Mirabeau</w:t>
      </w:r>
      <w:r w:rsidR="001704EF">
        <w:rPr>
          <w:rStyle w:val="Rimandonotaapidipagina"/>
          <w:sz w:val="24"/>
          <w:szCs w:val="24"/>
        </w:rPr>
        <w:footnoteReference w:id="6"/>
      </w:r>
      <w:r w:rsidR="00316988">
        <w:rPr>
          <w:sz w:val="24"/>
          <w:szCs w:val="24"/>
        </w:rPr>
        <w:t>, successivamente schierato su posizioni girondine, animatore della rivolta di Lione</w:t>
      </w:r>
      <w:r w:rsidR="00B118B4">
        <w:rPr>
          <w:sz w:val="24"/>
          <w:szCs w:val="24"/>
        </w:rPr>
        <w:t>, arrestato nel settembre del 1793 e mandato a morte dal Tribunale rivoluzionario di Parigi l’11 gennaio 1794</w:t>
      </w:r>
      <w:r w:rsidR="002C34CC">
        <w:rPr>
          <w:rStyle w:val="Rimandonotaapidipagina"/>
          <w:sz w:val="24"/>
          <w:szCs w:val="24"/>
        </w:rPr>
        <w:footnoteReference w:id="7"/>
      </w:r>
      <w:r w:rsidR="00B118B4">
        <w:rPr>
          <w:sz w:val="24"/>
          <w:szCs w:val="24"/>
        </w:rPr>
        <w:t xml:space="preserve">. </w:t>
      </w:r>
      <w:r w:rsidR="00836E62" w:rsidRPr="00836E62">
        <w:rPr>
          <w:rFonts w:ascii="Calibri" w:eastAsia="Calibri" w:hAnsi="Calibri" w:cs="Times New Roman"/>
          <w:sz w:val="24"/>
          <w:szCs w:val="24"/>
        </w:rPr>
        <w:t>Lamourette, tra l’altro, è considerato l’inventore del sintagma «démocratie chrétienne». Il dato è provvisorio, perché l’ampliamento della digitalizzazione delle fonti della rivoluzione francese potrebbe riservarci delle sorprese e modificare la datazione lessicografica. Allo stato attuale della documentazione comunque Lamourette sembra essere stato il primo a usare la formula. Lo fa all’Assemblea Legislativa il 21 novembre 1791, nell’ambito di in un intervento di critica al progetto di legge di togliere la qualifica di funzionari pubblici ai preti costituzionali:</w:t>
      </w:r>
    </w:p>
    <w:p w14:paraId="0B2456D5" w14:textId="46F27B4B" w:rsidR="00836E62" w:rsidRPr="007F0668" w:rsidRDefault="00836E62" w:rsidP="00836E62">
      <w:pPr>
        <w:jc w:val="both"/>
        <w:rPr>
          <w:rFonts w:ascii="Calibri" w:eastAsia="Calibri" w:hAnsi="Calibri" w:cs="Times New Roman"/>
          <w:lang w:val="fr-FR"/>
        </w:rPr>
      </w:pPr>
      <w:r w:rsidRPr="007F0668">
        <w:rPr>
          <w:rFonts w:ascii="Calibri" w:eastAsia="Calibri" w:hAnsi="Calibri" w:cs="Times New Roman"/>
          <w:lang w:val="fr-FR"/>
        </w:rPr>
        <w:t xml:space="preserve">Ce qui exposera un grand nombre de philosophes de cette Assemblée à l'injustice de proposer des dispositions irréfléchies sur le ministère ecclésiastique, c'est qu'ils confondent la religion de la théologie, qui est l'œuvre de l'aristocratie, avec la religion de l'évangile, qui est encore plus démocratique que la Constitution même des Français (Applaudissements), puisqu'elle joint à l’inestimable avantage d'établir les lois de l'égalité, la vertu de les faire aimer et observer, et qu'il n'y a qu'elle qui sache vaincre les tyrans jusque dans le cœur. Il ne serait pas difficile, Messieurs, de prouver par de bons monuments que c'est aux idées et aux maximes de ce grand et profondément politique système, appelé «l’Evangile», que le genre humain est redevable du premier réveil de la raison, sur l'horreur de voir tout un univers à la discrétion d'une poignée de licteurs appelés « Rois ». Je me chargerais bien de démontrer très péremptoirement que c'est là une vérité qui peut défier toutes les réclamations de la plus inexorable critique ; et que, par conséquent, cette Constitution, dont vous attendez le bonheur de cet Empire, et celui de toutes les nations, descend, en dernière analyse, de cette riche et étonnante philosophie qui, au milieu de l'esclavage du monde entier, vint avertir les hommes de leur abrutissement et de leur opprobre, et insinuer dans l'âme des dieux de la terre </w:t>
      </w:r>
      <w:r w:rsidRPr="007F0668">
        <w:rPr>
          <w:rFonts w:ascii="Calibri" w:eastAsia="Calibri" w:hAnsi="Calibri" w:cs="Times New Roman"/>
          <w:lang w:val="fr-FR"/>
        </w:rPr>
        <w:lastRenderedPageBreak/>
        <w:t>les premiers soupçons de leur unité avec le reste des mortels. (Applaudissements ) Séparez donc, Messieurs, je le veux et le désire autant que vous ; séparez la Constitution de la théologie qui date de Constantin, c'est-à-dire de l'époque ou Rome, vaincue par l'impossibilité d'étouffer les principes lumineux de la démocratie chrétienne, a fait sa paix avec l'évangile, afin de « l'aristocratiser » et de travestir le sage de Nazareth, cet ami vrai du peuple, en une divinité protectrice des ravisseurs du monde, et ouvrit d'éternels abîmes sous les pas de quiconque songerait à briser les fers de sa servitude</w:t>
      </w:r>
      <w:r>
        <w:rPr>
          <w:rStyle w:val="Rimandonotaapidipagina"/>
          <w:rFonts w:ascii="Calibri" w:eastAsia="Calibri" w:hAnsi="Calibri" w:cs="Times New Roman"/>
        </w:rPr>
        <w:footnoteReference w:id="8"/>
      </w:r>
      <w:r w:rsidRPr="007F0668">
        <w:rPr>
          <w:rFonts w:ascii="Calibri" w:eastAsia="Calibri" w:hAnsi="Calibri" w:cs="Times New Roman"/>
          <w:lang w:val="fr-FR"/>
        </w:rPr>
        <w:t xml:space="preserve">. </w:t>
      </w:r>
    </w:p>
    <w:p w14:paraId="236AD4CD" w14:textId="77777777" w:rsidR="00836E62" w:rsidRPr="007F0668" w:rsidRDefault="00836E62" w:rsidP="0006381A">
      <w:pPr>
        <w:jc w:val="both"/>
        <w:rPr>
          <w:sz w:val="24"/>
          <w:szCs w:val="24"/>
          <w:lang w:val="fr-FR"/>
        </w:rPr>
      </w:pPr>
    </w:p>
    <w:p w14:paraId="02102A90" w14:textId="099F96E6" w:rsidR="00AE199D" w:rsidRDefault="00316988" w:rsidP="0006381A">
      <w:pPr>
        <w:jc w:val="both"/>
        <w:rPr>
          <w:sz w:val="24"/>
          <w:szCs w:val="24"/>
        </w:rPr>
      </w:pPr>
      <w:r>
        <w:rPr>
          <w:sz w:val="24"/>
          <w:szCs w:val="24"/>
        </w:rPr>
        <w:t>In questa sede</w:t>
      </w:r>
      <w:r w:rsidR="00B118B4">
        <w:rPr>
          <w:sz w:val="24"/>
          <w:szCs w:val="24"/>
        </w:rPr>
        <w:t xml:space="preserve"> lascerò fuori la discussione sulle reali intenzioni di Lamourette</w:t>
      </w:r>
      <w:r w:rsidR="00D10DBC">
        <w:rPr>
          <w:sz w:val="24"/>
          <w:szCs w:val="24"/>
        </w:rPr>
        <w:t xml:space="preserve"> il </w:t>
      </w:r>
      <w:r w:rsidR="00B118B4">
        <w:rPr>
          <w:sz w:val="24"/>
          <w:szCs w:val="24"/>
        </w:rPr>
        <w:t>7 luglio 1792. Esprimere giudizi al riguardo implicherebbe</w:t>
      </w:r>
      <w:r w:rsidR="00D10DBC">
        <w:rPr>
          <w:sz w:val="24"/>
          <w:szCs w:val="24"/>
        </w:rPr>
        <w:t xml:space="preserve"> una a</w:t>
      </w:r>
      <w:r w:rsidR="003D477C">
        <w:rPr>
          <w:sz w:val="24"/>
          <w:szCs w:val="24"/>
        </w:rPr>
        <w:t>nalisi articolata, che esula</w:t>
      </w:r>
      <w:r w:rsidR="00C66932">
        <w:rPr>
          <w:sz w:val="24"/>
          <w:szCs w:val="24"/>
        </w:rPr>
        <w:t xml:space="preserve"> dai limiti che mi sono imposto per </w:t>
      </w:r>
      <w:r w:rsidR="00D10DBC">
        <w:rPr>
          <w:sz w:val="24"/>
          <w:szCs w:val="24"/>
        </w:rPr>
        <w:t>questo mio breve intervento</w:t>
      </w:r>
      <w:r w:rsidR="005C6549">
        <w:rPr>
          <w:rStyle w:val="Rimandonotaapidipagina"/>
          <w:sz w:val="24"/>
          <w:szCs w:val="24"/>
        </w:rPr>
        <w:footnoteReference w:id="9"/>
      </w:r>
      <w:r w:rsidR="00D10DBC">
        <w:rPr>
          <w:sz w:val="24"/>
          <w:szCs w:val="24"/>
        </w:rPr>
        <w:t>.</w:t>
      </w:r>
      <w:r w:rsidR="00B118B4">
        <w:rPr>
          <w:sz w:val="24"/>
          <w:szCs w:val="24"/>
        </w:rPr>
        <w:t xml:space="preserve"> </w:t>
      </w:r>
      <w:r w:rsidR="00D10DBC">
        <w:rPr>
          <w:sz w:val="24"/>
          <w:szCs w:val="24"/>
        </w:rPr>
        <w:t>Mi interessa invece evidenziare l</w:t>
      </w:r>
      <w:r w:rsidR="00C57978">
        <w:rPr>
          <w:sz w:val="24"/>
          <w:szCs w:val="24"/>
        </w:rPr>
        <w:t>a latitudine</w:t>
      </w:r>
      <w:r w:rsidR="00D10DBC">
        <w:rPr>
          <w:sz w:val="24"/>
          <w:szCs w:val="24"/>
        </w:rPr>
        <w:t xml:space="preserve"> della parola </w:t>
      </w:r>
      <w:r w:rsidR="00D10DBC" w:rsidRPr="00D10DBC">
        <w:rPr>
          <w:sz w:val="24"/>
          <w:szCs w:val="24"/>
        </w:rPr>
        <w:t>«</w:t>
      </w:r>
      <w:r w:rsidR="00D10DBC">
        <w:rPr>
          <w:sz w:val="24"/>
          <w:szCs w:val="24"/>
        </w:rPr>
        <w:t>fraternité</w:t>
      </w:r>
      <w:r w:rsidR="00D10DBC" w:rsidRPr="00D10DBC">
        <w:rPr>
          <w:sz w:val="24"/>
          <w:szCs w:val="24"/>
        </w:rPr>
        <w:t>»</w:t>
      </w:r>
      <w:r w:rsidR="00C57978">
        <w:rPr>
          <w:sz w:val="24"/>
          <w:szCs w:val="24"/>
        </w:rPr>
        <w:t xml:space="preserve"> nell’episodio del «bacio di Lamourette</w:t>
      </w:r>
      <w:r w:rsidR="00C57978" w:rsidRPr="00C57978">
        <w:rPr>
          <w:sz w:val="24"/>
          <w:szCs w:val="24"/>
        </w:rPr>
        <w:t>»</w:t>
      </w:r>
      <w:r w:rsidR="00C57978">
        <w:rPr>
          <w:sz w:val="24"/>
          <w:szCs w:val="24"/>
        </w:rPr>
        <w:t xml:space="preserve">. La </w:t>
      </w:r>
      <w:r w:rsidR="00C57978" w:rsidRPr="00C57978">
        <w:rPr>
          <w:sz w:val="24"/>
          <w:szCs w:val="24"/>
        </w:rPr>
        <w:t>«fraternité»</w:t>
      </w:r>
      <w:r w:rsidR="00C57978">
        <w:rPr>
          <w:sz w:val="24"/>
          <w:szCs w:val="24"/>
        </w:rPr>
        <w:t xml:space="preserve"> evocata</w:t>
      </w:r>
      <w:r w:rsidR="00D10DBC">
        <w:rPr>
          <w:sz w:val="24"/>
          <w:szCs w:val="24"/>
        </w:rPr>
        <w:t xml:space="preserve"> </w:t>
      </w:r>
      <w:r w:rsidR="00C57978">
        <w:rPr>
          <w:sz w:val="24"/>
          <w:szCs w:val="24"/>
        </w:rPr>
        <w:t>il 7 luglio 179</w:t>
      </w:r>
      <w:r w:rsidR="00202FF0">
        <w:rPr>
          <w:sz w:val="24"/>
          <w:szCs w:val="24"/>
        </w:rPr>
        <w:t>2 è una fraternità</w:t>
      </w:r>
      <w:r w:rsidR="00C57978">
        <w:rPr>
          <w:sz w:val="24"/>
          <w:szCs w:val="24"/>
        </w:rPr>
        <w:t xml:space="preserve"> inclusiva</w:t>
      </w:r>
      <w:r w:rsidR="00202FF0">
        <w:rPr>
          <w:rStyle w:val="Rimandonotaapidipagina"/>
          <w:sz w:val="24"/>
          <w:szCs w:val="24"/>
        </w:rPr>
        <w:footnoteReference w:id="10"/>
      </w:r>
      <w:r w:rsidR="00C57978">
        <w:rPr>
          <w:sz w:val="24"/>
          <w:szCs w:val="24"/>
        </w:rPr>
        <w:t>,</w:t>
      </w:r>
      <w:r w:rsidR="007F0668">
        <w:rPr>
          <w:sz w:val="24"/>
          <w:szCs w:val="24"/>
        </w:rPr>
        <w:t xml:space="preserve"> ampia e accogliente. Essa però</w:t>
      </w:r>
      <w:r w:rsidR="00121D4D">
        <w:rPr>
          <w:sz w:val="24"/>
          <w:szCs w:val="24"/>
        </w:rPr>
        <w:t xml:space="preserve"> non</w:t>
      </w:r>
      <w:r w:rsidR="00C57978">
        <w:rPr>
          <w:sz w:val="24"/>
          <w:szCs w:val="24"/>
        </w:rPr>
        <w:t xml:space="preserve"> </w:t>
      </w:r>
      <w:r w:rsidR="007F0668">
        <w:rPr>
          <w:sz w:val="24"/>
          <w:szCs w:val="24"/>
        </w:rPr>
        <w:t xml:space="preserve">è aperta </w:t>
      </w:r>
      <w:r w:rsidR="00C57978">
        <w:rPr>
          <w:sz w:val="24"/>
          <w:szCs w:val="24"/>
        </w:rPr>
        <w:t>a tutti gli uomini in quanto uomini</w:t>
      </w:r>
      <w:r w:rsidR="007F0668">
        <w:rPr>
          <w:sz w:val="24"/>
          <w:szCs w:val="24"/>
        </w:rPr>
        <w:t>. E neanche a tutti i francesi. R</w:t>
      </w:r>
      <w:r w:rsidR="00121D4D" w:rsidRPr="001769F4">
        <w:rPr>
          <w:sz w:val="24"/>
          <w:szCs w:val="24"/>
        </w:rPr>
        <w:t>iguarda</w:t>
      </w:r>
      <w:r w:rsidR="007F0668">
        <w:rPr>
          <w:sz w:val="24"/>
          <w:szCs w:val="24"/>
        </w:rPr>
        <w:t xml:space="preserve"> solo ed esclusivamente</w:t>
      </w:r>
      <w:r w:rsidR="001769F4" w:rsidRPr="001769F4">
        <w:rPr>
          <w:sz w:val="24"/>
          <w:szCs w:val="24"/>
        </w:rPr>
        <w:t xml:space="preserve"> i sostenitori della rivoluzione.</w:t>
      </w:r>
      <w:r w:rsidR="001769F4">
        <w:rPr>
          <w:sz w:val="24"/>
          <w:szCs w:val="24"/>
        </w:rPr>
        <w:t xml:space="preserve"> </w:t>
      </w:r>
      <w:r w:rsidR="00DA03D9" w:rsidRPr="00CF28F6">
        <w:rPr>
          <w:sz w:val="24"/>
          <w:szCs w:val="24"/>
        </w:rPr>
        <w:t>Include «</w:t>
      </w:r>
      <w:r w:rsidR="00121D4D" w:rsidRPr="00CF28F6">
        <w:rPr>
          <w:sz w:val="24"/>
          <w:szCs w:val="24"/>
        </w:rPr>
        <w:t>les gens de bien»</w:t>
      </w:r>
      <w:r w:rsidR="001769F4" w:rsidRPr="00CF28F6">
        <w:rPr>
          <w:sz w:val="24"/>
          <w:szCs w:val="24"/>
        </w:rPr>
        <w:t xml:space="preserve"> ed esclude</w:t>
      </w:r>
      <w:r w:rsidR="00121D4D" w:rsidRPr="00CF28F6">
        <w:rPr>
          <w:sz w:val="24"/>
          <w:szCs w:val="24"/>
        </w:rPr>
        <w:t xml:space="preserve"> «l'homme méchant».</w:t>
      </w:r>
      <w:r w:rsidR="00DA03D9" w:rsidRPr="00CF28F6">
        <w:rPr>
          <w:sz w:val="24"/>
          <w:szCs w:val="24"/>
        </w:rPr>
        <w:t xml:space="preserve"> </w:t>
      </w:r>
      <w:r w:rsidR="00CF28F6">
        <w:rPr>
          <w:sz w:val="24"/>
          <w:szCs w:val="24"/>
        </w:rPr>
        <w:t>I suoi confini</w:t>
      </w:r>
      <w:r w:rsidR="00DA03D9">
        <w:rPr>
          <w:sz w:val="24"/>
          <w:szCs w:val="24"/>
        </w:rPr>
        <w:t xml:space="preserve"> si muovono nell’ambito della </w:t>
      </w:r>
      <w:r w:rsidR="001769F4">
        <w:rPr>
          <w:sz w:val="24"/>
          <w:szCs w:val="24"/>
        </w:rPr>
        <w:t xml:space="preserve">contrapposizione </w:t>
      </w:r>
      <w:r w:rsidR="001769F4" w:rsidRPr="001769F4">
        <w:rPr>
          <w:sz w:val="24"/>
          <w:szCs w:val="24"/>
        </w:rPr>
        <w:t>«</w:t>
      </w:r>
      <w:r w:rsidR="00DA03D9">
        <w:rPr>
          <w:sz w:val="24"/>
          <w:szCs w:val="24"/>
        </w:rPr>
        <w:t>vice</w:t>
      </w:r>
      <w:r w:rsidR="00DA03D9" w:rsidRPr="001769F4">
        <w:rPr>
          <w:sz w:val="24"/>
          <w:szCs w:val="24"/>
        </w:rPr>
        <w:t>»</w:t>
      </w:r>
      <w:r w:rsidR="00DA03D9">
        <w:rPr>
          <w:sz w:val="24"/>
          <w:szCs w:val="24"/>
        </w:rPr>
        <w:t xml:space="preserve"> /</w:t>
      </w:r>
      <w:r w:rsidR="00DA03D9" w:rsidRPr="001769F4">
        <w:rPr>
          <w:sz w:val="24"/>
          <w:szCs w:val="24"/>
        </w:rPr>
        <w:t xml:space="preserve"> «</w:t>
      </w:r>
      <w:r w:rsidR="001769F4">
        <w:rPr>
          <w:sz w:val="24"/>
          <w:szCs w:val="24"/>
        </w:rPr>
        <w:t>vertu</w:t>
      </w:r>
      <w:r w:rsidR="001769F4" w:rsidRPr="001769F4">
        <w:rPr>
          <w:sz w:val="24"/>
          <w:szCs w:val="24"/>
        </w:rPr>
        <w:t>»</w:t>
      </w:r>
      <w:r w:rsidR="00DA03D9">
        <w:rPr>
          <w:sz w:val="24"/>
          <w:szCs w:val="24"/>
        </w:rPr>
        <w:t>, che è un caposaldo della retorica rivoluzionaria, in tutte le sue componenti</w:t>
      </w:r>
      <w:r w:rsidR="003E3292">
        <w:rPr>
          <w:rStyle w:val="Rimandonotaapidipagina"/>
          <w:sz w:val="24"/>
          <w:szCs w:val="24"/>
        </w:rPr>
        <w:footnoteReference w:id="11"/>
      </w:r>
      <w:r w:rsidR="007F0668">
        <w:rPr>
          <w:sz w:val="24"/>
          <w:szCs w:val="24"/>
        </w:rPr>
        <w:t>. In definitiva l’episodio</w:t>
      </w:r>
      <w:r w:rsidR="00DA03D9">
        <w:rPr>
          <w:sz w:val="24"/>
          <w:szCs w:val="24"/>
        </w:rPr>
        <w:t xml:space="preserve"> del </w:t>
      </w:r>
      <w:r w:rsidR="00DA03D9" w:rsidRPr="00DA03D9">
        <w:rPr>
          <w:sz w:val="24"/>
          <w:szCs w:val="24"/>
        </w:rPr>
        <w:t>«bacio di Lamourette»</w:t>
      </w:r>
      <w:r w:rsidR="00DA03D9">
        <w:rPr>
          <w:sz w:val="24"/>
          <w:szCs w:val="24"/>
        </w:rPr>
        <w:t xml:space="preserve"> </w:t>
      </w:r>
      <w:r w:rsidR="0082082F">
        <w:rPr>
          <w:sz w:val="24"/>
          <w:szCs w:val="24"/>
        </w:rPr>
        <w:t>evidenzia la</w:t>
      </w:r>
      <w:r w:rsidR="00CF28F6">
        <w:rPr>
          <w:sz w:val="24"/>
          <w:szCs w:val="24"/>
        </w:rPr>
        <w:t xml:space="preserve"> p</w:t>
      </w:r>
      <w:r w:rsidR="0098054E">
        <w:rPr>
          <w:sz w:val="24"/>
          <w:szCs w:val="24"/>
        </w:rPr>
        <w:t>oliticizzazione della</w:t>
      </w:r>
      <w:r w:rsidR="00CF28F6">
        <w:rPr>
          <w:sz w:val="24"/>
          <w:szCs w:val="24"/>
        </w:rPr>
        <w:t xml:space="preserve"> </w:t>
      </w:r>
      <w:r w:rsidR="00CF28F6" w:rsidRPr="00CF28F6">
        <w:rPr>
          <w:sz w:val="24"/>
          <w:szCs w:val="24"/>
        </w:rPr>
        <w:t>«fraternité»</w:t>
      </w:r>
      <w:r w:rsidR="00CF28F6">
        <w:rPr>
          <w:sz w:val="24"/>
          <w:szCs w:val="24"/>
        </w:rPr>
        <w:t xml:space="preserve"> nel periodo rivoluzionario</w:t>
      </w:r>
      <w:r w:rsidR="005F0D90">
        <w:rPr>
          <w:rStyle w:val="Rimandonotaapidipagina"/>
          <w:sz w:val="24"/>
          <w:szCs w:val="24"/>
        </w:rPr>
        <w:footnoteReference w:id="12"/>
      </w:r>
      <w:r w:rsidR="00CF28F6">
        <w:rPr>
          <w:sz w:val="24"/>
          <w:szCs w:val="24"/>
        </w:rPr>
        <w:t>, aspetto richiamato più volte dalla letteratura storiografica</w:t>
      </w:r>
      <w:r w:rsidR="00B87111">
        <w:rPr>
          <w:rStyle w:val="Rimandonotaapidipagina"/>
          <w:sz w:val="24"/>
          <w:szCs w:val="24"/>
        </w:rPr>
        <w:footnoteReference w:id="13"/>
      </w:r>
      <w:r w:rsidR="0082082F">
        <w:rPr>
          <w:sz w:val="24"/>
          <w:szCs w:val="24"/>
        </w:rPr>
        <w:t>, ma</w:t>
      </w:r>
      <w:r w:rsidR="00840AAE">
        <w:rPr>
          <w:sz w:val="24"/>
          <w:szCs w:val="24"/>
        </w:rPr>
        <w:t xml:space="preserve"> evidenzia</w:t>
      </w:r>
      <w:r w:rsidR="0082082F">
        <w:rPr>
          <w:sz w:val="24"/>
          <w:szCs w:val="24"/>
        </w:rPr>
        <w:t xml:space="preserve"> soprattutto</w:t>
      </w:r>
      <w:r w:rsidR="0098054E">
        <w:rPr>
          <w:sz w:val="24"/>
          <w:szCs w:val="24"/>
        </w:rPr>
        <w:t xml:space="preserve"> – proprio in un discorso apparentemente </w:t>
      </w:r>
      <w:r w:rsidR="0000247C">
        <w:rPr>
          <w:sz w:val="24"/>
          <w:szCs w:val="24"/>
        </w:rPr>
        <w:t xml:space="preserve">e forse anche </w:t>
      </w:r>
      <w:r w:rsidR="0000247C">
        <w:rPr>
          <w:sz w:val="24"/>
          <w:szCs w:val="24"/>
        </w:rPr>
        <w:lastRenderedPageBreak/>
        <w:t xml:space="preserve">nelle intenzioni </w:t>
      </w:r>
      <w:r w:rsidR="0098054E">
        <w:rPr>
          <w:sz w:val="24"/>
          <w:szCs w:val="24"/>
        </w:rPr>
        <w:t xml:space="preserve">aperto ed inclusivo </w:t>
      </w:r>
      <w:r w:rsidR="0000247C">
        <w:rPr>
          <w:sz w:val="24"/>
          <w:szCs w:val="24"/>
        </w:rPr>
        <w:t>– l’emergere di</w:t>
      </w:r>
      <w:r w:rsidR="0082082F">
        <w:rPr>
          <w:sz w:val="24"/>
          <w:szCs w:val="24"/>
        </w:rPr>
        <w:t xml:space="preserve"> un versante</w:t>
      </w:r>
      <w:r w:rsidR="00E9160C">
        <w:rPr>
          <w:sz w:val="24"/>
          <w:szCs w:val="24"/>
        </w:rPr>
        <w:t xml:space="preserve"> escludente e</w:t>
      </w:r>
      <w:r w:rsidR="00CF28F6">
        <w:rPr>
          <w:sz w:val="24"/>
          <w:szCs w:val="24"/>
        </w:rPr>
        <w:t xml:space="preserve"> </w:t>
      </w:r>
      <w:r w:rsidR="0082082F">
        <w:rPr>
          <w:sz w:val="24"/>
          <w:szCs w:val="24"/>
        </w:rPr>
        <w:t>identitario</w:t>
      </w:r>
      <w:r w:rsidR="0000247C">
        <w:rPr>
          <w:sz w:val="24"/>
          <w:szCs w:val="24"/>
        </w:rPr>
        <w:t xml:space="preserve"> nella nozione di </w:t>
      </w:r>
      <w:r w:rsidR="0000247C" w:rsidRPr="0000247C">
        <w:rPr>
          <w:sz w:val="24"/>
          <w:szCs w:val="24"/>
        </w:rPr>
        <w:t>«fraternité»</w:t>
      </w:r>
      <w:r w:rsidR="0000247C">
        <w:rPr>
          <w:sz w:val="24"/>
          <w:szCs w:val="24"/>
        </w:rPr>
        <w:t>,</w:t>
      </w:r>
      <w:r w:rsidR="006310FD">
        <w:rPr>
          <w:sz w:val="24"/>
          <w:szCs w:val="24"/>
        </w:rPr>
        <w:t xml:space="preserve"> </w:t>
      </w:r>
      <w:r w:rsidR="00AE199D" w:rsidRPr="00AE199D">
        <w:rPr>
          <w:sz w:val="24"/>
          <w:szCs w:val="24"/>
        </w:rPr>
        <w:t xml:space="preserve">in stridente discontinuità con le posizioni espresse precedentemente – nel solco della tradizione cristiana e cattolica -  dallo stesso Lamourette </w:t>
      </w:r>
      <w:r w:rsidR="00AE199D">
        <w:rPr>
          <w:sz w:val="24"/>
          <w:szCs w:val="24"/>
        </w:rPr>
        <w:t xml:space="preserve">e </w:t>
      </w:r>
      <w:r w:rsidR="006310FD">
        <w:rPr>
          <w:sz w:val="24"/>
          <w:szCs w:val="24"/>
        </w:rPr>
        <w:t>in aperto contrasto</w:t>
      </w:r>
      <w:r w:rsidR="0000247C">
        <w:rPr>
          <w:sz w:val="24"/>
          <w:szCs w:val="24"/>
        </w:rPr>
        <w:t xml:space="preserve"> </w:t>
      </w:r>
      <w:r w:rsidR="00CF28F6">
        <w:rPr>
          <w:sz w:val="24"/>
          <w:szCs w:val="24"/>
        </w:rPr>
        <w:t>con l’impostazione universalistica di alcune formulazioni dell’Illuminismo e delle prime fasi della rivoluzione</w:t>
      </w:r>
      <w:r w:rsidR="009429A9">
        <w:rPr>
          <w:rStyle w:val="Rimandonotaapidipagina"/>
          <w:sz w:val="24"/>
          <w:szCs w:val="24"/>
        </w:rPr>
        <w:footnoteReference w:id="14"/>
      </w:r>
      <w:r w:rsidR="00AE199D">
        <w:rPr>
          <w:sz w:val="24"/>
          <w:szCs w:val="24"/>
        </w:rPr>
        <w:t>.</w:t>
      </w:r>
    </w:p>
    <w:p w14:paraId="5DA1332B" w14:textId="237A767C" w:rsidR="00C23783" w:rsidRDefault="009C0076" w:rsidP="0006381A">
      <w:pPr>
        <w:jc w:val="both"/>
        <w:rPr>
          <w:sz w:val="24"/>
          <w:szCs w:val="24"/>
        </w:rPr>
      </w:pPr>
      <w:r>
        <w:rPr>
          <w:sz w:val="24"/>
          <w:szCs w:val="24"/>
        </w:rPr>
        <w:t xml:space="preserve"> Non ci sono molti riferimenti alla </w:t>
      </w:r>
      <w:r w:rsidRPr="009C0076">
        <w:rPr>
          <w:sz w:val="24"/>
          <w:szCs w:val="24"/>
        </w:rPr>
        <w:t xml:space="preserve">«fraternité» </w:t>
      </w:r>
      <w:r w:rsidR="00646CC9">
        <w:rPr>
          <w:sz w:val="24"/>
          <w:szCs w:val="24"/>
        </w:rPr>
        <w:t>negli scritti di Lamourette precedenti</w:t>
      </w:r>
      <w:r>
        <w:rPr>
          <w:sz w:val="24"/>
          <w:szCs w:val="24"/>
        </w:rPr>
        <w:t xml:space="preserve"> alla rivoluzione.</w:t>
      </w:r>
      <w:r w:rsidR="00646CC9">
        <w:rPr>
          <w:sz w:val="24"/>
          <w:szCs w:val="24"/>
        </w:rPr>
        <w:t xml:space="preserve"> La sua apologetica cristiana fa leva su altre strategie discorsive, rivisitando e valorizzando</w:t>
      </w:r>
      <w:r w:rsidR="008D2C28">
        <w:rPr>
          <w:sz w:val="24"/>
          <w:szCs w:val="24"/>
        </w:rPr>
        <w:t xml:space="preserve"> – sia prima che durante la rivoluzione -</w:t>
      </w:r>
      <w:r w:rsidR="00646CC9">
        <w:rPr>
          <w:sz w:val="24"/>
          <w:szCs w:val="24"/>
        </w:rPr>
        <w:t xml:space="preserve"> in particolare l’idea di felicità</w:t>
      </w:r>
      <w:r w:rsidR="00560413">
        <w:rPr>
          <w:rStyle w:val="Rimandonotaapidipagina"/>
          <w:sz w:val="24"/>
          <w:szCs w:val="24"/>
        </w:rPr>
        <w:footnoteReference w:id="15"/>
      </w:r>
      <w:r w:rsidR="00646CC9">
        <w:rPr>
          <w:sz w:val="24"/>
          <w:szCs w:val="24"/>
        </w:rPr>
        <w:t xml:space="preserve">. </w:t>
      </w:r>
      <w:r w:rsidR="00221A93" w:rsidRPr="00221A93">
        <w:rPr>
          <w:sz w:val="24"/>
          <w:szCs w:val="24"/>
        </w:rPr>
        <w:t>L’assenza di un corpus digitalizzato completo degli scritti di Lamourette non permette - allo stato attuale della documentazione - di fare indagini lessicometriche</w:t>
      </w:r>
      <w:r w:rsidR="009E00C6">
        <w:rPr>
          <w:sz w:val="24"/>
          <w:szCs w:val="24"/>
        </w:rPr>
        <w:t xml:space="preserve"> e lessicologiche significative sulle parole attraverso cui si esprime il suo pensiero.</w:t>
      </w:r>
      <w:r w:rsidR="00367290">
        <w:rPr>
          <w:sz w:val="24"/>
          <w:szCs w:val="24"/>
        </w:rPr>
        <w:t xml:space="preserve"> Le considerazioni che andrò</w:t>
      </w:r>
      <w:r w:rsidR="00040083">
        <w:rPr>
          <w:sz w:val="24"/>
          <w:szCs w:val="24"/>
        </w:rPr>
        <w:t xml:space="preserve"> qui di seguito </w:t>
      </w:r>
      <w:r w:rsidR="0009320A">
        <w:rPr>
          <w:sz w:val="24"/>
          <w:szCs w:val="24"/>
        </w:rPr>
        <w:t xml:space="preserve">ad esporre sono </w:t>
      </w:r>
      <w:r w:rsidR="00C23783">
        <w:rPr>
          <w:sz w:val="24"/>
          <w:szCs w:val="24"/>
        </w:rPr>
        <w:t>quindi</w:t>
      </w:r>
      <w:r w:rsidR="0009320A">
        <w:rPr>
          <w:sz w:val="24"/>
          <w:szCs w:val="24"/>
        </w:rPr>
        <w:t xml:space="preserve"> inevitabilmente</w:t>
      </w:r>
      <w:r w:rsidR="00040083">
        <w:rPr>
          <w:sz w:val="24"/>
          <w:szCs w:val="24"/>
        </w:rPr>
        <w:t xml:space="preserve"> provvisorie,</w:t>
      </w:r>
      <w:r w:rsidR="00367290">
        <w:rPr>
          <w:sz w:val="24"/>
          <w:szCs w:val="24"/>
        </w:rPr>
        <w:t xml:space="preserve"> convinto come sono </w:t>
      </w:r>
      <w:r w:rsidR="00C23783">
        <w:rPr>
          <w:sz w:val="24"/>
          <w:szCs w:val="24"/>
        </w:rPr>
        <w:t>oramai da molti anni</w:t>
      </w:r>
      <w:r w:rsidR="00367290">
        <w:rPr>
          <w:sz w:val="24"/>
          <w:szCs w:val="24"/>
        </w:rPr>
        <w:t xml:space="preserve"> </w:t>
      </w:r>
      <w:r w:rsidR="007E05AE">
        <w:rPr>
          <w:sz w:val="24"/>
          <w:szCs w:val="24"/>
        </w:rPr>
        <w:t>che –</w:t>
      </w:r>
      <w:r w:rsidR="0009320A">
        <w:rPr>
          <w:sz w:val="24"/>
          <w:szCs w:val="24"/>
        </w:rPr>
        <w:t xml:space="preserve"> per un’esaustiva analisi concettuale - le</w:t>
      </w:r>
      <w:r w:rsidR="000B007C">
        <w:rPr>
          <w:sz w:val="24"/>
          <w:szCs w:val="24"/>
        </w:rPr>
        <w:t xml:space="preserve"> metodologie filologiche tradizionali</w:t>
      </w:r>
      <w:r w:rsidR="00C23783">
        <w:rPr>
          <w:sz w:val="24"/>
          <w:szCs w:val="24"/>
        </w:rPr>
        <w:t xml:space="preserve"> debbano sempre e comunque essere integrate da </w:t>
      </w:r>
      <w:r w:rsidR="00040083">
        <w:rPr>
          <w:sz w:val="24"/>
          <w:szCs w:val="24"/>
        </w:rPr>
        <w:t>riscontri lessicologici e lessicometrici</w:t>
      </w:r>
      <w:r w:rsidR="00C23783">
        <w:rPr>
          <w:sz w:val="24"/>
          <w:szCs w:val="24"/>
        </w:rPr>
        <w:t>, ora possibili grazie alla digitalizzazione dei testi e alla messa in campo di software linguistici sempre più sofisticati</w:t>
      </w:r>
      <w:r w:rsidR="00DE33EC">
        <w:rPr>
          <w:rStyle w:val="Rimandonotaapidipagina"/>
          <w:sz w:val="24"/>
          <w:szCs w:val="24"/>
        </w:rPr>
        <w:footnoteReference w:id="16"/>
      </w:r>
      <w:r w:rsidR="00C23783">
        <w:rPr>
          <w:sz w:val="24"/>
          <w:szCs w:val="24"/>
        </w:rPr>
        <w:t xml:space="preserve">. </w:t>
      </w:r>
    </w:p>
    <w:p w14:paraId="2C2026D3" w14:textId="77777777" w:rsidR="007E05AE" w:rsidRDefault="009E00C6" w:rsidP="0006381A">
      <w:pPr>
        <w:jc w:val="both"/>
        <w:rPr>
          <w:sz w:val="24"/>
          <w:szCs w:val="24"/>
        </w:rPr>
      </w:pPr>
      <w:r>
        <w:rPr>
          <w:sz w:val="24"/>
          <w:szCs w:val="24"/>
        </w:rPr>
        <w:t xml:space="preserve">Per quanto riguarda la felicità, mi </w:t>
      </w:r>
      <w:r w:rsidR="00C666E2">
        <w:rPr>
          <w:sz w:val="24"/>
          <w:szCs w:val="24"/>
        </w:rPr>
        <w:t>limiterò a</w:t>
      </w:r>
      <w:r>
        <w:rPr>
          <w:sz w:val="24"/>
          <w:szCs w:val="24"/>
        </w:rPr>
        <w:t xml:space="preserve"> segnalare </w:t>
      </w:r>
      <w:r w:rsidR="0049350E">
        <w:rPr>
          <w:sz w:val="24"/>
          <w:szCs w:val="24"/>
        </w:rPr>
        <w:t>che l’approccio è in chiave eudaimonistica</w:t>
      </w:r>
      <w:r w:rsidR="00C666E2">
        <w:rPr>
          <w:rStyle w:val="Rimandonotaapidipagina"/>
          <w:sz w:val="24"/>
          <w:szCs w:val="24"/>
        </w:rPr>
        <w:footnoteReference w:id="17"/>
      </w:r>
      <w:r>
        <w:rPr>
          <w:sz w:val="24"/>
          <w:szCs w:val="24"/>
        </w:rPr>
        <w:t>. Per quanto riguarda la fraternità</w:t>
      </w:r>
      <w:r w:rsidR="00554F93">
        <w:rPr>
          <w:sz w:val="24"/>
          <w:szCs w:val="24"/>
        </w:rPr>
        <w:t xml:space="preserve">, </w:t>
      </w:r>
      <w:r w:rsidR="00554F93" w:rsidRPr="00554F93">
        <w:rPr>
          <w:sz w:val="24"/>
          <w:szCs w:val="24"/>
        </w:rPr>
        <w:t>posso</w:t>
      </w:r>
      <w:r w:rsidR="000B007C">
        <w:rPr>
          <w:sz w:val="24"/>
          <w:szCs w:val="24"/>
        </w:rPr>
        <w:t xml:space="preserve"> indicare</w:t>
      </w:r>
      <w:r w:rsidR="00554F93" w:rsidRPr="00554F93">
        <w:rPr>
          <w:sz w:val="24"/>
          <w:szCs w:val="24"/>
        </w:rPr>
        <w:t xml:space="preserve"> </w:t>
      </w:r>
      <w:r w:rsidR="00040083">
        <w:rPr>
          <w:sz w:val="24"/>
          <w:szCs w:val="24"/>
        </w:rPr>
        <w:t xml:space="preserve">fin d’ora </w:t>
      </w:r>
      <w:r w:rsidR="00554F93">
        <w:rPr>
          <w:sz w:val="24"/>
          <w:szCs w:val="24"/>
        </w:rPr>
        <w:t>alcuni</w:t>
      </w:r>
      <w:r w:rsidR="00C666E2">
        <w:rPr>
          <w:sz w:val="24"/>
          <w:szCs w:val="24"/>
        </w:rPr>
        <w:t xml:space="preserve"> dati. </w:t>
      </w:r>
      <w:r w:rsidR="00554F93">
        <w:rPr>
          <w:sz w:val="24"/>
          <w:szCs w:val="24"/>
        </w:rPr>
        <w:t xml:space="preserve"> </w:t>
      </w:r>
      <w:r w:rsidR="00554F93" w:rsidRPr="00554F93">
        <w:rPr>
          <w:sz w:val="24"/>
          <w:szCs w:val="24"/>
          <w:lang w:val="fr-FR"/>
        </w:rPr>
        <w:t>N</w:t>
      </w:r>
      <w:r w:rsidR="00221A93" w:rsidRPr="00554F93">
        <w:rPr>
          <w:sz w:val="24"/>
          <w:szCs w:val="24"/>
          <w:lang w:val="fr-FR"/>
        </w:rPr>
        <w:t xml:space="preserve">ei </w:t>
      </w:r>
      <w:r w:rsidR="00221A93" w:rsidRPr="00554F93">
        <w:rPr>
          <w:i/>
          <w:iCs/>
          <w:sz w:val="24"/>
          <w:szCs w:val="24"/>
          <w:lang w:val="fr-FR"/>
        </w:rPr>
        <w:t>Pensées sur la philosophie de l'incrédulité</w:t>
      </w:r>
      <w:r w:rsidR="00221A93" w:rsidRPr="00554F93">
        <w:rPr>
          <w:sz w:val="24"/>
          <w:szCs w:val="24"/>
          <w:lang w:val="fr-FR"/>
        </w:rPr>
        <w:t xml:space="preserve"> (1785) e nelle </w:t>
      </w:r>
      <w:r w:rsidR="00221A93" w:rsidRPr="00554F93">
        <w:rPr>
          <w:i/>
          <w:iCs/>
          <w:sz w:val="24"/>
          <w:szCs w:val="24"/>
          <w:lang w:val="fr-FR"/>
        </w:rPr>
        <w:t>Considérations sur l'Esprit et les Devoirs de la Vie religieuse</w:t>
      </w:r>
      <w:r w:rsidR="00221A93" w:rsidRPr="00554F93">
        <w:rPr>
          <w:sz w:val="24"/>
          <w:szCs w:val="24"/>
          <w:lang w:val="fr-FR"/>
        </w:rPr>
        <w:t xml:space="preserve"> (1785) non risulta alcuna occorrenza di «fraternité»</w:t>
      </w:r>
      <w:r w:rsidR="00F21D77">
        <w:rPr>
          <w:rStyle w:val="Rimandonotaapidipagina"/>
          <w:sz w:val="24"/>
          <w:szCs w:val="24"/>
        </w:rPr>
        <w:footnoteReference w:id="18"/>
      </w:r>
      <w:r w:rsidR="00221A93" w:rsidRPr="00554F93">
        <w:rPr>
          <w:sz w:val="24"/>
          <w:szCs w:val="24"/>
          <w:lang w:val="fr-FR"/>
        </w:rPr>
        <w:t xml:space="preserve">. </w:t>
      </w:r>
      <w:r w:rsidR="00221A93" w:rsidRPr="00221A93">
        <w:rPr>
          <w:i/>
          <w:iCs/>
          <w:sz w:val="24"/>
          <w:szCs w:val="24"/>
        </w:rPr>
        <w:t>Les Délices de la religion</w:t>
      </w:r>
      <w:r w:rsidR="00221A93" w:rsidRPr="00221A93">
        <w:rPr>
          <w:sz w:val="24"/>
          <w:szCs w:val="24"/>
        </w:rPr>
        <w:t xml:space="preserve"> del 1788 registrano una sola occorrenza</w:t>
      </w:r>
      <w:r w:rsidR="00B57D22">
        <w:rPr>
          <w:rStyle w:val="Rimandonotaapidipagina"/>
          <w:sz w:val="24"/>
          <w:szCs w:val="24"/>
        </w:rPr>
        <w:footnoteReference w:id="19"/>
      </w:r>
      <w:r w:rsidR="00221A93" w:rsidRPr="00221A93">
        <w:rPr>
          <w:sz w:val="24"/>
          <w:szCs w:val="24"/>
        </w:rPr>
        <w:t xml:space="preserve">. I </w:t>
      </w:r>
      <w:r w:rsidR="00221A93" w:rsidRPr="00221A93">
        <w:rPr>
          <w:i/>
          <w:iCs/>
          <w:sz w:val="24"/>
          <w:szCs w:val="24"/>
        </w:rPr>
        <w:t>Pensées sur la philosophie de la foi</w:t>
      </w:r>
      <w:r w:rsidR="00221A93" w:rsidRPr="00221A93">
        <w:rPr>
          <w:sz w:val="24"/>
          <w:szCs w:val="24"/>
        </w:rPr>
        <w:t>, pubblicati nel luglio del 1789</w:t>
      </w:r>
      <w:r w:rsidR="005B57A1">
        <w:rPr>
          <w:sz w:val="24"/>
          <w:szCs w:val="24"/>
        </w:rPr>
        <w:t>,</w:t>
      </w:r>
      <w:r w:rsidR="00221A93" w:rsidRPr="00221A93">
        <w:rPr>
          <w:sz w:val="24"/>
          <w:szCs w:val="24"/>
        </w:rPr>
        <w:t xml:space="preserve"> propongono due </w:t>
      </w:r>
      <w:r w:rsidR="00221A93" w:rsidRPr="00221A93">
        <w:rPr>
          <w:sz w:val="24"/>
          <w:szCs w:val="24"/>
        </w:rPr>
        <w:lastRenderedPageBreak/>
        <w:t>occorrenze di «fraternité»</w:t>
      </w:r>
      <w:r w:rsidR="0063252B">
        <w:rPr>
          <w:rStyle w:val="Rimandonotaapidipagina"/>
          <w:sz w:val="24"/>
          <w:szCs w:val="24"/>
        </w:rPr>
        <w:footnoteReference w:id="20"/>
      </w:r>
      <w:r w:rsidR="00221A93" w:rsidRPr="00221A93">
        <w:rPr>
          <w:sz w:val="24"/>
          <w:szCs w:val="24"/>
        </w:rPr>
        <w:t>.</w:t>
      </w:r>
      <w:r w:rsidR="00221A93">
        <w:rPr>
          <w:sz w:val="24"/>
          <w:szCs w:val="24"/>
        </w:rPr>
        <w:t xml:space="preserve"> In tut</w:t>
      </w:r>
      <w:r w:rsidR="00394395">
        <w:rPr>
          <w:sz w:val="24"/>
          <w:szCs w:val="24"/>
        </w:rPr>
        <w:t xml:space="preserve">te le occorrenze </w:t>
      </w:r>
      <w:r w:rsidR="00544EBA">
        <w:rPr>
          <w:sz w:val="24"/>
          <w:szCs w:val="24"/>
        </w:rPr>
        <w:t>sopracitate</w:t>
      </w:r>
      <w:r w:rsidR="00221A93">
        <w:rPr>
          <w:sz w:val="24"/>
          <w:szCs w:val="24"/>
        </w:rPr>
        <w:t xml:space="preserve"> i contorni</w:t>
      </w:r>
      <w:r w:rsidR="0063252B">
        <w:rPr>
          <w:sz w:val="24"/>
          <w:szCs w:val="24"/>
        </w:rPr>
        <w:t xml:space="preserve"> della </w:t>
      </w:r>
      <w:bookmarkStart w:id="0" w:name="_Hlk19796039"/>
      <w:r w:rsidR="0063252B">
        <w:rPr>
          <w:sz w:val="24"/>
          <w:szCs w:val="24"/>
        </w:rPr>
        <w:t>«</w:t>
      </w:r>
      <w:r w:rsidR="0063252B" w:rsidRPr="0063252B">
        <w:rPr>
          <w:sz w:val="24"/>
          <w:szCs w:val="24"/>
        </w:rPr>
        <w:t>fraternité»</w:t>
      </w:r>
      <w:r w:rsidR="0063252B">
        <w:rPr>
          <w:sz w:val="24"/>
          <w:szCs w:val="24"/>
        </w:rPr>
        <w:t xml:space="preserve"> </w:t>
      </w:r>
      <w:bookmarkEnd w:id="0"/>
      <w:r w:rsidR="0063252B">
        <w:rPr>
          <w:sz w:val="24"/>
          <w:szCs w:val="24"/>
        </w:rPr>
        <w:t>sono</w:t>
      </w:r>
      <w:r w:rsidR="00544EBA">
        <w:rPr>
          <w:sz w:val="24"/>
          <w:szCs w:val="24"/>
        </w:rPr>
        <w:t xml:space="preserve"> sfumati e</w:t>
      </w:r>
      <w:r w:rsidR="00221A93">
        <w:rPr>
          <w:sz w:val="24"/>
          <w:szCs w:val="24"/>
        </w:rPr>
        <w:t xml:space="preserve"> generici</w:t>
      </w:r>
      <w:r w:rsidR="001B6055">
        <w:rPr>
          <w:sz w:val="24"/>
          <w:szCs w:val="24"/>
        </w:rPr>
        <w:t>, anche se in sottotraccia traspare la dimensione universalistica della tradizione cristiana.</w:t>
      </w:r>
      <w:r w:rsidR="00DA53DD">
        <w:rPr>
          <w:sz w:val="24"/>
          <w:szCs w:val="24"/>
        </w:rPr>
        <w:t xml:space="preserve"> Il suo ruolo nelle strategie discorsive risulta</w:t>
      </w:r>
      <w:r w:rsidR="001B6055">
        <w:rPr>
          <w:sz w:val="24"/>
          <w:szCs w:val="24"/>
        </w:rPr>
        <w:t xml:space="preserve"> comunque</w:t>
      </w:r>
      <w:r w:rsidR="00DA53DD">
        <w:rPr>
          <w:sz w:val="24"/>
          <w:szCs w:val="24"/>
        </w:rPr>
        <w:t xml:space="preserve"> assolutamente marginale.</w:t>
      </w:r>
      <w:r w:rsidR="00123E6A">
        <w:rPr>
          <w:sz w:val="24"/>
          <w:szCs w:val="24"/>
        </w:rPr>
        <w:t xml:space="preserve"> </w:t>
      </w:r>
    </w:p>
    <w:p w14:paraId="3048A87D" w14:textId="687E33D5" w:rsidR="00AC42BC" w:rsidRDefault="00123E6A" w:rsidP="0006381A">
      <w:pPr>
        <w:jc w:val="both"/>
        <w:rPr>
          <w:sz w:val="24"/>
          <w:szCs w:val="24"/>
        </w:rPr>
      </w:pPr>
      <w:r>
        <w:rPr>
          <w:sz w:val="24"/>
          <w:szCs w:val="24"/>
        </w:rPr>
        <w:t>Nei primi anni della rivoluzione la situazione cambia.</w:t>
      </w:r>
      <w:r w:rsidR="00394395">
        <w:rPr>
          <w:sz w:val="24"/>
          <w:szCs w:val="24"/>
        </w:rPr>
        <w:t xml:space="preserve"> </w:t>
      </w:r>
      <w:r w:rsidR="00AC42BC">
        <w:rPr>
          <w:sz w:val="24"/>
          <w:szCs w:val="24"/>
        </w:rPr>
        <w:t xml:space="preserve">Nei </w:t>
      </w:r>
      <w:bookmarkStart w:id="1" w:name="_Hlk19796061"/>
      <w:r w:rsidR="00AC42BC" w:rsidRPr="00AC42BC">
        <w:rPr>
          <w:i/>
          <w:sz w:val="24"/>
          <w:szCs w:val="24"/>
        </w:rPr>
        <w:t>Prônes civiques</w:t>
      </w:r>
      <w:bookmarkEnd w:id="1"/>
      <w:r w:rsidR="00E548D6">
        <w:rPr>
          <w:sz w:val="24"/>
          <w:szCs w:val="24"/>
        </w:rPr>
        <w:t>, pubblicati a fascicoli tra il 1790 e il 1791,</w:t>
      </w:r>
      <w:r w:rsidR="00AC42BC">
        <w:rPr>
          <w:sz w:val="24"/>
          <w:szCs w:val="24"/>
        </w:rPr>
        <w:t xml:space="preserve"> la fraternità viene evocata più volte</w:t>
      </w:r>
      <w:r w:rsidR="00221A93">
        <w:rPr>
          <w:sz w:val="24"/>
          <w:szCs w:val="24"/>
        </w:rPr>
        <w:t xml:space="preserve"> e</w:t>
      </w:r>
      <w:r w:rsidR="00AC42BC">
        <w:rPr>
          <w:sz w:val="24"/>
          <w:szCs w:val="24"/>
        </w:rPr>
        <w:t xml:space="preserve"> </w:t>
      </w:r>
      <w:r w:rsidR="00221A93">
        <w:rPr>
          <w:sz w:val="24"/>
          <w:szCs w:val="24"/>
        </w:rPr>
        <w:t xml:space="preserve">con </w:t>
      </w:r>
      <w:r w:rsidR="00221A93" w:rsidRPr="00221A93">
        <w:rPr>
          <w:sz w:val="24"/>
          <w:szCs w:val="24"/>
        </w:rPr>
        <w:t>una latitudine</w:t>
      </w:r>
      <w:r w:rsidR="00221A93">
        <w:rPr>
          <w:sz w:val="24"/>
          <w:szCs w:val="24"/>
        </w:rPr>
        <w:t xml:space="preserve"> esplicitamente</w:t>
      </w:r>
      <w:r w:rsidR="00221A93" w:rsidRPr="00221A93">
        <w:rPr>
          <w:sz w:val="24"/>
          <w:szCs w:val="24"/>
        </w:rPr>
        <w:t xml:space="preserve"> universalistica, che comprende tutti gli uomini in quanto uomini</w:t>
      </w:r>
      <w:r w:rsidR="00221A93">
        <w:rPr>
          <w:sz w:val="24"/>
          <w:szCs w:val="24"/>
        </w:rPr>
        <w:t>:</w:t>
      </w:r>
    </w:p>
    <w:p w14:paraId="6E749DEC" w14:textId="43A36A82" w:rsidR="00FA0535" w:rsidRDefault="00FA0535" w:rsidP="00FA0535">
      <w:pPr>
        <w:jc w:val="both"/>
        <w:rPr>
          <w:lang w:val="fr-FR"/>
        </w:rPr>
      </w:pPr>
      <w:r w:rsidRPr="00476288">
        <w:rPr>
          <w:lang w:val="fr-FR"/>
        </w:rPr>
        <w:t>Cette circo</w:t>
      </w:r>
      <w:r>
        <w:rPr>
          <w:lang w:val="fr-FR"/>
        </w:rPr>
        <w:t xml:space="preserve">nstance , c'est qu'au moment où </w:t>
      </w:r>
      <w:r w:rsidRPr="00476288">
        <w:rPr>
          <w:lang w:val="fr-FR"/>
        </w:rPr>
        <w:t>l'évangile p</w:t>
      </w:r>
      <w:r>
        <w:rPr>
          <w:lang w:val="fr-FR"/>
        </w:rPr>
        <w:t xml:space="preserve">arut au monde , le monde entier </w:t>
      </w:r>
      <w:r w:rsidRPr="00476288">
        <w:rPr>
          <w:lang w:val="fr-FR"/>
        </w:rPr>
        <w:t>se voyoit l'es</w:t>
      </w:r>
      <w:r>
        <w:rPr>
          <w:lang w:val="fr-FR"/>
        </w:rPr>
        <w:t xml:space="preserve">clave d'une puissance qui avoit </w:t>
      </w:r>
      <w:r w:rsidRPr="00476288">
        <w:rPr>
          <w:lang w:val="fr-FR"/>
        </w:rPr>
        <w:t>englouti tous le</w:t>
      </w:r>
      <w:r>
        <w:rPr>
          <w:lang w:val="fr-FR"/>
        </w:rPr>
        <w:t xml:space="preserve">s empires , et qu'il semble que </w:t>
      </w:r>
      <w:r w:rsidRPr="00476288">
        <w:rPr>
          <w:lang w:val="fr-FR"/>
        </w:rPr>
        <w:t>cette sagesse é</w:t>
      </w:r>
      <w:r>
        <w:rPr>
          <w:lang w:val="fr-FR"/>
        </w:rPr>
        <w:t>ternelle qui balance et qui pré</w:t>
      </w:r>
      <w:r w:rsidRPr="00476288">
        <w:rPr>
          <w:lang w:val="fr-FR"/>
        </w:rPr>
        <w:t>pare nos destin</w:t>
      </w:r>
      <w:r>
        <w:rPr>
          <w:lang w:val="fr-FR"/>
        </w:rPr>
        <w:t xml:space="preserve">s dans la lenteur et la majesté </w:t>
      </w:r>
      <w:r w:rsidRPr="00476288">
        <w:rPr>
          <w:lang w:val="fr-FR"/>
        </w:rPr>
        <w:t>de son conse</w:t>
      </w:r>
      <w:r>
        <w:rPr>
          <w:lang w:val="fr-FR"/>
        </w:rPr>
        <w:t>il , ait voulu attendre que les h</w:t>
      </w:r>
      <w:r w:rsidRPr="00476288">
        <w:rPr>
          <w:lang w:val="fr-FR"/>
        </w:rPr>
        <w:t xml:space="preserve">ommes eussent éprouvé </w:t>
      </w:r>
      <w:r>
        <w:rPr>
          <w:lang w:val="fr-FR"/>
        </w:rPr>
        <w:t>le dernières tribu</w:t>
      </w:r>
      <w:r w:rsidRPr="00476288">
        <w:rPr>
          <w:lang w:val="fr-FR"/>
        </w:rPr>
        <w:t>lations de la ser</w:t>
      </w:r>
      <w:r>
        <w:rPr>
          <w:lang w:val="fr-FR"/>
        </w:rPr>
        <w:t>vitude , pour leur apporter une</w:t>
      </w:r>
      <w:r w:rsidR="005B57A1">
        <w:rPr>
          <w:lang w:val="fr-FR"/>
        </w:rPr>
        <w:t xml:space="preserve"> </w:t>
      </w:r>
      <w:r w:rsidRPr="00476288">
        <w:rPr>
          <w:lang w:val="fr-FR"/>
        </w:rPr>
        <w:t>doctrine qui</w:t>
      </w:r>
      <w:r>
        <w:rPr>
          <w:lang w:val="fr-FR"/>
        </w:rPr>
        <w:t xml:space="preserve"> devoit nous peindre , sous des</w:t>
      </w:r>
      <w:r w:rsidR="00544EBA">
        <w:rPr>
          <w:lang w:val="fr-FR"/>
        </w:rPr>
        <w:t xml:space="preserve"> </w:t>
      </w:r>
      <w:r w:rsidRPr="00476288">
        <w:rPr>
          <w:lang w:val="fr-FR"/>
        </w:rPr>
        <w:t>couleurs si nouvelle</w:t>
      </w:r>
      <w:r>
        <w:rPr>
          <w:lang w:val="fr-FR"/>
        </w:rPr>
        <w:t>s , la destinée , l'excellence</w:t>
      </w:r>
      <w:r w:rsidR="00544EBA">
        <w:rPr>
          <w:lang w:val="fr-FR"/>
        </w:rPr>
        <w:t xml:space="preserve"> </w:t>
      </w:r>
      <w:r>
        <w:rPr>
          <w:lang w:val="fr-FR"/>
        </w:rPr>
        <w:t>et l’</w:t>
      </w:r>
      <w:r w:rsidRPr="00476288">
        <w:rPr>
          <w:lang w:val="fr-FR"/>
        </w:rPr>
        <w:t>indestructibilité</w:t>
      </w:r>
      <w:r>
        <w:rPr>
          <w:lang w:val="fr-FR"/>
        </w:rPr>
        <w:t xml:space="preserve"> de la nature humaine e</w:t>
      </w:r>
      <w:r w:rsidR="00544EBA">
        <w:rPr>
          <w:lang w:val="fr-FR"/>
        </w:rPr>
        <w:t xml:space="preserve">t </w:t>
      </w:r>
      <w:r w:rsidRPr="00476288">
        <w:rPr>
          <w:lang w:val="fr-FR"/>
        </w:rPr>
        <w:t>sceller de la sanction la plus sacrée et la p</w:t>
      </w:r>
      <w:r>
        <w:rPr>
          <w:lang w:val="fr-FR"/>
        </w:rPr>
        <w:t xml:space="preserve">lus </w:t>
      </w:r>
      <w:r w:rsidRPr="00476288">
        <w:rPr>
          <w:lang w:val="fr-FR"/>
        </w:rPr>
        <w:t>irrévocable , la frat</w:t>
      </w:r>
      <w:r>
        <w:rPr>
          <w:lang w:val="fr-FR"/>
        </w:rPr>
        <w:t xml:space="preserve">ernité et l'égalité de tous les habitans de la terre […] </w:t>
      </w:r>
      <w:r w:rsidRPr="00476288">
        <w:rPr>
          <w:lang w:val="fr-FR"/>
        </w:rPr>
        <w:t>Mais il s'agit de faire revivre en nous</w:t>
      </w:r>
      <w:r>
        <w:rPr>
          <w:lang w:val="fr-FR"/>
        </w:rPr>
        <w:t xml:space="preserve"> </w:t>
      </w:r>
      <w:r w:rsidRPr="00476288">
        <w:rPr>
          <w:lang w:val="fr-FR"/>
        </w:rPr>
        <w:t>l'esprit d'égalité, par la considération de la</w:t>
      </w:r>
      <w:r>
        <w:rPr>
          <w:lang w:val="fr-FR"/>
        </w:rPr>
        <w:t xml:space="preserve"> </w:t>
      </w:r>
      <w:r w:rsidRPr="00476288">
        <w:rPr>
          <w:lang w:val="fr-FR"/>
        </w:rPr>
        <w:t>grande sanction dont la religion a consacré</w:t>
      </w:r>
      <w:r>
        <w:rPr>
          <w:lang w:val="fr-FR"/>
        </w:rPr>
        <w:t xml:space="preserve"> </w:t>
      </w:r>
      <w:r w:rsidRPr="00476288">
        <w:rPr>
          <w:lang w:val="fr-FR"/>
        </w:rPr>
        <w:t>la consanguinité et la fraternité de tout ce qui</w:t>
      </w:r>
      <w:r>
        <w:rPr>
          <w:lang w:val="fr-FR"/>
        </w:rPr>
        <w:t xml:space="preserve"> est sorti de la tige d’Adam</w:t>
      </w:r>
      <w:r w:rsidR="00D442B1">
        <w:rPr>
          <w:rStyle w:val="Rimandonotaapidipagina"/>
          <w:lang w:val="fr-FR"/>
        </w:rPr>
        <w:footnoteReference w:id="21"/>
      </w:r>
      <w:r w:rsidRPr="00476288">
        <w:rPr>
          <w:lang w:val="fr-FR"/>
        </w:rPr>
        <w:t>.</w:t>
      </w:r>
    </w:p>
    <w:p w14:paraId="3B3B9327" w14:textId="1F42FB06" w:rsidR="00983DA6" w:rsidRDefault="00DA53DD" w:rsidP="00983DA6">
      <w:pPr>
        <w:jc w:val="both"/>
        <w:rPr>
          <w:sz w:val="24"/>
          <w:szCs w:val="24"/>
          <w:lang w:val="fr-FR"/>
        </w:rPr>
      </w:pPr>
      <w:r w:rsidRPr="007F0668">
        <w:rPr>
          <w:sz w:val="24"/>
          <w:szCs w:val="24"/>
        </w:rPr>
        <w:t>Lo spazio conquistato dalla</w:t>
      </w:r>
      <w:r w:rsidR="001B6055" w:rsidRPr="007F0668">
        <w:rPr>
          <w:sz w:val="24"/>
          <w:szCs w:val="24"/>
        </w:rPr>
        <w:t xml:space="preserve"> </w:t>
      </w:r>
      <w:r w:rsidR="0082082F">
        <w:rPr>
          <w:sz w:val="24"/>
          <w:szCs w:val="24"/>
        </w:rPr>
        <w:t>«</w:t>
      </w:r>
      <w:r w:rsidR="0082082F" w:rsidRPr="0063252B">
        <w:rPr>
          <w:sz w:val="24"/>
          <w:szCs w:val="24"/>
        </w:rPr>
        <w:t>fraternité»</w:t>
      </w:r>
      <w:r>
        <w:rPr>
          <w:sz w:val="24"/>
          <w:szCs w:val="24"/>
        </w:rPr>
        <w:t xml:space="preserve"> nei</w:t>
      </w:r>
      <w:r w:rsidRPr="00DA53DD">
        <w:rPr>
          <w:i/>
          <w:sz w:val="24"/>
          <w:szCs w:val="24"/>
        </w:rPr>
        <w:t xml:space="preserve"> </w:t>
      </w:r>
      <w:r w:rsidRPr="00AC42BC">
        <w:rPr>
          <w:i/>
          <w:sz w:val="24"/>
          <w:szCs w:val="24"/>
        </w:rPr>
        <w:t>Prônes civiques</w:t>
      </w:r>
      <w:r w:rsidR="000863AA">
        <w:rPr>
          <w:iCs/>
          <w:sz w:val="24"/>
          <w:szCs w:val="24"/>
        </w:rPr>
        <w:t xml:space="preserve"> dura poco.</w:t>
      </w:r>
      <w:r w:rsidR="001B6055" w:rsidRPr="007F0668">
        <w:rPr>
          <w:iCs/>
          <w:sz w:val="24"/>
          <w:szCs w:val="24"/>
        </w:rPr>
        <w:t xml:space="preserve"> </w:t>
      </w:r>
      <w:r w:rsidR="00123E6A" w:rsidRPr="00123E6A">
        <w:rPr>
          <w:rFonts w:ascii="Calibri" w:eastAsia="Calibri" w:hAnsi="Calibri" w:cs="Calibri"/>
          <w:sz w:val="24"/>
          <w:szCs w:val="24"/>
        </w:rPr>
        <w:t>Nel febbraio 1793 Lamourette invoc</w:t>
      </w:r>
      <w:r w:rsidR="000863AA">
        <w:rPr>
          <w:rFonts w:ascii="Calibri" w:eastAsia="Calibri" w:hAnsi="Calibri" w:cs="Calibri"/>
          <w:sz w:val="24"/>
          <w:szCs w:val="24"/>
        </w:rPr>
        <w:t>herà</w:t>
      </w:r>
      <w:r w:rsidR="00123E6A" w:rsidRPr="00123E6A">
        <w:rPr>
          <w:rFonts w:ascii="Calibri" w:eastAsia="Calibri" w:hAnsi="Calibri" w:cs="Calibri"/>
          <w:sz w:val="24"/>
          <w:szCs w:val="24"/>
        </w:rPr>
        <w:t xml:space="preserve"> «la douce et bienveillante fraternité» per indurre i ricchi lionesi ad occuparsi delle condizioni dei più poveri</w:t>
      </w:r>
      <w:r w:rsidR="00123E6A">
        <w:rPr>
          <w:rStyle w:val="Rimandonotaapidipagina"/>
          <w:rFonts w:ascii="Calibri" w:eastAsia="Calibri" w:hAnsi="Calibri" w:cs="Calibri"/>
          <w:sz w:val="24"/>
          <w:szCs w:val="24"/>
        </w:rPr>
        <w:footnoteReference w:id="22"/>
      </w:r>
      <w:r w:rsidR="000863AA">
        <w:rPr>
          <w:rFonts w:ascii="Calibri" w:eastAsia="Calibri" w:hAnsi="Calibri" w:cs="Calibri"/>
          <w:sz w:val="24"/>
          <w:szCs w:val="24"/>
        </w:rPr>
        <w:t>,</w:t>
      </w:r>
      <w:r w:rsidR="00123E6A" w:rsidRPr="00123E6A">
        <w:rPr>
          <w:rFonts w:ascii="Calibri" w:eastAsia="Calibri" w:hAnsi="Calibri" w:cs="Calibri"/>
          <w:sz w:val="24"/>
          <w:szCs w:val="24"/>
        </w:rPr>
        <w:t xml:space="preserve"> </w:t>
      </w:r>
      <w:r w:rsidR="000863AA">
        <w:rPr>
          <w:rFonts w:ascii="Calibri" w:eastAsia="Calibri" w:hAnsi="Calibri" w:cs="Calibri"/>
          <w:sz w:val="24"/>
          <w:szCs w:val="24"/>
        </w:rPr>
        <w:t>m</w:t>
      </w:r>
      <w:r w:rsidR="00123E6A" w:rsidRPr="00123E6A">
        <w:rPr>
          <w:rFonts w:ascii="Calibri" w:eastAsia="Calibri" w:hAnsi="Calibri" w:cs="Calibri"/>
          <w:sz w:val="24"/>
          <w:szCs w:val="24"/>
        </w:rPr>
        <w:t xml:space="preserve">a quando il discorso </w:t>
      </w:r>
      <w:r w:rsidR="000863AA">
        <w:rPr>
          <w:rFonts w:ascii="Calibri" w:eastAsia="Calibri" w:hAnsi="Calibri" w:cs="Calibri"/>
          <w:sz w:val="24"/>
          <w:szCs w:val="24"/>
        </w:rPr>
        <w:t>dovrà misurarsi</w:t>
      </w:r>
      <w:r w:rsidR="001B6055">
        <w:rPr>
          <w:rFonts w:ascii="Calibri" w:eastAsia="Calibri" w:hAnsi="Calibri" w:cs="Calibri"/>
          <w:sz w:val="24"/>
          <w:szCs w:val="24"/>
        </w:rPr>
        <w:t xml:space="preserve"> direttamente</w:t>
      </w:r>
      <w:r w:rsidR="00123E6A" w:rsidRPr="00123E6A">
        <w:rPr>
          <w:rFonts w:ascii="Calibri" w:eastAsia="Calibri" w:hAnsi="Calibri" w:cs="Calibri"/>
          <w:sz w:val="24"/>
          <w:szCs w:val="24"/>
        </w:rPr>
        <w:t xml:space="preserve"> con l’acuirsi dei conflitti e delle contrapposizioni tra le diverse forze in campo</w:t>
      </w:r>
      <w:r w:rsidR="00C530CD">
        <w:rPr>
          <w:rFonts w:ascii="Calibri" w:eastAsia="Calibri" w:hAnsi="Calibri" w:cs="Calibri"/>
          <w:sz w:val="24"/>
          <w:szCs w:val="24"/>
        </w:rPr>
        <w:t>,</w:t>
      </w:r>
      <w:r w:rsidR="00123E6A" w:rsidRPr="00123E6A">
        <w:rPr>
          <w:rFonts w:ascii="Calibri" w:eastAsia="Calibri" w:hAnsi="Calibri" w:cs="Calibri"/>
          <w:sz w:val="24"/>
          <w:szCs w:val="24"/>
        </w:rPr>
        <w:t xml:space="preserve"> che si contendono la legittimità nel teatro della rivoluzione</w:t>
      </w:r>
      <w:r w:rsidR="00C530CD">
        <w:rPr>
          <w:rFonts w:ascii="Calibri" w:eastAsia="Calibri" w:hAnsi="Calibri" w:cs="Calibri"/>
          <w:sz w:val="24"/>
          <w:szCs w:val="24"/>
        </w:rPr>
        <w:t>,</w:t>
      </w:r>
      <w:r w:rsidR="004C1A99">
        <w:rPr>
          <w:rStyle w:val="Rimandonotaapidipagina"/>
          <w:rFonts w:ascii="Calibri" w:eastAsia="Calibri" w:hAnsi="Calibri" w:cs="Calibri"/>
          <w:sz w:val="24"/>
          <w:szCs w:val="24"/>
        </w:rPr>
        <w:footnoteReference w:id="23"/>
      </w:r>
      <w:r w:rsidR="00123E6A" w:rsidRPr="00123E6A">
        <w:rPr>
          <w:rFonts w:ascii="Calibri" w:eastAsia="Calibri" w:hAnsi="Calibri" w:cs="Calibri"/>
          <w:sz w:val="24"/>
          <w:szCs w:val="24"/>
        </w:rPr>
        <w:t xml:space="preserve"> il perimetro della «fraternité» cominc</w:t>
      </w:r>
      <w:r w:rsidR="000863AA">
        <w:rPr>
          <w:rFonts w:ascii="Calibri" w:eastAsia="Calibri" w:hAnsi="Calibri" w:cs="Calibri"/>
          <w:sz w:val="24"/>
          <w:szCs w:val="24"/>
        </w:rPr>
        <w:t>erà</w:t>
      </w:r>
      <w:r w:rsidR="009310F1">
        <w:rPr>
          <w:rFonts w:ascii="Calibri" w:eastAsia="Calibri" w:hAnsi="Calibri" w:cs="Calibri"/>
          <w:sz w:val="24"/>
          <w:szCs w:val="24"/>
        </w:rPr>
        <w:t xml:space="preserve"> a restringersi. </w:t>
      </w:r>
      <w:r w:rsidR="009310F1" w:rsidRPr="007F2419">
        <w:rPr>
          <w:sz w:val="24"/>
          <w:szCs w:val="24"/>
        </w:rPr>
        <w:t>Nell’</w:t>
      </w:r>
      <w:r w:rsidR="009310F1">
        <w:rPr>
          <w:sz w:val="24"/>
          <w:szCs w:val="24"/>
        </w:rPr>
        <w:t>episodio del bacio ad essere esclusi dalla «fraternité</w:t>
      </w:r>
      <w:r w:rsidR="009310F1" w:rsidRPr="007F2419">
        <w:rPr>
          <w:sz w:val="24"/>
          <w:szCs w:val="24"/>
        </w:rPr>
        <w:t>»</w:t>
      </w:r>
      <w:r w:rsidR="009310F1">
        <w:rPr>
          <w:sz w:val="24"/>
          <w:szCs w:val="24"/>
        </w:rPr>
        <w:t xml:space="preserve"> erano stati genericamente tutti gli oppositori della rivoluzione, indicati come «</w:t>
      </w:r>
      <w:r w:rsidR="009310F1" w:rsidRPr="004271B0">
        <w:rPr>
          <w:sz w:val="24"/>
          <w:szCs w:val="24"/>
        </w:rPr>
        <w:t>ennemis domestiques et étrangers»</w:t>
      </w:r>
      <w:r w:rsidR="009310F1">
        <w:rPr>
          <w:sz w:val="24"/>
          <w:szCs w:val="24"/>
        </w:rPr>
        <w:t xml:space="preserve"> e come incarnazione politica de «</w:t>
      </w:r>
      <w:r w:rsidR="009310F1" w:rsidRPr="004271B0">
        <w:rPr>
          <w:sz w:val="24"/>
          <w:szCs w:val="24"/>
        </w:rPr>
        <w:t>l'homme méchant»</w:t>
      </w:r>
      <w:r w:rsidR="009310F1">
        <w:rPr>
          <w:sz w:val="24"/>
          <w:szCs w:val="24"/>
        </w:rPr>
        <w:t xml:space="preserve">. </w:t>
      </w:r>
      <w:r w:rsidR="009310F1">
        <w:rPr>
          <w:rFonts w:ascii="Calibri" w:eastAsia="Calibri" w:hAnsi="Calibri" w:cs="Calibri"/>
          <w:sz w:val="24"/>
          <w:szCs w:val="24"/>
        </w:rPr>
        <w:t>C</w:t>
      </w:r>
      <w:r w:rsidR="009310F1" w:rsidRPr="00123E6A">
        <w:rPr>
          <w:rFonts w:ascii="Calibri" w:eastAsia="Calibri" w:hAnsi="Calibri" w:cs="Calibri"/>
          <w:sz w:val="24"/>
          <w:szCs w:val="24"/>
        </w:rPr>
        <w:t>on l</w:t>
      </w:r>
      <w:r w:rsidR="00EB7AE6">
        <w:rPr>
          <w:rFonts w:ascii="Calibri" w:eastAsia="Calibri" w:hAnsi="Calibri" w:cs="Calibri"/>
          <w:sz w:val="24"/>
          <w:szCs w:val="24"/>
        </w:rPr>
        <w:t>’accentuarsi dello scontro tra Girondini e M</w:t>
      </w:r>
      <w:r w:rsidR="009310F1" w:rsidRPr="00123E6A">
        <w:rPr>
          <w:rFonts w:ascii="Calibri" w:eastAsia="Calibri" w:hAnsi="Calibri" w:cs="Calibri"/>
          <w:sz w:val="24"/>
          <w:szCs w:val="24"/>
        </w:rPr>
        <w:t>ontagnardi</w:t>
      </w:r>
      <w:r w:rsidR="009310F1">
        <w:rPr>
          <w:rFonts w:ascii="Calibri" w:eastAsia="Calibri" w:hAnsi="Calibri" w:cs="Calibri"/>
          <w:sz w:val="24"/>
          <w:szCs w:val="24"/>
        </w:rPr>
        <w:t xml:space="preserve"> </w:t>
      </w:r>
      <w:r w:rsidR="009310F1" w:rsidRPr="00123E6A">
        <w:rPr>
          <w:rFonts w:ascii="Calibri" w:eastAsia="Calibri" w:hAnsi="Calibri" w:cs="Calibri"/>
          <w:sz w:val="24"/>
          <w:szCs w:val="24"/>
        </w:rPr>
        <w:t>Lamourette ridurrà ulteriorm</w:t>
      </w:r>
      <w:r w:rsidR="009310F1">
        <w:rPr>
          <w:rFonts w:ascii="Calibri" w:eastAsia="Calibri" w:hAnsi="Calibri" w:cs="Calibri"/>
          <w:sz w:val="24"/>
          <w:szCs w:val="24"/>
        </w:rPr>
        <w:t>ente l’area della «fraternité».</w:t>
      </w:r>
      <w:r w:rsidR="009310F1">
        <w:rPr>
          <w:sz w:val="24"/>
          <w:szCs w:val="24"/>
        </w:rPr>
        <w:t xml:space="preserve"> </w:t>
      </w:r>
      <w:r w:rsidR="00646CC9">
        <w:rPr>
          <w:sz w:val="24"/>
          <w:szCs w:val="24"/>
        </w:rPr>
        <w:t>Durante l’assedio di Lione</w:t>
      </w:r>
      <w:r w:rsidR="00364292">
        <w:rPr>
          <w:sz w:val="24"/>
          <w:szCs w:val="24"/>
        </w:rPr>
        <w:t xml:space="preserve"> – in una lettera del 14 luglio 1793 -</w:t>
      </w:r>
      <w:r w:rsidR="00646CC9">
        <w:rPr>
          <w:sz w:val="24"/>
          <w:szCs w:val="24"/>
        </w:rPr>
        <w:t xml:space="preserve"> inviterà esplicitamente</w:t>
      </w:r>
      <w:r w:rsidR="00364292">
        <w:rPr>
          <w:sz w:val="24"/>
          <w:szCs w:val="24"/>
        </w:rPr>
        <w:t xml:space="preserve"> </w:t>
      </w:r>
      <w:r w:rsidR="00364292" w:rsidRPr="00364292">
        <w:rPr>
          <w:sz w:val="24"/>
          <w:szCs w:val="24"/>
        </w:rPr>
        <w:t>gli abitanti delle campagne</w:t>
      </w:r>
      <w:r w:rsidR="00364292">
        <w:rPr>
          <w:sz w:val="24"/>
          <w:szCs w:val="24"/>
        </w:rPr>
        <w:t xml:space="preserve"> del Dipartimento della</w:t>
      </w:r>
      <w:r w:rsidR="00364292" w:rsidRPr="00364292">
        <w:rPr>
          <w:sz w:val="24"/>
          <w:szCs w:val="24"/>
        </w:rPr>
        <w:t xml:space="preserve"> Rhône-et-Loire</w:t>
      </w:r>
      <w:r w:rsidR="00364292">
        <w:rPr>
          <w:sz w:val="24"/>
          <w:szCs w:val="24"/>
        </w:rPr>
        <w:t xml:space="preserve"> a</w:t>
      </w:r>
      <w:r w:rsidR="00646CC9">
        <w:rPr>
          <w:sz w:val="24"/>
          <w:szCs w:val="24"/>
        </w:rPr>
        <w:t xml:space="preserve"> diffidare della fraternità</w:t>
      </w:r>
      <w:r w:rsidR="008D615A">
        <w:rPr>
          <w:sz w:val="24"/>
          <w:szCs w:val="24"/>
        </w:rPr>
        <w:t>, se</w:t>
      </w:r>
      <w:r w:rsidR="00152F8B">
        <w:rPr>
          <w:sz w:val="24"/>
          <w:szCs w:val="24"/>
        </w:rPr>
        <w:t xml:space="preserve"> evocata dai</w:t>
      </w:r>
      <w:r w:rsidR="00152F8B" w:rsidRPr="00152F8B">
        <w:rPr>
          <w:sz w:val="24"/>
          <w:szCs w:val="24"/>
        </w:rPr>
        <w:t xml:space="preserve"> «faux patriotes», c</w:t>
      </w:r>
      <w:r w:rsidR="00ED47B0">
        <w:rPr>
          <w:sz w:val="24"/>
          <w:szCs w:val="24"/>
        </w:rPr>
        <w:t>he avevano appoggiato Joseph Ch</w:t>
      </w:r>
      <w:r w:rsidR="00ED47B0" w:rsidRPr="00ED47B0">
        <w:rPr>
          <w:sz w:val="24"/>
          <w:szCs w:val="24"/>
        </w:rPr>
        <w:t>â</w:t>
      </w:r>
      <w:r w:rsidR="00152F8B" w:rsidRPr="00152F8B">
        <w:rPr>
          <w:sz w:val="24"/>
          <w:szCs w:val="24"/>
        </w:rPr>
        <w:t>lier</w:t>
      </w:r>
      <w:r w:rsidR="00983DA6">
        <w:rPr>
          <w:sz w:val="24"/>
          <w:szCs w:val="24"/>
        </w:rPr>
        <w:t xml:space="preserve"> a Lione. </w:t>
      </w:r>
      <w:r w:rsidR="00983DA6" w:rsidRPr="00052B6E">
        <w:rPr>
          <w:sz w:val="24"/>
          <w:szCs w:val="24"/>
        </w:rPr>
        <w:t>Nella lettera</w:t>
      </w:r>
      <w:r w:rsidR="00983DA6">
        <w:rPr>
          <w:sz w:val="24"/>
          <w:szCs w:val="24"/>
        </w:rPr>
        <w:t xml:space="preserve"> Lamourette abbandona completamente i toni irenici e concilianti </w:t>
      </w:r>
      <w:r w:rsidR="00983DA6">
        <w:rPr>
          <w:sz w:val="24"/>
          <w:szCs w:val="24"/>
        </w:rPr>
        <w:lastRenderedPageBreak/>
        <w:t>dell’episodio del bacio e assume in pieno il registro conflitt</w:t>
      </w:r>
      <w:r w:rsidR="00E10A93">
        <w:rPr>
          <w:sz w:val="24"/>
          <w:szCs w:val="24"/>
        </w:rPr>
        <w:t xml:space="preserve">uale, divisivo e </w:t>
      </w:r>
      <w:r w:rsidR="00983DA6">
        <w:rPr>
          <w:sz w:val="24"/>
          <w:szCs w:val="24"/>
        </w:rPr>
        <w:t xml:space="preserve">delegittimante, che caratterizza il confronto pubblico tra i </w:t>
      </w:r>
      <w:r w:rsidR="00983DA6" w:rsidRPr="00052B6E">
        <w:rPr>
          <w:sz w:val="24"/>
          <w:szCs w:val="24"/>
        </w:rPr>
        <w:t>«</w:t>
      </w:r>
      <w:r w:rsidR="00983DA6">
        <w:rPr>
          <w:sz w:val="24"/>
          <w:szCs w:val="24"/>
        </w:rPr>
        <w:t>patriotes</w:t>
      </w:r>
      <w:r w:rsidR="00983DA6" w:rsidRPr="00052B6E">
        <w:rPr>
          <w:sz w:val="24"/>
          <w:szCs w:val="24"/>
        </w:rPr>
        <w:t>»</w:t>
      </w:r>
      <w:r w:rsidR="00983DA6">
        <w:rPr>
          <w:sz w:val="24"/>
          <w:szCs w:val="24"/>
        </w:rPr>
        <w:t>, a partire almeno dal periodo immediatamente successivo alle illusioni di concordia e unità, sollevate dalla festa della Federazione del 14 luglio 1790.</w:t>
      </w:r>
      <w:r w:rsidR="00CA0D4D">
        <w:rPr>
          <w:sz w:val="24"/>
          <w:szCs w:val="24"/>
        </w:rPr>
        <w:t xml:space="preserve"> </w:t>
      </w:r>
      <w:r w:rsidR="00983DA6" w:rsidRPr="00C16468">
        <w:rPr>
          <w:sz w:val="24"/>
          <w:szCs w:val="24"/>
          <w:lang w:val="fr-FR"/>
        </w:rPr>
        <w:t>Gli avversari politici vengono definiti «monstres», «brigants», «hideux», «infâmes», «hommes pervers», «scélérats», «</w:t>
      </w:r>
      <w:r w:rsidR="00983DA6">
        <w:rPr>
          <w:sz w:val="24"/>
          <w:szCs w:val="24"/>
          <w:lang w:val="fr-FR"/>
        </w:rPr>
        <w:t>méchants</w:t>
      </w:r>
      <w:r w:rsidR="00983DA6" w:rsidRPr="00C16468">
        <w:rPr>
          <w:sz w:val="24"/>
          <w:szCs w:val="24"/>
          <w:lang w:val="fr-FR"/>
        </w:rPr>
        <w:t>»</w:t>
      </w:r>
      <w:r w:rsidR="00983DA6">
        <w:rPr>
          <w:sz w:val="24"/>
          <w:szCs w:val="24"/>
          <w:lang w:val="fr-FR"/>
        </w:rPr>
        <w:t> :</w:t>
      </w:r>
    </w:p>
    <w:p w14:paraId="77892298" w14:textId="6AA0EDB0" w:rsidR="00983DA6" w:rsidRDefault="00983DA6" w:rsidP="00983DA6">
      <w:pPr>
        <w:jc w:val="both"/>
        <w:rPr>
          <w:lang w:val="fr-FR"/>
        </w:rPr>
      </w:pPr>
      <w:r w:rsidRPr="00AF7654">
        <w:rPr>
          <w:lang w:val="fr-FR"/>
        </w:rPr>
        <w:t xml:space="preserve">La méchanceté, mes très-chers frères, épuise, en ce moment, ses derniers moyens pour vous tromper ; et nous apprenons que des esprits turbulens et ennemis de l’ordre et de toute autorité, se répandent parmi vous, pour vous régagner à l’anarchie, et vous faire accroire que l’événement du 29 mai [il rovesciamento di </w:t>
      </w:r>
      <w:r w:rsidRPr="00365A43">
        <w:rPr>
          <w:lang w:val="fr-FR"/>
        </w:rPr>
        <w:t>Châlier</w:t>
      </w:r>
      <w:r w:rsidRPr="00AF7654">
        <w:rPr>
          <w:lang w:val="fr-FR"/>
        </w:rPr>
        <w:t>], qui a renversé une faction de brigands et d’assassins, est une victoire de l’Aristocratie sur les patriotes</w:t>
      </w:r>
      <w:r>
        <w:rPr>
          <w:rStyle w:val="Rimandonotaapidipagina"/>
          <w:lang w:val="fr-FR"/>
        </w:rPr>
        <w:footnoteReference w:id="24"/>
      </w:r>
      <w:r w:rsidRPr="00AF7654">
        <w:rPr>
          <w:lang w:val="fr-FR"/>
        </w:rPr>
        <w:t xml:space="preserve">. </w:t>
      </w:r>
    </w:p>
    <w:p w14:paraId="54D4CEB0" w14:textId="323626AB" w:rsidR="00983DA6" w:rsidRPr="00052B6E" w:rsidRDefault="00983DA6" w:rsidP="00983DA6">
      <w:pPr>
        <w:jc w:val="both"/>
        <w:rPr>
          <w:sz w:val="24"/>
          <w:szCs w:val="24"/>
        </w:rPr>
      </w:pPr>
      <w:r>
        <w:rPr>
          <w:sz w:val="24"/>
          <w:szCs w:val="24"/>
        </w:rPr>
        <w:t xml:space="preserve">In questo contesto, inevitabilmente la </w:t>
      </w:r>
      <w:r w:rsidRPr="00052B6E">
        <w:rPr>
          <w:sz w:val="24"/>
          <w:szCs w:val="24"/>
        </w:rPr>
        <w:t>«</w:t>
      </w:r>
      <w:r>
        <w:rPr>
          <w:sz w:val="24"/>
          <w:szCs w:val="24"/>
        </w:rPr>
        <w:t>fraternité</w:t>
      </w:r>
      <w:r w:rsidRPr="00052B6E">
        <w:rPr>
          <w:sz w:val="24"/>
          <w:szCs w:val="24"/>
        </w:rPr>
        <w:t>»</w:t>
      </w:r>
      <w:r w:rsidR="0040505F">
        <w:rPr>
          <w:sz w:val="24"/>
          <w:szCs w:val="24"/>
        </w:rPr>
        <w:t xml:space="preserve"> diventa escludente e </w:t>
      </w:r>
      <w:r>
        <w:rPr>
          <w:sz w:val="24"/>
          <w:szCs w:val="24"/>
        </w:rPr>
        <w:t xml:space="preserve">subisce una forte </w:t>
      </w:r>
      <w:r w:rsidR="00845915">
        <w:rPr>
          <w:sz w:val="24"/>
          <w:szCs w:val="24"/>
        </w:rPr>
        <w:t>torsione identitaria</w:t>
      </w:r>
      <w:r>
        <w:rPr>
          <w:sz w:val="24"/>
          <w:szCs w:val="24"/>
        </w:rPr>
        <w:t xml:space="preserve"> e divisiva:</w:t>
      </w:r>
    </w:p>
    <w:p w14:paraId="52BFFF8B" w14:textId="729DA5C9" w:rsidR="00364292" w:rsidRPr="00A25020" w:rsidRDefault="005B57A1" w:rsidP="00364292">
      <w:pPr>
        <w:jc w:val="both"/>
        <w:rPr>
          <w:lang w:val="fr-FR"/>
        </w:rPr>
      </w:pPr>
      <w:r w:rsidRPr="00A25020">
        <w:rPr>
          <w:lang w:val="fr-FR"/>
        </w:rPr>
        <w:t>Cependant,</w:t>
      </w:r>
      <w:r w:rsidR="00364292" w:rsidRPr="00A25020">
        <w:rPr>
          <w:lang w:val="fr-FR"/>
        </w:rPr>
        <w:t xml:space="preserve"> M. T. C. </w:t>
      </w:r>
      <w:r w:rsidRPr="00A25020">
        <w:rPr>
          <w:lang w:val="fr-FR"/>
        </w:rPr>
        <w:t>F.,</w:t>
      </w:r>
      <w:r w:rsidR="00364292" w:rsidRPr="00A25020">
        <w:rPr>
          <w:lang w:val="fr-FR"/>
        </w:rPr>
        <w:t xml:space="preserve"> ceux qui</w:t>
      </w:r>
      <w:r w:rsidR="00364292">
        <w:rPr>
          <w:lang w:val="fr-FR"/>
        </w:rPr>
        <w:t xml:space="preserve"> </w:t>
      </w:r>
      <w:r w:rsidR="00364292" w:rsidRPr="00A25020">
        <w:rPr>
          <w:lang w:val="fr-FR"/>
        </w:rPr>
        <w:t>vont porter le venin de leurs perfides et</w:t>
      </w:r>
      <w:r w:rsidR="00364292">
        <w:rPr>
          <w:lang w:val="fr-FR"/>
        </w:rPr>
        <w:t xml:space="preserve"> </w:t>
      </w:r>
      <w:r w:rsidR="00364292" w:rsidRPr="00A25020">
        <w:rPr>
          <w:lang w:val="fr-FR"/>
        </w:rPr>
        <w:t xml:space="preserve">lâches </w:t>
      </w:r>
      <w:r w:rsidRPr="00A25020">
        <w:rPr>
          <w:lang w:val="fr-FR"/>
        </w:rPr>
        <w:t>insinuations,</w:t>
      </w:r>
      <w:r w:rsidR="00364292" w:rsidRPr="00A25020">
        <w:rPr>
          <w:lang w:val="fr-FR"/>
        </w:rPr>
        <w:t xml:space="preserve"> au fond de vos</w:t>
      </w:r>
      <w:r w:rsidR="00364292">
        <w:rPr>
          <w:lang w:val="fr-FR"/>
        </w:rPr>
        <w:t xml:space="preserve"> </w:t>
      </w:r>
      <w:r w:rsidR="00364292" w:rsidRPr="00A25020">
        <w:rPr>
          <w:lang w:val="fr-FR"/>
        </w:rPr>
        <w:t xml:space="preserve">douces et innocentes </w:t>
      </w:r>
      <w:r w:rsidR="00544EBA" w:rsidRPr="00A25020">
        <w:rPr>
          <w:lang w:val="fr-FR"/>
        </w:rPr>
        <w:t>campagnes,</w:t>
      </w:r>
      <w:r w:rsidR="00364292" w:rsidRPr="00A25020">
        <w:rPr>
          <w:lang w:val="fr-FR"/>
        </w:rPr>
        <w:t xml:space="preserve"> osent</w:t>
      </w:r>
      <w:r w:rsidR="00364292">
        <w:rPr>
          <w:lang w:val="fr-FR"/>
        </w:rPr>
        <w:t xml:space="preserve"> </w:t>
      </w:r>
      <w:r w:rsidR="00364292" w:rsidRPr="00A25020">
        <w:rPr>
          <w:lang w:val="fr-FR"/>
        </w:rPr>
        <w:t xml:space="preserve">invoquer les saintes loix de la </w:t>
      </w:r>
      <w:r w:rsidR="00544EBA" w:rsidRPr="00A25020">
        <w:rPr>
          <w:lang w:val="fr-FR"/>
        </w:rPr>
        <w:t>fraternité, et</w:t>
      </w:r>
      <w:r w:rsidR="00364292" w:rsidRPr="00A25020">
        <w:rPr>
          <w:lang w:val="fr-FR"/>
        </w:rPr>
        <w:t xml:space="preserve"> vous dire qu’il faut s</w:t>
      </w:r>
      <w:r w:rsidR="00364292">
        <w:rPr>
          <w:lang w:val="fr-FR"/>
        </w:rPr>
        <w:t>’</w:t>
      </w:r>
      <w:r w:rsidR="00364292" w:rsidRPr="00A25020">
        <w:rPr>
          <w:lang w:val="fr-FR"/>
        </w:rPr>
        <w:t>entendre et s’unir</w:t>
      </w:r>
      <w:r w:rsidR="00364292">
        <w:rPr>
          <w:lang w:val="fr-FR"/>
        </w:rPr>
        <w:t xml:space="preserve">. </w:t>
      </w:r>
      <w:r w:rsidR="00364292" w:rsidRPr="00A25020">
        <w:rPr>
          <w:lang w:val="fr-FR"/>
        </w:rPr>
        <w:t>Ah ! sans doute , le signe le plus touchant du bonheur public , c’est l’unité</w:t>
      </w:r>
      <w:r w:rsidR="00364292">
        <w:rPr>
          <w:lang w:val="fr-FR"/>
        </w:rPr>
        <w:t xml:space="preserve"> </w:t>
      </w:r>
      <w:r w:rsidR="00364292" w:rsidRPr="00A25020">
        <w:rPr>
          <w:lang w:val="fr-FR"/>
        </w:rPr>
        <w:t>et la concorde des frères ; et à Dieu ne</w:t>
      </w:r>
      <w:r w:rsidR="00364292">
        <w:rPr>
          <w:lang w:val="fr-FR"/>
        </w:rPr>
        <w:t xml:space="preserve"> </w:t>
      </w:r>
      <w:r w:rsidR="00364292" w:rsidRPr="00A25020">
        <w:rPr>
          <w:lang w:val="fr-FR"/>
        </w:rPr>
        <w:t>plaise que nous qui sommes les Ministres de la charité et de la paix {nous</w:t>
      </w:r>
      <w:r w:rsidR="00364292">
        <w:rPr>
          <w:lang w:val="fr-FR"/>
        </w:rPr>
        <w:t xml:space="preserve"> </w:t>
      </w:r>
      <w:r w:rsidR="00364292" w:rsidRPr="00A25020">
        <w:rPr>
          <w:lang w:val="fr-FR"/>
        </w:rPr>
        <w:t>négligions jamais aucun des moyens qui</w:t>
      </w:r>
      <w:r w:rsidR="00364292">
        <w:rPr>
          <w:lang w:val="fr-FR"/>
        </w:rPr>
        <w:t xml:space="preserve"> </w:t>
      </w:r>
      <w:r w:rsidR="00364292" w:rsidRPr="00A25020">
        <w:rPr>
          <w:lang w:val="fr-FR"/>
        </w:rPr>
        <w:t>peuvent produire et maintenir ce concert</w:t>
      </w:r>
      <w:r w:rsidR="00364292">
        <w:rPr>
          <w:lang w:val="fr-FR"/>
        </w:rPr>
        <w:t xml:space="preserve"> </w:t>
      </w:r>
      <w:r w:rsidR="00364292" w:rsidRPr="00A25020">
        <w:rPr>
          <w:lang w:val="fr-FR"/>
        </w:rPr>
        <w:t>et cette unité si précieuses et si désirables ! mais défiez-vous , estimables</w:t>
      </w:r>
      <w:r w:rsidR="00364292">
        <w:rPr>
          <w:lang w:val="fr-FR"/>
        </w:rPr>
        <w:t xml:space="preserve"> </w:t>
      </w:r>
      <w:r w:rsidR="00364292" w:rsidRPr="00A25020">
        <w:rPr>
          <w:lang w:val="fr-FR"/>
        </w:rPr>
        <w:t>Citoyens des Campagnes , de ceux qui</w:t>
      </w:r>
      <w:r w:rsidR="00364292">
        <w:rPr>
          <w:lang w:val="fr-FR"/>
        </w:rPr>
        <w:t xml:space="preserve"> </w:t>
      </w:r>
      <w:r w:rsidR="00364292" w:rsidRPr="00A25020">
        <w:rPr>
          <w:lang w:val="fr-FR"/>
        </w:rPr>
        <w:t>voudroient faire servir les saints préceptes de la nature et de la religion, au</w:t>
      </w:r>
      <w:r w:rsidR="00364292">
        <w:rPr>
          <w:lang w:val="fr-FR"/>
        </w:rPr>
        <w:t xml:space="preserve"> </w:t>
      </w:r>
      <w:r w:rsidR="00364292" w:rsidRPr="00A25020">
        <w:rPr>
          <w:lang w:val="fr-FR"/>
        </w:rPr>
        <w:t>réta</w:t>
      </w:r>
      <w:r w:rsidR="00364292">
        <w:rPr>
          <w:lang w:val="fr-FR"/>
        </w:rPr>
        <w:t>blissement de la licence et de l’anar</w:t>
      </w:r>
      <w:r w:rsidR="00364292" w:rsidRPr="00A25020">
        <w:rPr>
          <w:lang w:val="fr-FR"/>
        </w:rPr>
        <w:t>chie. Un méchant qui dit à un homme de</w:t>
      </w:r>
      <w:r w:rsidR="00364292">
        <w:rPr>
          <w:lang w:val="fr-FR"/>
        </w:rPr>
        <w:t xml:space="preserve"> </w:t>
      </w:r>
      <w:r w:rsidR="00544EBA" w:rsidRPr="00A25020">
        <w:rPr>
          <w:lang w:val="fr-FR"/>
        </w:rPr>
        <w:t>bien,</w:t>
      </w:r>
      <w:r w:rsidR="00364292" w:rsidRPr="00A25020">
        <w:rPr>
          <w:lang w:val="fr-FR"/>
        </w:rPr>
        <w:t xml:space="preserve"> soyons </w:t>
      </w:r>
      <w:r w:rsidR="00544EBA" w:rsidRPr="00A25020">
        <w:rPr>
          <w:lang w:val="fr-FR"/>
        </w:rPr>
        <w:t>unis,</w:t>
      </w:r>
      <w:r w:rsidR="00364292" w:rsidRPr="00A25020">
        <w:rPr>
          <w:lang w:val="fr-FR"/>
        </w:rPr>
        <w:t xml:space="preserve"> lui demande d’abjurer</w:t>
      </w:r>
      <w:r w:rsidR="00CD58FD">
        <w:rPr>
          <w:lang w:val="fr-FR"/>
        </w:rPr>
        <w:t xml:space="preserve"> </w:t>
      </w:r>
      <w:r w:rsidR="00364292" w:rsidRPr="00A25020">
        <w:rPr>
          <w:lang w:val="fr-FR"/>
        </w:rPr>
        <w:t xml:space="preserve">la </w:t>
      </w:r>
      <w:r w:rsidR="00544EBA" w:rsidRPr="00A25020">
        <w:rPr>
          <w:lang w:val="fr-FR"/>
        </w:rPr>
        <w:t>probité,</w:t>
      </w:r>
      <w:r w:rsidR="00364292" w:rsidRPr="00A25020">
        <w:rPr>
          <w:lang w:val="fr-FR"/>
        </w:rPr>
        <w:t xml:space="preserve"> et d’embrasser le crime.</w:t>
      </w:r>
      <w:r w:rsidR="00CD58FD">
        <w:rPr>
          <w:lang w:val="fr-FR"/>
        </w:rPr>
        <w:t xml:space="preserve"> </w:t>
      </w:r>
      <w:r w:rsidR="00364292" w:rsidRPr="00A25020">
        <w:rPr>
          <w:lang w:val="fr-FR"/>
        </w:rPr>
        <w:t>Lorsque la fermentation de toutes les</w:t>
      </w:r>
      <w:r w:rsidR="00CD58FD">
        <w:rPr>
          <w:lang w:val="fr-FR"/>
        </w:rPr>
        <w:t xml:space="preserve"> </w:t>
      </w:r>
      <w:r w:rsidR="00364292" w:rsidRPr="00A25020">
        <w:rPr>
          <w:lang w:val="fr-FR"/>
        </w:rPr>
        <w:t>passions déréglées a fait dégénérer une</w:t>
      </w:r>
      <w:r w:rsidR="00364292">
        <w:rPr>
          <w:lang w:val="fr-FR"/>
        </w:rPr>
        <w:t xml:space="preserve"> </w:t>
      </w:r>
      <w:r w:rsidR="00364292" w:rsidRPr="00A25020">
        <w:rPr>
          <w:lang w:val="fr-FR"/>
        </w:rPr>
        <w:t xml:space="preserve">révolution </w:t>
      </w:r>
      <w:r w:rsidR="00544EBA" w:rsidRPr="00A25020">
        <w:rPr>
          <w:lang w:val="fr-FR"/>
        </w:rPr>
        <w:t>politique,</w:t>
      </w:r>
      <w:r w:rsidR="00364292" w:rsidRPr="00A25020">
        <w:rPr>
          <w:lang w:val="fr-FR"/>
        </w:rPr>
        <w:t xml:space="preserve"> en une subversion</w:t>
      </w:r>
      <w:r w:rsidR="0082077B">
        <w:rPr>
          <w:lang w:val="fr-FR"/>
        </w:rPr>
        <w:t xml:space="preserve"> </w:t>
      </w:r>
      <w:r w:rsidR="00364292" w:rsidRPr="00A25020">
        <w:rPr>
          <w:lang w:val="fr-FR"/>
        </w:rPr>
        <w:t>qui fait chanceler toutes les bases de la</w:t>
      </w:r>
      <w:r w:rsidR="00364292">
        <w:rPr>
          <w:lang w:val="fr-FR"/>
        </w:rPr>
        <w:t xml:space="preserve"> </w:t>
      </w:r>
      <w:r w:rsidR="00364292" w:rsidRPr="00A25020">
        <w:rPr>
          <w:lang w:val="fr-FR"/>
        </w:rPr>
        <w:t>sûreté et de la propriété des Citoyens</w:t>
      </w:r>
      <w:r w:rsidR="00364292">
        <w:rPr>
          <w:lang w:val="fr-FR"/>
        </w:rPr>
        <w:t>,</w:t>
      </w:r>
      <w:r w:rsidR="00364292" w:rsidRPr="00A25020">
        <w:rPr>
          <w:lang w:val="fr-FR"/>
        </w:rPr>
        <w:t xml:space="preserve"> la réunion des esprits et des coeurs ne</w:t>
      </w:r>
      <w:r w:rsidR="00364292">
        <w:rPr>
          <w:lang w:val="fr-FR"/>
        </w:rPr>
        <w:t xml:space="preserve"> </w:t>
      </w:r>
      <w:r w:rsidR="00364292" w:rsidRPr="00A25020">
        <w:rPr>
          <w:lang w:val="fr-FR"/>
        </w:rPr>
        <w:t>peut plus s’opérer que de l’une des deux</w:t>
      </w:r>
      <w:r w:rsidR="00364292">
        <w:rPr>
          <w:lang w:val="fr-FR"/>
        </w:rPr>
        <w:t xml:space="preserve"> </w:t>
      </w:r>
      <w:r w:rsidR="00544EBA" w:rsidRPr="00A25020">
        <w:rPr>
          <w:lang w:val="fr-FR"/>
        </w:rPr>
        <w:t>manières,</w:t>
      </w:r>
      <w:r w:rsidR="00364292" w:rsidRPr="00A25020">
        <w:rPr>
          <w:lang w:val="fr-FR"/>
        </w:rPr>
        <w:t xml:space="preserve"> ou en convertissant tous les</w:t>
      </w:r>
      <w:r w:rsidR="00364292">
        <w:rPr>
          <w:lang w:val="fr-FR"/>
        </w:rPr>
        <w:t xml:space="preserve"> </w:t>
      </w:r>
      <w:r w:rsidR="00364292" w:rsidRPr="00A25020">
        <w:rPr>
          <w:lang w:val="fr-FR"/>
        </w:rPr>
        <w:t xml:space="preserve">méchans à la </w:t>
      </w:r>
      <w:r w:rsidR="00544EBA" w:rsidRPr="00A25020">
        <w:rPr>
          <w:lang w:val="fr-FR"/>
        </w:rPr>
        <w:t>probité,</w:t>
      </w:r>
      <w:r w:rsidR="00364292" w:rsidRPr="00A25020">
        <w:rPr>
          <w:lang w:val="fr-FR"/>
        </w:rPr>
        <w:t xml:space="preserve"> ou en déterminant tous les gens de bien à se faire</w:t>
      </w:r>
      <w:r w:rsidR="00CD58FD">
        <w:rPr>
          <w:lang w:val="fr-FR"/>
        </w:rPr>
        <w:t xml:space="preserve"> </w:t>
      </w:r>
      <w:r w:rsidR="00364292" w:rsidRPr="00A25020">
        <w:rPr>
          <w:lang w:val="fr-FR"/>
        </w:rPr>
        <w:t xml:space="preserve">scélérats. Ne perdez pas de </w:t>
      </w:r>
      <w:r w:rsidR="00CD58FD" w:rsidRPr="00A25020">
        <w:rPr>
          <w:lang w:val="fr-FR"/>
        </w:rPr>
        <w:t>vue,</w:t>
      </w:r>
      <w:r w:rsidR="00364292" w:rsidRPr="00A25020">
        <w:rPr>
          <w:lang w:val="fr-FR"/>
        </w:rPr>
        <w:t xml:space="preserve"> M. C. F.</w:t>
      </w:r>
      <w:r w:rsidR="00364292">
        <w:rPr>
          <w:lang w:val="fr-FR"/>
        </w:rPr>
        <w:t xml:space="preserve"> </w:t>
      </w:r>
      <w:r w:rsidR="00364292" w:rsidRPr="00A25020">
        <w:rPr>
          <w:lang w:val="fr-FR"/>
        </w:rPr>
        <w:t>cette terri</w:t>
      </w:r>
      <w:r w:rsidR="00364292">
        <w:rPr>
          <w:lang w:val="fr-FR"/>
        </w:rPr>
        <w:t xml:space="preserve">ble </w:t>
      </w:r>
      <w:r w:rsidR="00CD58FD">
        <w:rPr>
          <w:lang w:val="fr-FR"/>
        </w:rPr>
        <w:t>alternative,</w:t>
      </w:r>
      <w:r w:rsidR="00364292">
        <w:rPr>
          <w:lang w:val="fr-FR"/>
        </w:rPr>
        <w:t xml:space="preserve"> lorsqu’on vous parle de réunion et de </w:t>
      </w:r>
      <w:r w:rsidR="00364292" w:rsidRPr="00A25020">
        <w:rPr>
          <w:lang w:val="fr-FR"/>
        </w:rPr>
        <w:t xml:space="preserve">raccord </w:t>
      </w:r>
      <w:r w:rsidR="00364292">
        <w:rPr>
          <w:lang w:val="fr-FR"/>
        </w:rPr>
        <w:t>[….]</w:t>
      </w:r>
      <w:r w:rsidR="0082077B">
        <w:rPr>
          <w:rStyle w:val="Rimandonotaapidipagina"/>
          <w:lang w:val="fr-FR"/>
        </w:rPr>
        <w:footnoteReference w:id="25"/>
      </w:r>
    </w:p>
    <w:p w14:paraId="2ABB6C29" w14:textId="77777777" w:rsidR="00364292" w:rsidRDefault="00364292" w:rsidP="0006381A">
      <w:pPr>
        <w:jc w:val="both"/>
        <w:rPr>
          <w:sz w:val="24"/>
          <w:szCs w:val="24"/>
          <w:lang w:val="fr-FR"/>
        </w:rPr>
      </w:pPr>
      <w:r>
        <w:rPr>
          <w:sz w:val="24"/>
          <w:szCs w:val="24"/>
          <w:lang w:val="fr-FR"/>
        </w:rPr>
        <w:t xml:space="preserve"> </w:t>
      </w:r>
    </w:p>
    <w:p w14:paraId="7331339D" w14:textId="6A6FA31A" w:rsidR="00BB0023" w:rsidRPr="00BB0023" w:rsidRDefault="00BB0023" w:rsidP="00BB0023">
      <w:pPr>
        <w:jc w:val="both"/>
        <w:rPr>
          <w:sz w:val="24"/>
          <w:szCs w:val="24"/>
        </w:rPr>
      </w:pPr>
      <w:r>
        <w:rPr>
          <w:sz w:val="24"/>
          <w:szCs w:val="24"/>
        </w:rPr>
        <w:t xml:space="preserve">Il </w:t>
      </w:r>
      <w:r w:rsidR="005627D0">
        <w:rPr>
          <w:sz w:val="24"/>
          <w:szCs w:val="24"/>
        </w:rPr>
        <w:t>ripiega</w:t>
      </w:r>
      <w:r>
        <w:rPr>
          <w:sz w:val="24"/>
          <w:szCs w:val="24"/>
        </w:rPr>
        <w:t xml:space="preserve">mento di Lamourette verso </w:t>
      </w:r>
      <w:r w:rsidR="005627D0">
        <w:rPr>
          <w:sz w:val="24"/>
          <w:szCs w:val="24"/>
        </w:rPr>
        <w:t>una fraternità</w:t>
      </w:r>
      <w:r w:rsidR="00E9160C">
        <w:rPr>
          <w:sz w:val="24"/>
          <w:szCs w:val="24"/>
        </w:rPr>
        <w:t xml:space="preserve"> escludente e</w:t>
      </w:r>
      <w:r w:rsidR="009620DE">
        <w:rPr>
          <w:sz w:val="24"/>
          <w:szCs w:val="24"/>
        </w:rPr>
        <w:t xml:space="preserve"> identitaria trova riscontro in </w:t>
      </w:r>
      <w:r w:rsidR="008D615A">
        <w:rPr>
          <w:sz w:val="24"/>
          <w:szCs w:val="24"/>
        </w:rPr>
        <w:t>molti altri</w:t>
      </w:r>
      <w:r w:rsidR="00222069">
        <w:rPr>
          <w:sz w:val="24"/>
          <w:szCs w:val="24"/>
        </w:rPr>
        <w:t xml:space="preserve"> protagonisti</w:t>
      </w:r>
      <w:r>
        <w:rPr>
          <w:sz w:val="24"/>
          <w:szCs w:val="24"/>
        </w:rPr>
        <w:t xml:space="preserve"> della rivoluzione e riflette il</w:t>
      </w:r>
      <w:r w:rsidR="008D615A" w:rsidRPr="008D615A">
        <w:rPr>
          <w:sz w:val="24"/>
          <w:szCs w:val="24"/>
        </w:rPr>
        <w:t xml:space="preserve"> </w:t>
      </w:r>
      <w:r w:rsidRPr="00BB0023">
        <w:rPr>
          <w:sz w:val="24"/>
          <w:szCs w:val="24"/>
        </w:rPr>
        <w:t>progressivo restringimento del perimetro della fraternità</w:t>
      </w:r>
      <w:r>
        <w:rPr>
          <w:sz w:val="24"/>
          <w:szCs w:val="24"/>
        </w:rPr>
        <w:t xml:space="preserve"> nel periodo rivoluzionario. </w:t>
      </w:r>
      <w:r>
        <w:rPr>
          <w:rFonts w:eastAsia="Calibri" w:cstheme="minorHAnsi"/>
          <w:sz w:val="24"/>
          <w:szCs w:val="24"/>
          <w:lang w:eastAsia="it-IT" w:bidi="it-IT"/>
        </w:rPr>
        <w:t>Come ho già avuto modo di ricordare in altre occasioni</w:t>
      </w:r>
      <w:r w:rsidR="00922170">
        <w:rPr>
          <w:rStyle w:val="Rimandonotaapidipagina"/>
          <w:rFonts w:eastAsia="Calibri" w:cstheme="minorHAnsi"/>
          <w:sz w:val="24"/>
          <w:szCs w:val="24"/>
          <w:lang w:eastAsia="it-IT" w:bidi="it-IT"/>
        </w:rPr>
        <w:footnoteReference w:id="26"/>
      </w:r>
      <w:r>
        <w:rPr>
          <w:rFonts w:eastAsia="Calibri" w:cstheme="minorHAnsi"/>
          <w:sz w:val="24"/>
          <w:szCs w:val="24"/>
          <w:lang w:eastAsia="it-IT" w:bidi="it-IT"/>
        </w:rPr>
        <w:t>, l</w:t>
      </w:r>
      <w:r w:rsidRPr="00314274">
        <w:rPr>
          <w:rFonts w:eastAsia="Calibri" w:cstheme="minorHAnsi"/>
          <w:sz w:val="24"/>
          <w:szCs w:val="24"/>
          <w:lang w:eastAsia="it-IT" w:bidi="it-IT"/>
        </w:rPr>
        <w:t xml:space="preserve">e dinamiche sempre più conflittuali - la guerra, la contro-rivoluzione, l’anti-rivoluzione, la progressiva lettura degli eventi in chiave di complotto, la caratterizzazione degli oppositori come «ennemis de </w:t>
      </w:r>
      <w:r w:rsidRPr="00314274">
        <w:rPr>
          <w:rFonts w:eastAsia="Calibri" w:cstheme="minorHAnsi"/>
          <w:sz w:val="24"/>
          <w:szCs w:val="24"/>
          <w:lang w:eastAsia="it-IT" w:bidi="it-IT"/>
        </w:rPr>
        <w:lastRenderedPageBreak/>
        <w:t xml:space="preserve">la patrie» e </w:t>
      </w:r>
      <w:r>
        <w:rPr>
          <w:rFonts w:eastAsia="Calibri" w:cstheme="minorHAnsi"/>
          <w:sz w:val="24"/>
          <w:szCs w:val="24"/>
          <w:lang w:eastAsia="it-IT" w:bidi="it-IT"/>
        </w:rPr>
        <w:t>«ennemis du peuple» - portano</w:t>
      </w:r>
      <w:r w:rsidRPr="00314274">
        <w:rPr>
          <w:rFonts w:eastAsia="Calibri" w:cstheme="minorHAnsi"/>
          <w:sz w:val="24"/>
          <w:szCs w:val="24"/>
          <w:lang w:eastAsia="it-IT" w:bidi="it-IT"/>
        </w:rPr>
        <w:t xml:space="preserve"> la «fraternité»</w:t>
      </w:r>
      <w:r>
        <w:rPr>
          <w:rFonts w:eastAsia="Calibri" w:cstheme="minorHAnsi"/>
          <w:sz w:val="24"/>
          <w:szCs w:val="24"/>
          <w:lang w:eastAsia="it-IT" w:bidi="it-IT"/>
        </w:rPr>
        <w:t xml:space="preserve"> del periodo rivoluzionario</w:t>
      </w:r>
      <w:r w:rsidRPr="00314274">
        <w:rPr>
          <w:rFonts w:eastAsia="Calibri" w:cstheme="minorHAnsi"/>
          <w:sz w:val="24"/>
          <w:szCs w:val="24"/>
          <w:lang w:eastAsia="it-IT" w:bidi="it-IT"/>
        </w:rPr>
        <w:t xml:space="preserve"> da un’iniziale dimensione universale e inclusiva a una connotazione divisiva. Progressivamente la f</w:t>
      </w:r>
      <w:r>
        <w:rPr>
          <w:rFonts w:eastAsia="Calibri" w:cstheme="minorHAnsi"/>
          <w:sz w:val="24"/>
          <w:szCs w:val="24"/>
          <w:lang w:eastAsia="it-IT" w:bidi="it-IT"/>
        </w:rPr>
        <w:t>raternità da espansiva diventa</w:t>
      </w:r>
      <w:r w:rsidR="00E9160C">
        <w:rPr>
          <w:rFonts w:eastAsia="Calibri" w:cstheme="minorHAnsi"/>
          <w:sz w:val="24"/>
          <w:szCs w:val="24"/>
          <w:lang w:eastAsia="it-IT" w:bidi="it-IT"/>
        </w:rPr>
        <w:t xml:space="preserve"> escludente e</w:t>
      </w:r>
      <w:r w:rsidRPr="00314274">
        <w:rPr>
          <w:rFonts w:eastAsia="Calibri" w:cstheme="minorHAnsi"/>
          <w:sz w:val="24"/>
          <w:szCs w:val="24"/>
          <w:lang w:eastAsia="it-IT" w:bidi="it-IT"/>
        </w:rPr>
        <w:t xml:space="preserve"> identitaria. </w:t>
      </w:r>
    </w:p>
    <w:p w14:paraId="4195FC41" w14:textId="3D1DEBCD" w:rsidR="00BB0023" w:rsidRPr="00314274" w:rsidRDefault="00B53F80" w:rsidP="00BB0023">
      <w:pPr>
        <w:spacing w:line="256" w:lineRule="auto"/>
        <w:jc w:val="both"/>
        <w:rPr>
          <w:rFonts w:eastAsia="Calibri" w:cstheme="minorHAnsi"/>
          <w:sz w:val="24"/>
          <w:szCs w:val="24"/>
          <w:lang w:eastAsia="it-IT" w:bidi="it-IT"/>
        </w:rPr>
      </w:pPr>
      <w:r>
        <w:rPr>
          <w:rFonts w:cstheme="minorHAnsi"/>
          <w:sz w:val="24"/>
          <w:szCs w:val="24"/>
        </w:rPr>
        <w:t>Il punto d’arrivo può essere indicato nel</w:t>
      </w:r>
      <w:r w:rsidR="00BB0023" w:rsidRPr="00314274">
        <w:rPr>
          <w:rFonts w:cstheme="minorHAnsi"/>
          <w:sz w:val="24"/>
          <w:szCs w:val="24"/>
        </w:rPr>
        <w:t xml:space="preserve"> </w:t>
      </w:r>
      <w:r w:rsidR="00BB0023" w:rsidRPr="00314274">
        <w:rPr>
          <w:rFonts w:cstheme="minorHAnsi"/>
          <w:i/>
          <w:sz w:val="24"/>
          <w:szCs w:val="24"/>
        </w:rPr>
        <w:t>Rapport</w:t>
      </w:r>
      <w:r w:rsidR="00BB0023" w:rsidRPr="00314274">
        <w:rPr>
          <w:rFonts w:cstheme="minorHAnsi"/>
          <w:sz w:val="24"/>
          <w:szCs w:val="24"/>
        </w:rPr>
        <w:t xml:space="preserve"> di Barère del 28 messidor an II (16 juillet 1794):</w:t>
      </w:r>
    </w:p>
    <w:p w14:paraId="31FB2AF2" w14:textId="77777777" w:rsidR="00BB0023" w:rsidRDefault="00BB0023" w:rsidP="00BB0023">
      <w:pPr>
        <w:spacing w:line="256" w:lineRule="auto"/>
        <w:jc w:val="both"/>
        <w:rPr>
          <w:rFonts w:cstheme="minorHAnsi"/>
          <w:lang w:val="fr-FR"/>
        </w:rPr>
      </w:pPr>
      <w:r w:rsidRPr="00314274">
        <w:rPr>
          <w:rFonts w:cstheme="minorHAnsi"/>
          <w:lang w:val="fr-FR"/>
        </w:rPr>
        <w:t>La fraternité est douce et modeste ; elle est le produit du temps et de la confiance ; elle consiste à secourir les malheureux, à défendre les patriotes opprimés, à s'éloigner des aristocrates corrupteurs, à dénoncer les contre-révolutionnaires déguisés, à soutenir la patrie et ses véritables représentans. Le sentiment de l'humanité s’évapore et s'affloiblit en s’étendant sur toute la terre : l'ami de l'univers ne connut jamais le délicieux sentiment de l'amour de la patrie ; il en est de même du sentiment de la fraternité : il faut en quelque manière le borner et le comprimer pour lui donner une activité utile. La fraternité doit être concentrée pendant la révolution entre les patriotes qu'un intérêt commun réunit. Les aristocrates n'ont point ici de patrie, et nos ennemis ne peuvent être nos frères</w:t>
      </w:r>
      <w:r w:rsidR="004E7F5A">
        <w:rPr>
          <w:rStyle w:val="Rimandonotaapidipagina"/>
          <w:rFonts w:cstheme="minorHAnsi"/>
          <w:lang w:val="fr-FR"/>
        </w:rPr>
        <w:footnoteReference w:id="27"/>
      </w:r>
      <w:r w:rsidRPr="00314274">
        <w:rPr>
          <w:rFonts w:cstheme="minorHAnsi"/>
          <w:lang w:val="fr-FR"/>
        </w:rPr>
        <w:t>.</w:t>
      </w:r>
    </w:p>
    <w:p w14:paraId="0BAB5DE2" w14:textId="77777777" w:rsidR="000724B8" w:rsidRPr="000724B8" w:rsidRDefault="000724B8" w:rsidP="000724B8">
      <w:pPr>
        <w:spacing w:line="256" w:lineRule="auto"/>
        <w:jc w:val="both"/>
        <w:rPr>
          <w:rFonts w:cstheme="minorHAnsi"/>
          <w:sz w:val="24"/>
          <w:szCs w:val="24"/>
        </w:rPr>
      </w:pPr>
      <w:r w:rsidRPr="000724B8">
        <w:rPr>
          <w:rFonts w:cstheme="minorHAnsi"/>
          <w:sz w:val="24"/>
          <w:szCs w:val="24"/>
        </w:rPr>
        <w:t>Siamo ben lontani da quando Mirabeau nell’agosto 1789 evocava la «fraternité universelle»:</w:t>
      </w:r>
    </w:p>
    <w:p w14:paraId="483D6405" w14:textId="77777777" w:rsidR="000724B8" w:rsidRDefault="000724B8" w:rsidP="000724B8">
      <w:pPr>
        <w:spacing w:line="256" w:lineRule="auto"/>
        <w:jc w:val="both"/>
        <w:rPr>
          <w:rFonts w:cstheme="minorHAnsi"/>
          <w:lang w:val="fr-FR"/>
        </w:rPr>
      </w:pPr>
      <w:r w:rsidRPr="000724B8">
        <w:rPr>
          <w:rFonts w:cstheme="minorHAnsi"/>
          <w:lang w:val="fr-FR"/>
        </w:rPr>
        <w:t>[…] la liberté générale bannira du monde entier les absurdes oppressions qui accablent les hommes, les préjugés d'ignorance et de cupidité qui les divisent, les jalousies insensées qui tourmentent les nations, et fera renaître une fraternité universelle, sans laquelle tous les avantages publics et individuels sont si douteux et si précaires</w:t>
      </w:r>
      <w:r w:rsidR="005B7D3F">
        <w:rPr>
          <w:rStyle w:val="Rimandonotaapidipagina"/>
          <w:rFonts w:cstheme="minorHAnsi"/>
          <w:lang w:val="fr-FR"/>
        </w:rPr>
        <w:footnoteReference w:id="28"/>
      </w:r>
      <w:r w:rsidR="005B7D3F">
        <w:rPr>
          <w:rFonts w:cstheme="minorHAnsi"/>
          <w:lang w:val="fr-FR"/>
        </w:rPr>
        <w:t>.</w:t>
      </w:r>
    </w:p>
    <w:p w14:paraId="42C4909A" w14:textId="37DDE0FA" w:rsidR="005B223B" w:rsidRDefault="005B223B" w:rsidP="002C6CD3">
      <w:pPr>
        <w:jc w:val="both"/>
        <w:rPr>
          <w:sz w:val="24"/>
          <w:szCs w:val="24"/>
        </w:rPr>
      </w:pPr>
      <w:r>
        <w:rPr>
          <w:sz w:val="24"/>
          <w:szCs w:val="24"/>
        </w:rPr>
        <w:t>Il dubbio che la fraternità possa essere usata strumentalmente a fini di parte attraversa tutti gli schieramenti, che si contendono la legittimità politica nel teatro della rivoluzione. Nell’agosto 1791 Claude Fauchet (figura di punta del cattolicesimo riformatore illuminista,</w:t>
      </w:r>
      <w:r w:rsidR="002C6CD3">
        <w:rPr>
          <w:sz w:val="24"/>
          <w:szCs w:val="24"/>
        </w:rPr>
        <w:t xml:space="preserve"> Impegnato in un difficile sforzo di conciliare massoneria e cristianesimo primitivo, </w:t>
      </w:r>
      <w:r>
        <w:rPr>
          <w:sz w:val="24"/>
          <w:szCs w:val="24"/>
        </w:rPr>
        <w:t xml:space="preserve">ispiratore del </w:t>
      </w:r>
      <w:r w:rsidRPr="00977677">
        <w:rPr>
          <w:i/>
          <w:sz w:val="24"/>
          <w:szCs w:val="24"/>
        </w:rPr>
        <w:t>Cercle social</w:t>
      </w:r>
      <w:r>
        <w:rPr>
          <w:sz w:val="24"/>
          <w:szCs w:val="24"/>
        </w:rPr>
        <w:t xml:space="preserve">, redattore della </w:t>
      </w:r>
      <w:r w:rsidRPr="008B5C5D">
        <w:rPr>
          <w:i/>
          <w:sz w:val="24"/>
          <w:szCs w:val="24"/>
        </w:rPr>
        <w:t>Bouche de fer</w:t>
      </w:r>
      <w:r>
        <w:rPr>
          <w:sz w:val="24"/>
          <w:szCs w:val="24"/>
        </w:rPr>
        <w:t>, vescovo costituzionale del Calvados, deputato all’assemblea Legislativa e alla Convenzione, approdato a posizioni vicine ai girondini e ghigliottinato il 31 ottobre 1793)</w:t>
      </w:r>
      <w:r>
        <w:rPr>
          <w:rStyle w:val="Rimandonotaapidipagina"/>
          <w:sz w:val="24"/>
          <w:szCs w:val="24"/>
        </w:rPr>
        <w:footnoteReference w:id="29"/>
      </w:r>
      <w:r>
        <w:rPr>
          <w:sz w:val="24"/>
          <w:szCs w:val="24"/>
        </w:rPr>
        <w:t xml:space="preserve"> viene </w:t>
      </w:r>
      <w:r>
        <w:rPr>
          <w:sz w:val="24"/>
          <w:szCs w:val="24"/>
        </w:rPr>
        <w:lastRenderedPageBreak/>
        <w:t>accusato dai Foglianti (il gruppo che si era scisso da destra dal club dei giacobini nel luglio 1791) del comune di Bayeux di predicare la fraternità per ingannare il popolo:</w:t>
      </w:r>
    </w:p>
    <w:p w14:paraId="43F77D20" w14:textId="7C40B164" w:rsidR="005B223B" w:rsidRPr="00715510" w:rsidRDefault="005B223B" w:rsidP="005B223B">
      <w:pPr>
        <w:jc w:val="both"/>
        <w:rPr>
          <w:lang w:val="fr-FR"/>
        </w:rPr>
      </w:pPr>
      <w:r w:rsidRPr="00715510">
        <w:rPr>
          <w:lang w:val="fr-FR"/>
        </w:rPr>
        <w:t xml:space="preserve">C’est avec douleur que la municipalité de Bayeux porte à l'Assemblée nationale de justes plaintes contre M. Claude Fauchet, </w:t>
      </w:r>
      <w:r w:rsidR="002660A6" w:rsidRPr="00715510">
        <w:rPr>
          <w:lang w:val="fr-FR"/>
        </w:rPr>
        <w:t>évêque</w:t>
      </w:r>
      <w:r w:rsidRPr="00715510">
        <w:rPr>
          <w:lang w:val="fr-FR"/>
        </w:rPr>
        <w:t xml:space="preserve"> de ce département; contre M. Etampes, son vicaire. Cet homme, qu'une certaine réputation de fermeté et de patriotisme avait porté ce département à choisir pour son </w:t>
      </w:r>
      <w:r w:rsidR="002660A6" w:rsidRPr="00715510">
        <w:rPr>
          <w:lang w:val="fr-FR"/>
        </w:rPr>
        <w:t>évêque</w:t>
      </w:r>
      <w:r w:rsidRPr="00715510">
        <w:rPr>
          <w:lang w:val="fr-FR"/>
        </w:rPr>
        <w:t>, comme l'homme le plus propre à combattre la malveillance de nos ennemis, en est actuellement l'ennemi le plus cruel ; il ne veut aucun gouvernement. L'Assemblée nationale a décrété une constitution monarchique : la monarchie lui est odieuse ; une constitution représentative : il voudrait que le peuple exerçât lui-même ses pouvoirs. Il prêche déjà la dissolution du gouvernement, qui est à peine établi ; il excite les hommes à l'insurrection […] Un grand étalage de principes, les grands mots de patriotisme et de fraternité religieuse y sont employés pour égarer le peuple; c'est dans la chaire évangélique qu'on excite le peuple contre ses administrateurs; plusieurs fonctionnaires publics ont été obligés de quitter la ville […] Redoublant l'appareil épiscopal, M. Claude Fauchet monte en chaire, lit des mandements où le peuple est soigneusement averti de sa force, fait de la chaire une tribune aux harangues, déclame contre toutes les autorités. Cette doctrine anarchique électrise tous les esprits. Si l'Assemblée ne prend des mesures de sévérité, c'en est fait de notre département, et une doctrine anarchique va remplacer vos sages Institutions</w:t>
      </w:r>
      <w:r>
        <w:rPr>
          <w:rStyle w:val="Rimandonotaapidipagina"/>
          <w:lang w:val="fr-FR"/>
        </w:rPr>
        <w:footnoteReference w:id="30"/>
      </w:r>
      <w:r w:rsidRPr="00715510">
        <w:rPr>
          <w:lang w:val="fr-FR"/>
        </w:rPr>
        <w:t>.</w:t>
      </w:r>
    </w:p>
    <w:p w14:paraId="7632E124" w14:textId="1F4FB68E" w:rsidR="008D615A" w:rsidRPr="002660A6" w:rsidRDefault="005B223B" w:rsidP="008D615A">
      <w:pPr>
        <w:jc w:val="both"/>
        <w:rPr>
          <w:sz w:val="24"/>
          <w:szCs w:val="24"/>
          <w:lang w:val="fr-FR"/>
        </w:rPr>
      </w:pPr>
      <w:r>
        <w:rPr>
          <w:sz w:val="24"/>
          <w:szCs w:val="24"/>
        </w:rPr>
        <w:t xml:space="preserve">La diffidenza nei riguardi della fraternità investe tutti i segmenti in cui comincia a frantumarsi il fronte dei </w:t>
      </w:r>
      <w:r w:rsidRPr="000A374A">
        <w:rPr>
          <w:sz w:val="24"/>
          <w:szCs w:val="24"/>
        </w:rPr>
        <w:t>«</w:t>
      </w:r>
      <w:r>
        <w:rPr>
          <w:sz w:val="24"/>
          <w:szCs w:val="24"/>
        </w:rPr>
        <w:t>patriotes</w:t>
      </w:r>
      <w:r w:rsidRPr="000A374A">
        <w:rPr>
          <w:sz w:val="24"/>
          <w:szCs w:val="24"/>
        </w:rPr>
        <w:t>»</w:t>
      </w:r>
      <w:r>
        <w:rPr>
          <w:sz w:val="24"/>
          <w:szCs w:val="24"/>
        </w:rPr>
        <w:t xml:space="preserve"> nell’ultima fase dell’Assemblea Costituente e in particolare a partire dalla crisi di Varennes del giugno – luglio 1791.</w:t>
      </w:r>
      <w:r w:rsidR="008D615A" w:rsidRPr="005B223B">
        <w:rPr>
          <w:sz w:val="24"/>
          <w:szCs w:val="24"/>
        </w:rPr>
        <w:t xml:space="preserve"> </w:t>
      </w:r>
      <w:r w:rsidR="008D615A" w:rsidRPr="002660A6">
        <w:rPr>
          <w:sz w:val="24"/>
          <w:szCs w:val="24"/>
          <w:lang w:val="fr-FR"/>
        </w:rPr>
        <w:t>Nel luglio 1792 Brissot affronta la questione in modo esplicito:</w:t>
      </w:r>
    </w:p>
    <w:p w14:paraId="18F40D4E" w14:textId="77777777" w:rsidR="008D615A" w:rsidRDefault="008D615A" w:rsidP="008D615A">
      <w:pPr>
        <w:jc w:val="both"/>
        <w:rPr>
          <w:rFonts w:ascii="Times New Roman" w:hAnsi="Times New Roman" w:cs="Times New Roman"/>
          <w:lang w:val="fr-FR"/>
        </w:rPr>
      </w:pPr>
      <w:r w:rsidRPr="008D615A">
        <w:rPr>
          <w:lang w:val="fr-FR"/>
        </w:rPr>
        <w:t>Messieurs, la fraternité que nous avons jurée, doit inspirer les plus douces espérances pour nos discussions futures ; elle doit en inspirer pour le succès des grandes mesures que vous allez décréter : elle doit, en électrisant toutes les âmes sur la surface de cet Empire, ne faire qu'une grande famille de tous ceux qui veulent sincèrement la liberté et l’égalité ; car c'est entre ces hommes seuls qu'une véritable réunion peut subsister. Mais, Messieurs, en réunissant les âmes, cette fraternité ne peut enchaîner les opinions : elle nous commande des égards en les exposant, de l'indulgence pour les erreurs de nos frères ; elle nous défend de leur supposer des intentions perverses. Mais là s'arrête la voix de fraternité. Notre conscience est toujours à nous, à nous seuls : elle doit être libre ; ou bien nous aurions engagé ce qui ne peut jamais s'aliéner, ou bien nous aurions trahi l'intérêt du peuple. La fraternité doit exister d'abord entre les hommes qui ont les mêmes opinions, ensuite entre ceux qui, quoique d'opinion différente, se chérissent et s'estiment. Ayons toujours cette dernière fraternité : cherchons</w:t>
      </w:r>
      <w:r>
        <w:rPr>
          <w:lang w:val="fr-FR"/>
        </w:rPr>
        <w:t xml:space="preserve"> </w:t>
      </w:r>
      <w:r w:rsidRPr="00924A64">
        <w:rPr>
          <w:rFonts w:ascii="Times New Roman" w:hAnsi="Times New Roman" w:cs="Times New Roman"/>
          <w:lang w:val="fr-FR"/>
        </w:rPr>
        <w:t>l'autre ; mais n'y contraignons pas notre conscience. Avant tout, et même avant cette fraternité, nous sommes à nous, nous sommes au peuple qui nous a confié ses intérêts</w:t>
      </w:r>
      <w:r w:rsidR="004E7F5A">
        <w:rPr>
          <w:rStyle w:val="Rimandonotaapidipagina"/>
          <w:rFonts w:ascii="Times New Roman" w:hAnsi="Times New Roman" w:cs="Times New Roman"/>
          <w:lang w:val="fr-FR"/>
        </w:rPr>
        <w:footnoteReference w:id="31"/>
      </w:r>
      <w:r>
        <w:rPr>
          <w:rFonts w:ascii="Times New Roman" w:hAnsi="Times New Roman" w:cs="Times New Roman"/>
          <w:lang w:val="fr-FR"/>
        </w:rPr>
        <w:t>.</w:t>
      </w:r>
    </w:p>
    <w:p w14:paraId="65AF1A1D" w14:textId="02DDB7FE" w:rsidR="00E422B5" w:rsidRPr="00937AFB" w:rsidRDefault="00E422B5" w:rsidP="00314274">
      <w:pPr>
        <w:spacing w:line="256" w:lineRule="auto"/>
        <w:jc w:val="both"/>
        <w:rPr>
          <w:rFonts w:cstheme="minorHAnsi"/>
          <w:sz w:val="24"/>
          <w:szCs w:val="24"/>
        </w:rPr>
      </w:pPr>
      <w:r w:rsidRPr="00E422B5">
        <w:rPr>
          <w:rFonts w:cstheme="minorHAnsi"/>
          <w:sz w:val="24"/>
          <w:szCs w:val="24"/>
        </w:rPr>
        <w:t xml:space="preserve">Anche </w:t>
      </w:r>
      <w:r>
        <w:rPr>
          <w:rFonts w:cstheme="minorHAnsi"/>
          <w:sz w:val="24"/>
          <w:szCs w:val="24"/>
        </w:rPr>
        <w:t>Robespierre parte da una latitudine</w:t>
      </w:r>
      <w:r w:rsidRPr="00E422B5">
        <w:rPr>
          <w:rFonts w:cstheme="minorHAnsi"/>
          <w:sz w:val="24"/>
          <w:szCs w:val="24"/>
        </w:rPr>
        <w:t xml:space="preserve"> molto ampia di «fraternité»</w:t>
      </w:r>
      <w:r>
        <w:rPr>
          <w:rFonts w:cstheme="minorHAnsi"/>
          <w:sz w:val="24"/>
          <w:szCs w:val="24"/>
        </w:rPr>
        <w:t xml:space="preserve"> e arriva a una </w:t>
      </w:r>
      <w:bookmarkStart w:id="3" w:name="_Hlk19627352"/>
      <w:r w:rsidRPr="00E422B5">
        <w:rPr>
          <w:rFonts w:cstheme="minorHAnsi"/>
          <w:sz w:val="24"/>
          <w:szCs w:val="24"/>
        </w:rPr>
        <w:t>«fraternité»</w:t>
      </w:r>
      <w:r>
        <w:rPr>
          <w:rFonts w:cstheme="minorHAnsi"/>
          <w:sz w:val="24"/>
          <w:szCs w:val="24"/>
        </w:rPr>
        <w:t xml:space="preserve"> </w:t>
      </w:r>
      <w:bookmarkEnd w:id="3"/>
      <w:r>
        <w:rPr>
          <w:rFonts w:cstheme="minorHAnsi"/>
          <w:sz w:val="24"/>
          <w:szCs w:val="24"/>
        </w:rPr>
        <w:t xml:space="preserve">escludente e identitaria. </w:t>
      </w:r>
      <w:r w:rsidRPr="00E422B5">
        <w:rPr>
          <w:rFonts w:cstheme="minorHAnsi"/>
          <w:sz w:val="24"/>
          <w:szCs w:val="24"/>
          <w:lang w:val="fr-FR"/>
        </w:rPr>
        <w:t>Anc</w:t>
      </w:r>
      <w:r w:rsidR="00937AFB">
        <w:rPr>
          <w:rFonts w:cstheme="minorHAnsi"/>
          <w:sz w:val="24"/>
          <w:szCs w:val="24"/>
          <w:lang w:val="fr-FR"/>
        </w:rPr>
        <w:t xml:space="preserve">ora nell’aprile 1793 </w:t>
      </w:r>
      <w:r w:rsidR="00937AFB" w:rsidRPr="00E422B5">
        <w:rPr>
          <w:rFonts w:cstheme="minorHAnsi"/>
          <w:sz w:val="24"/>
          <w:szCs w:val="24"/>
          <w:lang w:val="fr-FR"/>
        </w:rPr>
        <w:t>richiama</w:t>
      </w:r>
      <w:r w:rsidRPr="00E422B5">
        <w:rPr>
          <w:rFonts w:cstheme="minorHAnsi"/>
          <w:sz w:val="24"/>
          <w:szCs w:val="24"/>
          <w:lang w:val="fr-FR"/>
        </w:rPr>
        <w:t xml:space="preserve"> con forza</w:t>
      </w:r>
      <w:r w:rsidR="00E44AF3" w:rsidRPr="00E422B5">
        <w:rPr>
          <w:rFonts w:cstheme="minorHAnsi"/>
          <w:sz w:val="24"/>
          <w:szCs w:val="24"/>
          <w:lang w:val="fr-FR"/>
        </w:rPr>
        <w:t xml:space="preserve"> « les</w:t>
      </w:r>
      <w:r w:rsidRPr="00E422B5">
        <w:rPr>
          <w:rFonts w:cstheme="minorHAnsi"/>
          <w:sz w:val="24"/>
          <w:szCs w:val="24"/>
          <w:lang w:val="fr-FR"/>
        </w:rPr>
        <w:t xml:space="preserve"> devoirs de fraternité qui </w:t>
      </w:r>
      <w:r w:rsidRPr="00E422B5">
        <w:rPr>
          <w:rFonts w:cstheme="minorHAnsi"/>
          <w:sz w:val="24"/>
          <w:szCs w:val="24"/>
          <w:lang w:val="fr-FR"/>
        </w:rPr>
        <w:lastRenderedPageBreak/>
        <w:t xml:space="preserve">unissent tous les hommes et toutes les </w:t>
      </w:r>
      <w:r w:rsidR="00E44AF3" w:rsidRPr="00E422B5">
        <w:rPr>
          <w:rFonts w:cstheme="minorHAnsi"/>
          <w:sz w:val="24"/>
          <w:szCs w:val="24"/>
          <w:lang w:val="fr-FR"/>
        </w:rPr>
        <w:t>nations »</w:t>
      </w:r>
      <w:r w:rsidR="005B7D3F">
        <w:rPr>
          <w:rStyle w:val="Rimandonotaapidipagina"/>
          <w:rFonts w:cstheme="minorHAnsi"/>
          <w:sz w:val="24"/>
          <w:szCs w:val="24"/>
          <w:lang w:val="fr-FR"/>
        </w:rPr>
        <w:footnoteReference w:id="32"/>
      </w:r>
      <w:r w:rsidRPr="00E422B5">
        <w:rPr>
          <w:rFonts w:cstheme="minorHAnsi"/>
          <w:sz w:val="24"/>
          <w:szCs w:val="24"/>
          <w:lang w:val="fr-FR"/>
        </w:rPr>
        <w:t>.</w:t>
      </w:r>
      <w:r>
        <w:rPr>
          <w:rFonts w:cstheme="minorHAnsi"/>
          <w:sz w:val="24"/>
          <w:szCs w:val="24"/>
          <w:lang w:val="fr-FR"/>
        </w:rPr>
        <w:t xml:space="preserve"> </w:t>
      </w:r>
      <w:r w:rsidRPr="00937AFB">
        <w:rPr>
          <w:rFonts w:cstheme="minorHAnsi"/>
          <w:sz w:val="24"/>
          <w:szCs w:val="24"/>
        </w:rPr>
        <w:t>Ma</w:t>
      </w:r>
      <w:r w:rsidR="00937AFB" w:rsidRPr="00937AFB">
        <w:rPr>
          <w:rFonts w:cstheme="minorHAnsi"/>
          <w:sz w:val="24"/>
          <w:szCs w:val="24"/>
        </w:rPr>
        <w:t xml:space="preserve"> </w:t>
      </w:r>
      <w:r w:rsidR="00937AFB" w:rsidRPr="00937AFB">
        <w:rPr>
          <w:rFonts w:cstheme="minorHAnsi"/>
          <w:sz w:val="24"/>
          <w:szCs w:val="24"/>
          <w:lang w:bidi="it-IT"/>
        </w:rPr>
        <w:t>poco prima di Termidoro, in un intervento del 16 luglio 1794 al club dei giacobini (il giorno stesso del so</w:t>
      </w:r>
      <w:r w:rsidR="00937AFB">
        <w:rPr>
          <w:rFonts w:cstheme="minorHAnsi"/>
          <w:sz w:val="24"/>
          <w:szCs w:val="24"/>
          <w:lang w:bidi="it-IT"/>
        </w:rPr>
        <w:t>pracitato intervento di Barère),</w:t>
      </w:r>
      <w:r w:rsidR="00937AFB">
        <w:rPr>
          <w:rFonts w:cstheme="minorHAnsi"/>
          <w:sz w:val="24"/>
          <w:szCs w:val="24"/>
        </w:rPr>
        <w:t xml:space="preserve"> </w:t>
      </w:r>
      <w:r w:rsidR="00937AFB" w:rsidRPr="00937AFB">
        <w:rPr>
          <w:rFonts w:cstheme="minorHAnsi"/>
          <w:sz w:val="24"/>
          <w:szCs w:val="24"/>
        </w:rPr>
        <w:t>la fraternità è riservata esclusivamente</w:t>
      </w:r>
      <w:r w:rsidR="00937AFB">
        <w:rPr>
          <w:rFonts w:cstheme="minorHAnsi"/>
          <w:sz w:val="24"/>
          <w:szCs w:val="24"/>
        </w:rPr>
        <w:t xml:space="preserve"> alla propria parte politica</w:t>
      </w:r>
      <w:r w:rsidR="00077223">
        <w:rPr>
          <w:rFonts w:cstheme="minorHAnsi"/>
          <w:sz w:val="24"/>
          <w:szCs w:val="24"/>
        </w:rPr>
        <w:t xml:space="preserve">, connotata nel lessico di Robespierre come </w:t>
      </w:r>
      <w:bookmarkStart w:id="4" w:name="_Hlk19627413"/>
      <w:r w:rsidR="00077223" w:rsidRPr="00077223">
        <w:rPr>
          <w:rFonts w:cstheme="minorHAnsi"/>
          <w:sz w:val="24"/>
          <w:szCs w:val="24"/>
        </w:rPr>
        <w:t>«</w:t>
      </w:r>
      <w:r w:rsidR="00077223">
        <w:rPr>
          <w:rFonts w:cstheme="minorHAnsi"/>
          <w:sz w:val="24"/>
          <w:szCs w:val="24"/>
        </w:rPr>
        <w:t>patriotes</w:t>
      </w:r>
      <w:r w:rsidR="00077223" w:rsidRPr="00077223">
        <w:rPr>
          <w:rFonts w:cstheme="minorHAnsi"/>
          <w:sz w:val="24"/>
          <w:szCs w:val="24"/>
        </w:rPr>
        <w:t>»</w:t>
      </w:r>
      <w:r w:rsidR="00077223">
        <w:rPr>
          <w:rFonts w:cstheme="minorHAnsi"/>
          <w:sz w:val="24"/>
          <w:szCs w:val="24"/>
        </w:rPr>
        <w:t xml:space="preserve"> </w:t>
      </w:r>
      <w:bookmarkEnd w:id="4"/>
      <w:r w:rsidR="00077223">
        <w:rPr>
          <w:rFonts w:cstheme="minorHAnsi"/>
          <w:sz w:val="24"/>
          <w:szCs w:val="24"/>
        </w:rPr>
        <w:t xml:space="preserve">contrapposti ad </w:t>
      </w:r>
      <w:r w:rsidR="00077223" w:rsidRPr="00077223">
        <w:rPr>
          <w:rFonts w:cstheme="minorHAnsi"/>
          <w:sz w:val="24"/>
          <w:szCs w:val="24"/>
        </w:rPr>
        <w:t>«</w:t>
      </w:r>
      <w:r w:rsidR="00077223">
        <w:rPr>
          <w:rFonts w:cstheme="minorHAnsi"/>
          <w:sz w:val="24"/>
          <w:szCs w:val="24"/>
        </w:rPr>
        <w:t>aristocrates</w:t>
      </w:r>
      <w:bookmarkStart w:id="5" w:name="_Hlk19628169"/>
      <w:r w:rsidR="00077223" w:rsidRPr="00077223">
        <w:rPr>
          <w:rFonts w:cstheme="minorHAnsi"/>
          <w:sz w:val="24"/>
          <w:szCs w:val="24"/>
        </w:rPr>
        <w:t>»</w:t>
      </w:r>
      <w:bookmarkEnd w:id="5"/>
      <w:r w:rsidR="00077223">
        <w:rPr>
          <w:rFonts w:cstheme="minorHAnsi"/>
          <w:sz w:val="24"/>
          <w:szCs w:val="24"/>
        </w:rPr>
        <w:t>, e che noi</w:t>
      </w:r>
      <w:r w:rsidR="00CA0D4D">
        <w:rPr>
          <w:rFonts w:cstheme="minorHAnsi"/>
          <w:sz w:val="24"/>
          <w:szCs w:val="24"/>
        </w:rPr>
        <w:t xml:space="preserve"> -</w:t>
      </w:r>
      <w:r w:rsidR="00077223">
        <w:rPr>
          <w:rFonts w:cstheme="minorHAnsi"/>
          <w:sz w:val="24"/>
          <w:szCs w:val="24"/>
        </w:rPr>
        <w:t xml:space="preserve"> con alcune cautele</w:t>
      </w:r>
      <w:r w:rsidR="00CA0D4D">
        <w:rPr>
          <w:rFonts w:cstheme="minorHAnsi"/>
          <w:sz w:val="24"/>
          <w:szCs w:val="24"/>
        </w:rPr>
        <w:t xml:space="preserve"> -</w:t>
      </w:r>
      <w:r w:rsidR="00077223">
        <w:rPr>
          <w:rFonts w:cstheme="minorHAnsi"/>
          <w:sz w:val="24"/>
          <w:szCs w:val="24"/>
        </w:rPr>
        <w:t xml:space="preserve"> potremmo definire giacobini robespierristi</w:t>
      </w:r>
      <w:r w:rsidR="001B0EEB">
        <w:rPr>
          <w:rStyle w:val="Rimandonotaapidipagina"/>
          <w:rFonts w:cstheme="minorHAnsi"/>
          <w:sz w:val="24"/>
          <w:szCs w:val="24"/>
        </w:rPr>
        <w:footnoteReference w:id="33"/>
      </w:r>
      <w:r w:rsidR="00077223">
        <w:rPr>
          <w:rFonts w:cstheme="minorHAnsi"/>
          <w:sz w:val="24"/>
          <w:szCs w:val="24"/>
        </w:rPr>
        <w:t>:</w:t>
      </w:r>
    </w:p>
    <w:p w14:paraId="0989ADE5" w14:textId="451882E3" w:rsidR="00E422B5" w:rsidRPr="00E422B5" w:rsidRDefault="00E422B5" w:rsidP="00E422B5">
      <w:pPr>
        <w:spacing w:line="256" w:lineRule="auto"/>
        <w:jc w:val="both"/>
        <w:rPr>
          <w:rFonts w:cstheme="minorHAnsi"/>
          <w:lang w:val="fr-FR"/>
        </w:rPr>
      </w:pPr>
      <w:r w:rsidRPr="00E422B5">
        <w:rPr>
          <w:rFonts w:cstheme="minorHAnsi"/>
          <w:lang w:val="fr-FR"/>
        </w:rPr>
        <w:t>Il ne faut pas que l'aristocratie puisse accuser la Convention de ne pas aimer la fraternité, il est donc utile d'exposer, ici, les vérités qui ont été la base de ce sage décret, et de montrer que les aristocrates savent abuser contre nous de nos vertus même : un des secrets les plus dangereux de l'aristocratie, est de faire dans un tems ce qui n'est bon à faire que dans un autre. Voulez-vous que la Révolution n’arrive pas à un terme heureux et désirable, fraternisez avec le crime ; jamais la fraternité ne peut exister que pour les amis de la vertu, il n’est pas possible que les gens de bien s’unissent avec leurs ennemis et leurs assassins : étouffons tous les germes de discorde, soyons justes envers tout le monde et même envers le crime, mais prenons garde de nous compromettre par des démarches indiscrettes [</w:t>
      </w:r>
      <w:r w:rsidRPr="00E422B5">
        <w:rPr>
          <w:rFonts w:cstheme="minorHAnsi"/>
          <w:i/>
          <w:lang w:val="fr-FR"/>
        </w:rPr>
        <w:t>sic!</w:t>
      </w:r>
      <w:r w:rsidRPr="00E422B5">
        <w:rPr>
          <w:rFonts w:cstheme="minorHAnsi"/>
          <w:lang w:val="fr-FR"/>
        </w:rPr>
        <w:t xml:space="preserve">] La fraternité est l'union des cœurs, c'est l'union des principes : le patriote ne peut s'allier qu'à un patriote ; s'il s'unit à d'autres, il perd ses forces au lieu de les augmenter. Lorsqu'un peuple a établi sa liberté et sa tranquillité sur des lois sages, lorsque ses ennemis sont réduits à l'impuissance de lui nuire, le moment de la fraternité est </w:t>
      </w:r>
      <w:r w:rsidR="001B6055" w:rsidRPr="00E422B5">
        <w:rPr>
          <w:rFonts w:cstheme="minorHAnsi"/>
          <w:lang w:val="fr-FR"/>
        </w:rPr>
        <w:t>arrivé ;</w:t>
      </w:r>
      <w:r w:rsidRPr="00E422B5">
        <w:rPr>
          <w:rFonts w:cstheme="minorHAnsi"/>
          <w:lang w:val="fr-FR"/>
        </w:rPr>
        <w:t xml:space="preserve"> mais tant qu'il existe des ennemis de la liberté, que les aristocrates fraternisent entre eux, et les patriotes avec les patriotes</w:t>
      </w:r>
      <w:r w:rsidR="005B7D3F">
        <w:rPr>
          <w:rStyle w:val="Rimandonotaapidipagina"/>
          <w:rFonts w:cstheme="minorHAnsi"/>
          <w:lang w:val="fr-FR"/>
        </w:rPr>
        <w:footnoteReference w:id="34"/>
      </w:r>
      <w:r w:rsidRPr="00E422B5">
        <w:rPr>
          <w:rFonts w:cstheme="minorHAnsi"/>
          <w:lang w:val="fr-FR"/>
        </w:rPr>
        <w:t>.</w:t>
      </w:r>
    </w:p>
    <w:p w14:paraId="43C8EBC4" w14:textId="77777777" w:rsidR="00973F98" w:rsidRDefault="008E4946" w:rsidP="00973F98">
      <w:pPr>
        <w:jc w:val="both"/>
        <w:rPr>
          <w:sz w:val="24"/>
          <w:szCs w:val="24"/>
        </w:rPr>
      </w:pPr>
      <w:r w:rsidRPr="00CC78DE">
        <w:rPr>
          <w:sz w:val="24"/>
          <w:szCs w:val="24"/>
        </w:rPr>
        <w:t>La latitudine della fraternità – quando evocata esplicitamente nel discorso pubblico come sostantivo astratto o attraverso le altre forme della stessa famiglia lessicale - man mano si restringe nel corso della rivoluz</w:t>
      </w:r>
      <w:r>
        <w:rPr>
          <w:sz w:val="24"/>
          <w:szCs w:val="24"/>
        </w:rPr>
        <w:t xml:space="preserve">ione. Questo è un dato di fatto, riscontrabile in </w:t>
      </w:r>
      <w:r w:rsidRPr="00872BEA">
        <w:rPr>
          <w:sz w:val="24"/>
          <w:szCs w:val="24"/>
        </w:rPr>
        <w:t>tutti gli schieramenti che prendono corpo, si scompongono e si ricompongono sulla scena della rivoluzione</w:t>
      </w:r>
      <w:r w:rsidR="004F6F23">
        <w:rPr>
          <w:rStyle w:val="Rimandonotaapidipagina"/>
          <w:sz w:val="24"/>
          <w:szCs w:val="24"/>
        </w:rPr>
        <w:footnoteReference w:id="35"/>
      </w:r>
      <w:r>
        <w:rPr>
          <w:sz w:val="24"/>
          <w:szCs w:val="24"/>
        </w:rPr>
        <w:t>.</w:t>
      </w:r>
      <w:r w:rsidRPr="00CC78DE">
        <w:rPr>
          <w:sz w:val="24"/>
          <w:szCs w:val="24"/>
        </w:rPr>
        <w:t xml:space="preserve"> </w:t>
      </w:r>
      <w:r w:rsidR="00D35257">
        <w:rPr>
          <w:sz w:val="24"/>
          <w:szCs w:val="24"/>
        </w:rPr>
        <w:t xml:space="preserve">La «fraternité universelle», </w:t>
      </w:r>
      <w:r w:rsidR="00DD61E9" w:rsidRPr="00DD61E9">
        <w:rPr>
          <w:sz w:val="24"/>
          <w:szCs w:val="24"/>
        </w:rPr>
        <w:t>evocata ancora nell’agosto 179</w:t>
      </w:r>
      <w:r w:rsidR="00D35257">
        <w:rPr>
          <w:sz w:val="24"/>
          <w:szCs w:val="24"/>
        </w:rPr>
        <w:t>2 come un valore, sia pur difficilmente realizzabile</w:t>
      </w:r>
      <w:r w:rsidR="00D35257">
        <w:rPr>
          <w:rStyle w:val="Rimandonotaapidipagina"/>
          <w:sz w:val="24"/>
          <w:szCs w:val="24"/>
        </w:rPr>
        <w:footnoteReference w:id="36"/>
      </w:r>
      <w:r w:rsidR="00D35257">
        <w:rPr>
          <w:sz w:val="24"/>
          <w:szCs w:val="24"/>
        </w:rPr>
        <w:t xml:space="preserve">, </w:t>
      </w:r>
      <w:r w:rsidR="009249D9" w:rsidRPr="00DD61E9">
        <w:rPr>
          <w:sz w:val="24"/>
          <w:szCs w:val="24"/>
        </w:rPr>
        <w:t>sarà ritenuta</w:t>
      </w:r>
      <w:r w:rsidR="00DD61E9">
        <w:rPr>
          <w:sz w:val="24"/>
          <w:szCs w:val="24"/>
        </w:rPr>
        <w:t xml:space="preserve"> nel 1793</w:t>
      </w:r>
      <w:r w:rsidR="009249D9" w:rsidRPr="00DD61E9">
        <w:rPr>
          <w:sz w:val="24"/>
          <w:szCs w:val="24"/>
        </w:rPr>
        <w:t xml:space="preserve"> «fruit d'une douce mais chimérique philanthropie»</w:t>
      </w:r>
      <w:r w:rsidR="009249D9">
        <w:rPr>
          <w:rStyle w:val="Rimandonotaapidipagina"/>
          <w:sz w:val="24"/>
          <w:szCs w:val="24"/>
          <w:lang w:val="fr-FR"/>
        </w:rPr>
        <w:footnoteReference w:id="37"/>
      </w:r>
      <w:r w:rsidR="009249D9" w:rsidRPr="00DD61E9">
        <w:rPr>
          <w:sz w:val="24"/>
          <w:szCs w:val="24"/>
        </w:rPr>
        <w:t>.</w:t>
      </w:r>
      <w:r w:rsidR="00524487">
        <w:rPr>
          <w:sz w:val="24"/>
          <w:szCs w:val="24"/>
        </w:rPr>
        <w:t xml:space="preserve"> </w:t>
      </w:r>
      <w:r w:rsidR="00524487" w:rsidRPr="00524487">
        <w:rPr>
          <w:sz w:val="24"/>
          <w:szCs w:val="24"/>
        </w:rPr>
        <w:t xml:space="preserve">I «principes de fraternité qui doivent lier tous les hommes, quel que soit leur pays et leur gouvernement», evocati nel decreto del 6 agosto 1790, che abolisce il </w:t>
      </w:r>
      <w:r w:rsidR="00524487" w:rsidRPr="00524487">
        <w:rPr>
          <w:i/>
          <w:sz w:val="24"/>
          <w:szCs w:val="24"/>
        </w:rPr>
        <w:t>Droit d'Aubaine</w:t>
      </w:r>
      <w:r w:rsidR="00524487" w:rsidRPr="00AD6587">
        <w:rPr>
          <w:rStyle w:val="Rimandonotaapidipagina"/>
          <w:sz w:val="24"/>
          <w:szCs w:val="24"/>
        </w:rPr>
        <w:footnoteReference w:id="38"/>
      </w:r>
      <w:r w:rsidR="00524487" w:rsidRPr="00524487">
        <w:rPr>
          <w:sz w:val="24"/>
          <w:szCs w:val="24"/>
        </w:rPr>
        <w:t xml:space="preserve">, tenderanno man mano a restringersi a una fraternità </w:t>
      </w:r>
      <w:r w:rsidR="00524487" w:rsidRPr="00524487">
        <w:rPr>
          <w:sz w:val="24"/>
          <w:szCs w:val="24"/>
        </w:rPr>
        <w:lastRenderedPageBreak/>
        <w:t>declinata come «fraternité nationale»</w:t>
      </w:r>
      <w:r w:rsidR="00673A9D">
        <w:rPr>
          <w:rStyle w:val="Rimandonotaapidipagina"/>
          <w:sz w:val="24"/>
          <w:szCs w:val="24"/>
        </w:rPr>
        <w:footnoteReference w:id="39"/>
      </w:r>
      <w:r w:rsidR="00524487" w:rsidRPr="00524487">
        <w:rPr>
          <w:sz w:val="24"/>
          <w:szCs w:val="24"/>
        </w:rPr>
        <w:t xml:space="preserve"> e </w:t>
      </w:r>
      <w:r w:rsidR="00524487">
        <w:rPr>
          <w:sz w:val="24"/>
          <w:szCs w:val="24"/>
        </w:rPr>
        <w:t>l</w:t>
      </w:r>
      <w:r w:rsidR="009249D9" w:rsidRPr="009249D9">
        <w:rPr>
          <w:sz w:val="24"/>
          <w:szCs w:val="24"/>
        </w:rPr>
        <w:t>a «fraternité nationale» si preciserà sempre di più come «fraternité patriotique et républicaine»</w:t>
      </w:r>
      <w:r w:rsidR="009249D9">
        <w:rPr>
          <w:rStyle w:val="Rimandonotaapidipagina"/>
          <w:sz w:val="24"/>
          <w:szCs w:val="24"/>
        </w:rPr>
        <w:footnoteReference w:id="40"/>
      </w:r>
      <w:r w:rsidR="009249D9" w:rsidRPr="009249D9">
        <w:rPr>
          <w:sz w:val="24"/>
          <w:szCs w:val="24"/>
        </w:rPr>
        <w:t>, una «fraternité» che si contrappone ai nemici interni ed esterni della rivoluzione e che ingloba</w:t>
      </w:r>
      <w:r w:rsidR="0009320A">
        <w:rPr>
          <w:sz w:val="24"/>
          <w:szCs w:val="24"/>
        </w:rPr>
        <w:t xml:space="preserve"> progressivamente</w:t>
      </w:r>
      <w:r w:rsidR="009249D9" w:rsidRPr="009249D9">
        <w:rPr>
          <w:sz w:val="24"/>
          <w:szCs w:val="24"/>
        </w:rPr>
        <w:t xml:space="preserve"> nel suo campo semantico «haine» e «mort</w:t>
      </w:r>
      <w:r w:rsidR="009249D9" w:rsidRPr="00973F98">
        <w:rPr>
          <w:sz w:val="24"/>
          <w:szCs w:val="24"/>
        </w:rPr>
        <w:t>»</w:t>
      </w:r>
      <w:r w:rsidR="009249D9" w:rsidRPr="00973F98">
        <w:rPr>
          <w:rStyle w:val="Rimandonotaapidipagina"/>
          <w:sz w:val="24"/>
          <w:szCs w:val="24"/>
        </w:rPr>
        <w:footnoteReference w:id="41"/>
      </w:r>
      <w:r w:rsidR="009249D9" w:rsidRPr="00973F98">
        <w:rPr>
          <w:sz w:val="24"/>
          <w:szCs w:val="24"/>
        </w:rPr>
        <w:t>.</w:t>
      </w:r>
    </w:p>
    <w:p w14:paraId="470EA770" w14:textId="77777777" w:rsidR="000F7F32" w:rsidRPr="001102D0" w:rsidRDefault="000F7F32" w:rsidP="000F7F32">
      <w:pPr>
        <w:jc w:val="both"/>
        <w:rPr>
          <w:sz w:val="24"/>
          <w:szCs w:val="24"/>
        </w:rPr>
      </w:pPr>
      <w:r>
        <w:rPr>
          <w:sz w:val="24"/>
          <w:szCs w:val="24"/>
        </w:rPr>
        <w:t>Paradossalmente a volte</w:t>
      </w:r>
      <w:r w:rsidRPr="001102D0">
        <w:rPr>
          <w:sz w:val="24"/>
          <w:szCs w:val="24"/>
        </w:rPr>
        <w:t xml:space="preserve"> l’odio per i nemici interni</w:t>
      </w:r>
      <w:r>
        <w:rPr>
          <w:sz w:val="24"/>
          <w:szCs w:val="24"/>
        </w:rPr>
        <w:t xml:space="preserve"> è evocato assieme al valore della </w:t>
      </w:r>
      <w:r w:rsidRPr="001102D0">
        <w:rPr>
          <w:sz w:val="24"/>
          <w:szCs w:val="24"/>
        </w:rPr>
        <w:t>«</w:t>
      </w:r>
      <w:r>
        <w:rPr>
          <w:sz w:val="24"/>
          <w:szCs w:val="24"/>
        </w:rPr>
        <w:t>fraternité universelle</w:t>
      </w:r>
      <w:r w:rsidRPr="001102D0">
        <w:rPr>
          <w:sz w:val="24"/>
          <w:szCs w:val="24"/>
        </w:rPr>
        <w:t>»</w:t>
      </w:r>
      <w:r>
        <w:rPr>
          <w:sz w:val="24"/>
          <w:szCs w:val="24"/>
        </w:rPr>
        <w:t>:</w:t>
      </w:r>
      <w:r w:rsidRPr="001102D0">
        <w:rPr>
          <w:sz w:val="24"/>
          <w:szCs w:val="24"/>
        </w:rPr>
        <w:t xml:space="preserve"> </w:t>
      </w:r>
    </w:p>
    <w:p w14:paraId="183A4463" w14:textId="5402A035" w:rsidR="000F7F32" w:rsidRPr="00CA48D2" w:rsidRDefault="000F7F32" w:rsidP="000F7F32">
      <w:pPr>
        <w:jc w:val="both"/>
        <w:rPr>
          <w:lang w:val="fr-FR"/>
        </w:rPr>
      </w:pPr>
      <w:r w:rsidRPr="00CA48D2">
        <w:rPr>
          <w:lang w:val="fr-FR"/>
        </w:rPr>
        <w:t>Haine éternelle aux tyrans, haine éternelle au fédéralisme, ralliement à la Constitution, fraternité universelle, reconnaissance profonde pour les travaux immortels de la Convention nationale</w:t>
      </w:r>
      <w:r>
        <w:rPr>
          <w:rStyle w:val="Rimandonotaapidipagina"/>
          <w:lang w:val="fr-FR"/>
        </w:rPr>
        <w:footnoteReference w:id="42"/>
      </w:r>
      <w:r w:rsidRPr="00CA48D2">
        <w:rPr>
          <w:lang w:val="fr-FR"/>
        </w:rPr>
        <w:t>.</w:t>
      </w:r>
    </w:p>
    <w:p w14:paraId="4C66D399" w14:textId="0B154991" w:rsidR="009F3FE3" w:rsidRPr="009A1767" w:rsidRDefault="00A059E8" w:rsidP="009F3FE3">
      <w:pPr>
        <w:jc w:val="both"/>
        <w:rPr>
          <w:sz w:val="24"/>
          <w:szCs w:val="24"/>
        </w:rPr>
      </w:pPr>
      <w:r w:rsidRPr="00A059E8">
        <w:rPr>
          <w:sz w:val="24"/>
          <w:szCs w:val="24"/>
        </w:rPr>
        <w:t>La «fraternité» suscita progressivamente sempre più diffidenza.</w:t>
      </w:r>
      <w:r>
        <w:rPr>
          <w:sz w:val="24"/>
          <w:szCs w:val="24"/>
        </w:rPr>
        <w:t xml:space="preserve"> P</w:t>
      </w:r>
      <w:r w:rsidR="009F3FE3" w:rsidRPr="009A1767">
        <w:rPr>
          <w:sz w:val="24"/>
          <w:szCs w:val="24"/>
        </w:rPr>
        <w:t>uò essere un velo ipocrita, come scrive</w:t>
      </w:r>
      <w:r w:rsidR="009F3FE3">
        <w:rPr>
          <w:sz w:val="24"/>
          <w:szCs w:val="24"/>
        </w:rPr>
        <w:t xml:space="preserve"> Louis Marie </w:t>
      </w:r>
      <w:r w:rsidR="009F3FE3" w:rsidRPr="009A1767">
        <w:rPr>
          <w:sz w:val="24"/>
          <w:szCs w:val="24"/>
        </w:rPr>
        <w:t>Prudhomme nell’ottobre del 1792:</w:t>
      </w:r>
    </w:p>
    <w:p w14:paraId="1FD06D39" w14:textId="1BFAC312" w:rsidR="009F3FE3" w:rsidRDefault="009F3FE3" w:rsidP="009F3FE3">
      <w:pPr>
        <w:jc w:val="both"/>
        <w:rPr>
          <w:lang w:val="fr-FR"/>
        </w:rPr>
      </w:pPr>
      <w:r w:rsidRPr="00A6106C">
        <w:rPr>
          <w:lang w:val="fr-FR"/>
        </w:rPr>
        <w:t>Les sans-culottes sont toujours debout, mais tranquilles. Ils se surveillent eux-</w:t>
      </w:r>
      <w:r w:rsidR="005F7FA1" w:rsidRPr="00A6106C">
        <w:rPr>
          <w:lang w:val="fr-FR"/>
        </w:rPr>
        <w:t>mêmes ;</w:t>
      </w:r>
      <w:r w:rsidRPr="00A6106C">
        <w:rPr>
          <w:lang w:val="fr-FR"/>
        </w:rPr>
        <w:t xml:space="preserve"> car ils savent que beaucoup de gens suspects prennent leur costume et la pique, pour les travailler sous le voile de la fraternité</w:t>
      </w:r>
      <w:r>
        <w:rPr>
          <w:rStyle w:val="Rimandonotaapidipagina"/>
          <w:lang w:val="fr-FR"/>
        </w:rPr>
        <w:footnoteReference w:id="43"/>
      </w:r>
      <w:r>
        <w:rPr>
          <w:lang w:val="fr-FR"/>
        </w:rPr>
        <w:t>.</w:t>
      </w:r>
    </w:p>
    <w:p w14:paraId="555A24EF" w14:textId="77777777" w:rsidR="009F3FE3" w:rsidRDefault="009F3FE3" w:rsidP="009F3FE3">
      <w:pPr>
        <w:jc w:val="both"/>
        <w:rPr>
          <w:sz w:val="24"/>
          <w:szCs w:val="24"/>
        </w:rPr>
      </w:pPr>
      <w:r w:rsidRPr="009A1767">
        <w:rPr>
          <w:sz w:val="24"/>
          <w:szCs w:val="24"/>
        </w:rPr>
        <w:t xml:space="preserve">O può essere una maschera, come si esprime la </w:t>
      </w:r>
      <w:r w:rsidRPr="009A1767">
        <w:rPr>
          <w:i/>
          <w:sz w:val="24"/>
          <w:szCs w:val="24"/>
        </w:rPr>
        <w:t>Société populaire et républicaine de Saint-Quentin</w:t>
      </w:r>
      <w:r w:rsidRPr="009A1767">
        <w:rPr>
          <w:sz w:val="24"/>
          <w:szCs w:val="24"/>
        </w:rPr>
        <w:t> in un indirizzo inviato alla Convenzione nell’ottobre 1793 per screditare la figura del duca di Orléans</w:t>
      </w:r>
      <w:r>
        <w:rPr>
          <w:sz w:val="24"/>
          <w:szCs w:val="24"/>
        </w:rPr>
        <w:t>, nell’imminenza della sua esecuzione</w:t>
      </w:r>
      <w:r w:rsidRPr="009A1767">
        <w:rPr>
          <w:sz w:val="24"/>
          <w:szCs w:val="24"/>
        </w:rPr>
        <w:t>:</w:t>
      </w:r>
    </w:p>
    <w:p w14:paraId="7E47BCA3" w14:textId="05E8EED6" w:rsidR="009F3FE3" w:rsidRDefault="009F3FE3" w:rsidP="009F3FE3">
      <w:pPr>
        <w:jc w:val="both"/>
        <w:rPr>
          <w:lang w:val="fr-FR"/>
        </w:rPr>
      </w:pPr>
      <w:r>
        <w:rPr>
          <w:lang w:val="fr-FR"/>
        </w:rPr>
        <w:t xml:space="preserve">[…] </w:t>
      </w:r>
      <w:r w:rsidRPr="009A1767">
        <w:rPr>
          <w:lang w:val="fr-FR"/>
        </w:rPr>
        <w:t>faux jacobin, il venait s'asseoir parmi les patriotes pour mieux les tromper, sous le masque de la frater</w:t>
      </w:r>
      <w:r>
        <w:rPr>
          <w:lang w:val="fr-FR"/>
        </w:rPr>
        <w:t>nité</w:t>
      </w:r>
      <w:r>
        <w:rPr>
          <w:rStyle w:val="Rimandonotaapidipagina"/>
          <w:lang w:val="fr-FR"/>
        </w:rPr>
        <w:footnoteReference w:id="44"/>
      </w:r>
      <w:r w:rsidRPr="009A1767">
        <w:rPr>
          <w:lang w:val="fr-FR"/>
        </w:rPr>
        <w:t>.</w:t>
      </w:r>
    </w:p>
    <w:p w14:paraId="362BB61D" w14:textId="53D5818B" w:rsidR="00A059E8" w:rsidRPr="00005F77" w:rsidRDefault="00A059E8" w:rsidP="00A059E8">
      <w:pPr>
        <w:rPr>
          <w:sz w:val="24"/>
          <w:szCs w:val="24"/>
        </w:rPr>
      </w:pPr>
      <w:r w:rsidRPr="00005F77">
        <w:rPr>
          <w:sz w:val="24"/>
          <w:szCs w:val="24"/>
        </w:rPr>
        <w:lastRenderedPageBreak/>
        <w:t>Il tema della maschera</w:t>
      </w:r>
      <w:r w:rsidR="009554E6">
        <w:rPr>
          <w:rStyle w:val="Rimandonotaapidipagina"/>
          <w:sz w:val="24"/>
          <w:szCs w:val="24"/>
        </w:rPr>
        <w:footnoteReference w:id="45"/>
      </w:r>
      <w:r w:rsidRPr="00005F77">
        <w:rPr>
          <w:sz w:val="24"/>
          <w:szCs w:val="24"/>
        </w:rPr>
        <w:t xml:space="preserve"> – caro a una retorica rivoluzionaria ossessionata dall’autenticità</w:t>
      </w:r>
      <w:r w:rsidR="00D0638E">
        <w:rPr>
          <w:rStyle w:val="Rimandonotaapidipagina"/>
          <w:sz w:val="24"/>
          <w:szCs w:val="24"/>
        </w:rPr>
        <w:footnoteReference w:id="46"/>
      </w:r>
      <w:r w:rsidRPr="00005F77">
        <w:rPr>
          <w:sz w:val="24"/>
          <w:szCs w:val="24"/>
        </w:rPr>
        <w:t xml:space="preserve"> – torna in una lettera del tribunale del distretto di Sens del novembre 1793: </w:t>
      </w:r>
    </w:p>
    <w:p w14:paraId="45F6455C" w14:textId="49D3FB2D" w:rsidR="00A059E8" w:rsidRDefault="00A059E8" w:rsidP="00A059E8">
      <w:pPr>
        <w:rPr>
          <w:lang w:val="fr-FR"/>
        </w:rPr>
      </w:pPr>
      <w:r w:rsidRPr="0021619D">
        <w:rPr>
          <w:lang w:val="fr-FR"/>
        </w:rPr>
        <w:t xml:space="preserve">Vous avez arraché au fédéralisme le masque imposteur de fraternité sous </w:t>
      </w:r>
      <w:r w:rsidR="00E819A6">
        <w:rPr>
          <w:lang w:val="fr-FR"/>
        </w:rPr>
        <w:t xml:space="preserve">lequel il se cachait pour mieux </w:t>
      </w:r>
      <w:r w:rsidRPr="0021619D">
        <w:rPr>
          <w:lang w:val="fr-FR"/>
        </w:rPr>
        <w:t>nous trahir</w:t>
      </w:r>
      <w:r>
        <w:rPr>
          <w:rStyle w:val="Rimandonotaapidipagina"/>
          <w:lang w:val="fr-FR"/>
        </w:rPr>
        <w:footnoteReference w:id="47"/>
      </w:r>
      <w:r w:rsidRPr="0021619D">
        <w:rPr>
          <w:lang w:val="fr-FR"/>
        </w:rPr>
        <w:t>.</w:t>
      </w:r>
    </w:p>
    <w:p w14:paraId="6F1DA46A" w14:textId="52BB0A4F" w:rsidR="00E819A6" w:rsidRDefault="00E819A6" w:rsidP="00E819A6">
      <w:pPr>
        <w:jc w:val="both"/>
        <w:rPr>
          <w:sz w:val="24"/>
          <w:szCs w:val="24"/>
        </w:rPr>
      </w:pPr>
      <w:r w:rsidRPr="008263AE">
        <w:rPr>
          <w:sz w:val="24"/>
          <w:szCs w:val="24"/>
        </w:rPr>
        <w:t>Se Lamourette</w:t>
      </w:r>
      <w:r>
        <w:rPr>
          <w:sz w:val="24"/>
          <w:szCs w:val="24"/>
        </w:rPr>
        <w:t>, nella sopracitata lettera del 14 luglio 1793, aveva invitato a diffidare della fra</w:t>
      </w:r>
      <w:r w:rsidR="00152F8B">
        <w:rPr>
          <w:sz w:val="24"/>
          <w:szCs w:val="24"/>
        </w:rPr>
        <w:t xml:space="preserve">ternità proposta dai sostenitori di </w:t>
      </w:r>
      <w:r w:rsidR="00ED47B0">
        <w:rPr>
          <w:sz w:val="24"/>
          <w:szCs w:val="24"/>
        </w:rPr>
        <w:t>Joseph Ch</w:t>
      </w:r>
      <w:r w:rsidR="00ED47B0" w:rsidRPr="00ED47B0">
        <w:rPr>
          <w:sz w:val="24"/>
          <w:szCs w:val="24"/>
        </w:rPr>
        <w:t>â</w:t>
      </w:r>
      <w:r w:rsidR="00152F8B">
        <w:rPr>
          <w:sz w:val="24"/>
          <w:szCs w:val="24"/>
        </w:rPr>
        <w:t>lie</w:t>
      </w:r>
      <w:r w:rsidR="004437B4">
        <w:rPr>
          <w:sz w:val="24"/>
          <w:szCs w:val="24"/>
        </w:rPr>
        <w:t xml:space="preserve">r a Lione (che possono essere </w:t>
      </w:r>
      <w:r w:rsidR="00152F8B">
        <w:rPr>
          <w:sz w:val="24"/>
          <w:szCs w:val="24"/>
        </w:rPr>
        <w:t>indicati nel lessico della letteratura storiografica</w:t>
      </w:r>
      <w:r w:rsidR="008019F6">
        <w:rPr>
          <w:sz w:val="24"/>
          <w:szCs w:val="24"/>
        </w:rPr>
        <w:t xml:space="preserve"> indifferentemente e legittimamente</w:t>
      </w:r>
      <w:r w:rsidR="004437B4">
        <w:rPr>
          <w:sz w:val="24"/>
          <w:szCs w:val="24"/>
        </w:rPr>
        <w:t xml:space="preserve"> come giacobini,  come sanculotti, ma anche – con </w:t>
      </w:r>
      <w:r w:rsidR="006B1972">
        <w:rPr>
          <w:sz w:val="24"/>
          <w:szCs w:val="24"/>
        </w:rPr>
        <w:t>riferimento alle simpatie per gli</w:t>
      </w:r>
      <w:r w:rsidR="004437B4">
        <w:rPr>
          <w:sz w:val="24"/>
          <w:szCs w:val="24"/>
        </w:rPr>
        <w:t xml:space="preserve"> schieramenti parlamentari parigini - come montagnardi</w:t>
      </w:r>
      <w:r w:rsidR="008029AF">
        <w:rPr>
          <w:sz w:val="24"/>
          <w:szCs w:val="24"/>
        </w:rPr>
        <w:t>)</w:t>
      </w:r>
      <w:r w:rsidR="008029AF">
        <w:rPr>
          <w:rStyle w:val="Rimandonotaapidipagina"/>
          <w:sz w:val="24"/>
          <w:szCs w:val="24"/>
        </w:rPr>
        <w:footnoteReference w:id="48"/>
      </w:r>
      <w:r w:rsidR="004437B4">
        <w:rPr>
          <w:sz w:val="24"/>
          <w:szCs w:val="24"/>
        </w:rPr>
        <w:t xml:space="preserve">, </w:t>
      </w:r>
      <w:r>
        <w:rPr>
          <w:sz w:val="24"/>
          <w:szCs w:val="24"/>
        </w:rPr>
        <w:t xml:space="preserve">i rappresentanti in missione </w:t>
      </w:r>
      <w:r w:rsidRPr="00195118">
        <w:rPr>
          <w:sz w:val="24"/>
          <w:szCs w:val="24"/>
        </w:rPr>
        <w:t>Laignelot et Lequinio</w:t>
      </w:r>
      <w:r w:rsidR="00A44F99">
        <w:rPr>
          <w:sz w:val="24"/>
          <w:szCs w:val="24"/>
        </w:rPr>
        <w:t xml:space="preserve"> il 29 ottobre</w:t>
      </w:r>
      <w:r>
        <w:rPr>
          <w:sz w:val="24"/>
          <w:szCs w:val="24"/>
        </w:rPr>
        <w:t xml:space="preserve"> 1793 invitano gli abitanti della </w:t>
      </w:r>
      <w:r w:rsidRPr="005C2A74">
        <w:rPr>
          <w:sz w:val="24"/>
          <w:szCs w:val="24"/>
        </w:rPr>
        <w:t>Charente-Inférieure</w:t>
      </w:r>
      <w:r>
        <w:rPr>
          <w:sz w:val="24"/>
          <w:szCs w:val="24"/>
        </w:rPr>
        <w:t xml:space="preserve"> a diffidare della fr</w:t>
      </w:r>
      <w:r w:rsidR="00EB7AE6">
        <w:rPr>
          <w:sz w:val="24"/>
          <w:szCs w:val="24"/>
        </w:rPr>
        <w:t>aternità proposta dai G</w:t>
      </w:r>
      <w:r>
        <w:rPr>
          <w:sz w:val="24"/>
          <w:szCs w:val="24"/>
        </w:rPr>
        <w:t>irondini (nel lessico del documento indicati come sostenitori del fédéralisme)</w:t>
      </w:r>
      <w:r w:rsidR="003F136F">
        <w:rPr>
          <w:rStyle w:val="Rimandonotaapidipagina"/>
          <w:sz w:val="24"/>
          <w:szCs w:val="24"/>
        </w:rPr>
        <w:footnoteReference w:id="49"/>
      </w:r>
      <w:r>
        <w:rPr>
          <w:sz w:val="24"/>
          <w:szCs w:val="24"/>
        </w:rPr>
        <w:t>:</w:t>
      </w:r>
    </w:p>
    <w:p w14:paraId="5F3969D2" w14:textId="4DFD1005" w:rsidR="00E819A6" w:rsidRDefault="00E819A6" w:rsidP="00E819A6">
      <w:pPr>
        <w:jc w:val="both"/>
        <w:rPr>
          <w:lang w:val="fr-FR"/>
        </w:rPr>
      </w:pPr>
      <w:r w:rsidRPr="00831918">
        <w:rPr>
          <w:lang w:val="fr-FR"/>
        </w:rPr>
        <w:t>Sous prétexte de conduire dans ces ports les marins de l'arrondissement, ces vaisseaux étaient chargés d'y répandre l'esprit d'insurrection, de fédéralisme, de fanatisme et de royalisme, en un mot d'agir par toutes les voies pour tromper' le peuple, se rendre maîtres des principaux arsenaux, et préparer les habitants à la réception des vaisseaux anglais; ceux-ci devaient ensuite y entrer, comme à Toulon, sous prétexte de principes de paix et de fraternité, y désarmer, y massacrer les patriotes et vous réduire une seconde fois sous tous les jougs humiliants que vous venez de secouer par des efforts si courageux, et après quatre ans de lutte et de sacrifices de toute espèce</w:t>
      </w:r>
      <w:r>
        <w:rPr>
          <w:rStyle w:val="Rimandonotaapidipagina"/>
          <w:lang w:val="fr-FR"/>
        </w:rPr>
        <w:footnoteReference w:id="50"/>
      </w:r>
      <w:r w:rsidRPr="00831918">
        <w:rPr>
          <w:lang w:val="fr-FR"/>
        </w:rPr>
        <w:t>.</w:t>
      </w:r>
    </w:p>
    <w:p w14:paraId="1F7646B2" w14:textId="32F46C2A" w:rsidR="007848C1" w:rsidRPr="00337443" w:rsidRDefault="007848C1" w:rsidP="007848C1">
      <w:pPr>
        <w:jc w:val="both"/>
        <w:rPr>
          <w:sz w:val="24"/>
          <w:szCs w:val="24"/>
          <w:lang w:val="fr-FR"/>
        </w:rPr>
      </w:pPr>
      <w:r w:rsidRPr="007D7AA9">
        <w:rPr>
          <w:sz w:val="24"/>
          <w:szCs w:val="24"/>
        </w:rPr>
        <w:lastRenderedPageBreak/>
        <w:t>Nella</w:t>
      </w:r>
      <w:r>
        <w:rPr>
          <w:sz w:val="24"/>
          <w:szCs w:val="24"/>
        </w:rPr>
        <w:t xml:space="preserve"> retorica rivoluzionaria – in questo caso giacobina, montagnarda e sanculotta – dell’anno secondo il </w:t>
      </w:r>
      <w:r w:rsidRPr="007D7AA9">
        <w:rPr>
          <w:sz w:val="24"/>
          <w:szCs w:val="24"/>
        </w:rPr>
        <w:t>«</w:t>
      </w:r>
      <w:r>
        <w:rPr>
          <w:sz w:val="24"/>
          <w:szCs w:val="24"/>
        </w:rPr>
        <w:t>dogme politique [de la fraternité]</w:t>
      </w:r>
      <w:r w:rsidR="00337443" w:rsidRPr="007D7AA9">
        <w:rPr>
          <w:sz w:val="24"/>
          <w:szCs w:val="24"/>
        </w:rPr>
        <w:t>»</w:t>
      </w:r>
      <w:r>
        <w:rPr>
          <w:rStyle w:val="Rimandonotaapidipagina"/>
          <w:sz w:val="24"/>
          <w:szCs w:val="24"/>
        </w:rPr>
        <w:footnoteReference w:id="51"/>
      </w:r>
      <w:r>
        <w:rPr>
          <w:sz w:val="24"/>
          <w:szCs w:val="24"/>
        </w:rPr>
        <w:t xml:space="preserve"> esclude</w:t>
      </w:r>
      <w:r w:rsidR="00C3073E">
        <w:rPr>
          <w:sz w:val="24"/>
          <w:szCs w:val="24"/>
        </w:rPr>
        <w:t>, oltre agli «aristoctates</w:t>
      </w:r>
      <w:r w:rsidR="00C3073E" w:rsidRPr="00C3073E">
        <w:rPr>
          <w:sz w:val="24"/>
          <w:szCs w:val="24"/>
        </w:rPr>
        <w:t>»</w:t>
      </w:r>
      <w:r w:rsidR="00C3073E">
        <w:rPr>
          <w:sz w:val="24"/>
          <w:szCs w:val="24"/>
        </w:rPr>
        <w:t xml:space="preserve">, anche gli avversari politici all’interno di quello che era stato il fronte comune dei </w:t>
      </w:r>
      <w:r w:rsidR="00C3073E" w:rsidRPr="00C3073E">
        <w:rPr>
          <w:sz w:val="24"/>
          <w:szCs w:val="24"/>
        </w:rPr>
        <w:t>«</w:t>
      </w:r>
      <w:r w:rsidR="00C3073E">
        <w:rPr>
          <w:sz w:val="24"/>
          <w:szCs w:val="24"/>
        </w:rPr>
        <w:t>patriotes</w:t>
      </w:r>
      <w:r w:rsidR="00C3073E" w:rsidRPr="00C3073E">
        <w:rPr>
          <w:sz w:val="24"/>
          <w:szCs w:val="24"/>
        </w:rPr>
        <w:t>»</w:t>
      </w:r>
      <w:r w:rsidR="00C3073E">
        <w:rPr>
          <w:sz w:val="24"/>
          <w:szCs w:val="24"/>
        </w:rPr>
        <w:t xml:space="preserve">, </w:t>
      </w:r>
      <w:r w:rsidRPr="00C3073E">
        <w:rPr>
          <w:sz w:val="24"/>
          <w:szCs w:val="24"/>
        </w:rPr>
        <w:t xml:space="preserve">definiti di volta in volta </w:t>
      </w:r>
      <w:r w:rsidR="00947457" w:rsidRPr="00C3073E">
        <w:rPr>
          <w:sz w:val="24"/>
          <w:szCs w:val="24"/>
        </w:rPr>
        <w:t xml:space="preserve">«faux patriotes», </w:t>
      </w:r>
      <w:r w:rsidRPr="00C3073E">
        <w:rPr>
          <w:sz w:val="24"/>
          <w:szCs w:val="24"/>
        </w:rPr>
        <w:t>«</w:t>
      </w:r>
      <w:r w:rsidR="00C3073E" w:rsidRPr="00C3073E">
        <w:rPr>
          <w:sz w:val="24"/>
          <w:szCs w:val="24"/>
        </w:rPr>
        <w:t>modé</w:t>
      </w:r>
      <w:r w:rsidRPr="00C3073E">
        <w:rPr>
          <w:sz w:val="24"/>
          <w:szCs w:val="24"/>
        </w:rPr>
        <w:t>rés»</w:t>
      </w:r>
      <w:r w:rsidR="00337443">
        <w:rPr>
          <w:rStyle w:val="Rimandonotaapidipagina"/>
          <w:sz w:val="24"/>
          <w:szCs w:val="24"/>
        </w:rPr>
        <w:footnoteReference w:id="52"/>
      </w:r>
      <w:r w:rsidRPr="00C3073E">
        <w:rPr>
          <w:sz w:val="24"/>
          <w:szCs w:val="24"/>
        </w:rPr>
        <w:t>, «contre - révolutionnaires», «intrigants», «</w:t>
      </w:r>
      <w:r w:rsidR="00C3073E" w:rsidRPr="00C3073E">
        <w:rPr>
          <w:sz w:val="24"/>
          <w:szCs w:val="24"/>
        </w:rPr>
        <w:t>fé</w:t>
      </w:r>
      <w:r w:rsidRPr="00C3073E">
        <w:rPr>
          <w:sz w:val="24"/>
          <w:szCs w:val="24"/>
        </w:rPr>
        <w:t xml:space="preserve">déralistes». </w:t>
      </w:r>
      <w:r w:rsidRPr="007848C1">
        <w:rPr>
          <w:sz w:val="24"/>
          <w:szCs w:val="24"/>
          <w:lang w:val="fr-FR"/>
        </w:rPr>
        <w:t>Essi sono tutti dei «faux frères</w:t>
      </w:r>
      <w:r w:rsidR="00947457" w:rsidRPr="007848C1">
        <w:rPr>
          <w:sz w:val="24"/>
          <w:szCs w:val="24"/>
          <w:lang w:val="fr-FR"/>
        </w:rPr>
        <w:t>» :</w:t>
      </w:r>
    </w:p>
    <w:p w14:paraId="1782DF27" w14:textId="084F132E" w:rsidR="007848C1" w:rsidRPr="001E01B6" w:rsidRDefault="007848C1" w:rsidP="007848C1">
      <w:pPr>
        <w:jc w:val="both"/>
        <w:rPr>
          <w:lang w:val="fr-FR"/>
        </w:rPr>
      </w:pPr>
      <w:r w:rsidRPr="001E01B6">
        <w:rPr>
          <w:lang w:val="fr-FR"/>
        </w:rPr>
        <w:t xml:space="preserve">Vous avez dit à la nation : Que les traîtres disparaissent de notre sein et l'ordre régnera parmi nous. Ils ont disparu et l'ordre règne.  Vous avez dit à la République : Délivrez-nous de ces </w:t>
      </w:r>
      <w:r w:rsidRPr="001E01B6">
        <w:rPr>
          <w:bCs/>
          <w:lang w:val="fr-FR"/>
        </w:rPr>
        <w:t>faux</w:t>
      </w:r>
      <w:r w:rsidRPr="001E01B6">
        <w:rPr>
          <w:lang w:val="fr-FR"/>
        </w:rPr>
        <w:t>-</w:t>
      </w:r>
      <w:r w:rsidRPr="001E01B6">
        <w:rPr>
          <w:bCs/>
          <w:lang w:val="fr-FR"/>
        </w:rPr>
        <w:t>frères</w:t>
      </w:r>
      <w:r w:rsidRPr="001E01B6">
        <w:rPr>
          <w:lang w:val="fr-FR"/>
        </w:rPr>
        <w:t xml:space="preserve"> qui s'opposent à ce que la Constitution se fasse. Ces faux-frères sont frappés de nullité et la Constitution s'élève avec majesté</w:t>
      </w:r>
      <w:r>
        <w:rPr>
          <w:rStyle w:val="Rimandonotaapidipagina"/>
          <w:lang w:val="fr-FR"/>
        </w:rPr>
        <w:footnoteReference w:id="53"/>
      </w:r>
      <w:r w:rsidRPr="001E01B6">
        <w:rPr>
          <w:lang w:val="fr-FR"/>
        </w:rPr>
        <w:t xml:space="preserve">. </w:t>
      </w:r>
    </w:p>
    <w:p w14:paraId="668AFA6A" w14:textId="167A0D74" w:rsidR="00973F98" w:rsidRPr="00973F98" w:rsidRDefault="00973F98" w:rsidP="00973F98">
      <w:pPr>
        <w:jc w:val="both"/>
        <w:rPr>
          <w:sz w:val="24"/>
          <w:szCs w:val="24"/>
        </w:rPr>
      </w:pPr>
      <w:r w:rsidRPr="00973F98">
        <w:rPr>
          <w:sz w:val="24"/>
          <w:szCs w:val="24"/>
        </w:rPr>
        <w:t>Per quanto riguarda il periodo c</w:t>
      </w:r>
      <w:r w:rsidR="00E819A6">
        <w:rPr>
          <w:sz w:val="24"/>
          <w:szCs w:val="24"/>
        </w:rPr>
        <w:t>ompreso tra la caduta</w:t>
      </w:r>
      <w:r w:rsidR="004979AE">
        <w:rPr>
          <w:sz w:val="24"/>
          <w:szCs w:val="24"/>
        </w:rPr>
        <w:t xml:space="preserve"> </w:t>
      </w:r>
      <w:r w:rsidRPr="00973F98">
        <w:rPr>
          <w:sz w:val="24"/>
          <w:szCs w:val="24"/>
        </w:rPr>
        <w:t>della Gironda (31 maggio – 2 giugno 1793) e</w:t>
      </w:r>
      <w:r w:rsidR="004979AE">
        <w:rPr>
          <w:sz w:val="24"/>
          <w:szCs w:val="24"/>
        </w:rPr>
        <w:t xml:space="preserve"> la caduta di Robespierre (9 Termidoro anno secondo: </w:t>
      </w:r>
      <w:r w:rsidRPr="00973F98">
        <w:rPr>
          <w:sz w:val="24"/>
          <w:szCs w:val="24"/>
        </w:rPr>
        <w:t>27 luglio 1794) sono riuscito finora a individuare un solo esempio di una voce favorevole a estendere la «fraternité» anche ai nemici e agli avversari.  La proposta – isolata e decisamente controcorrente -  è formulata da François Xavier Lanthenas in un opuscolo pubblicato nell’agosto 1793:</w:t>
      </w:r>
    </w:p>
    <w:p w14:paraId="3F94144E" w14:textId="77777777" w:rsidR="00973F98" w:rsidRDefault="00973F98" w:rsidP="008E4946">
      <w:pPr>
        <w:jc w:val="both"/>
        <w:rPr>
          <w:lang w:val="fr-FR"/>
        </w:rPr>
      </w:pPr>
      <w:r w:rsidRPr="003C218B">
        <w:rPr>
          <w:lang w:val="fr-FR"/>
        </w:rPr>
        <w:t xml:space="preserve">Après surtout que la volonté générale s'était manifestée le 14 juillet 1789, d'une manière terrible, spontanée et unanime, il me paraît que les patriotes ne devaient plus agir que par l'expansion la plus rapide qu'ils étaient les maîtres de donner aux lumières, par l'instruction de tous les âges, par des discussions paisibles, des débats fraternels avec les préjugés eux-mêmes et les abus dont on venait de renverser l'édifice, enfin par des lois civiles dignes de la liberté et propres à changer nos mœurs. C'étaient encore les bons exemples des premiers apôtres de la liberté, les preuves les plus éclatantes de leur désintéressement, qu'il fallait rechercher, constater, publier, produire ; c'était l'union qu'il fallait entretenir, la véritable fraternité, cette charité ardente </w:t>
      </w:r>
      <w:r w:rsidRPr="003C218B">
        <w:rPr>
          <w:lang w:val="fr-FR"/>
        </w:rPr>
        <w:lastRenderedPageBreak/>
        <w:t>qui embrasse tous les hommes et même ses propres ennemis, ses adversaires, ses rivaux, qu'il fallait à tout prix inspirer</w:t>
      </w:r>
      <w:r w:rsidR="00D32D72" w:rsidRPr="003C218B">
        <w:rPr>
          <w:rStyle w:val="Rimandonotaapidipagina"/>
        </w:rPr>
        <w:footnoteReference w:id="54"/>
      </w:r>
      <w:r w:rsidRPr="003C218B">
        <w:rPr>
          <w:lang w:val="fr-FR"/>
        </w:rPr>
        <w:t>.</w:t>
      </w:r>
    </w:p>
    <w:p w14:paraId="7B2CCF94" w14:textId="7D92E998" w:rsidR="00E93A26" w:rsidRDefault="00F77260" w:rsidP="00E93A26">
      <w:pPr>
        <w:jc w:val="both"/>
        <w:rPr>
          <w:sz w:val="24"/>
          <w:szCs w:val="24"/>
        </w:rPr>
      </w:pPr>
      <w:r>
        <w:rPr>
          <w:sz w:val="24"/>
          <w:szCs w:val="24"/>
        </w:rPr>
        <w:t>Anche</w:t>
      </w:r>
      <w:r w:rsidR="00880675">
        <w:rPr>
          <w:sz w:val="24"/>
          <w:szCs w:val="24"/>
        </w:rPr>
        <w:t xml:space="preserve"> subito</w:t>
      </w:r>
      <w:r>
        <w:rPr>
          <w:sz w:val="24"/>
          <w:szCs w:val="24"/>
        </w:rPr>
        <w:t xml:space="preserve"> dopo la</w:t>
      </w:r>
      <w:r w:rsidR="00E93A26">
        <w:rPr>
          <w:sz w:val="24"/>
          <w:szCs w:val="24"/>
        </w:rPr>
        <w:t xml:space="preserve"> caduta di Robespierre, si continuerà a mettere in guardia contro gli inviti alla fraternità e a ribadire che la fraternità riguarda solo ed esclusivamente i </w:t>
      </w:r>
      <w:r w:rsidR="00E93A26" w:rsidRPr="00A44D83">
        <w:rPr>
          <w:sz w:val="24"/>
          <w:szCs w:val="24"/>
        </w:rPr>
        <w:t>«</w:t>
      </w:r>
      <w:r w:rsidR="00E93A26">
        <w:rPr>
          <w:sz w:val="24"/>
          <w:szCs w:val="24"/>
        </w:rPr>
        <w:t>patriotes</w:t>
      </w:r>
      <w:r w:rsidR="00E93A26" w:rsidRPr="00A44D83">
        <w:rPr>
          <w:sz w:val="24"/>
          <w:szCs w:val="24"/>
        </w:rPr>
        <w:t>»</w:t>
      </w:r>
      <w:r w:rsidR="00E93A26">
        <w:rPr>
          <w:sz w:val="24"/>
          <w:szCs w:val="24"/>
        </w:rPr>
        <w:t>:</w:t>
      </w:r>
    </w:p>
    <w:p w14:paraId="01246937" w14:textId="2D1DCC2E" w:rsidR="00E93A26" w:rsidRDefault="00E93A26" w:rsidP="00E93A26">
      <w:pPr>
        <w:jc w:val="both"/>
        <w:rPr>
          <w:lang w:val="fr-FR"/>
        </w:rPr>
      </w:pPr>
      <w:r w:rsidRPr="002F5339">
        <w:rPr>
          <w:lang w:val="fr-FR"/>
        </w:rPr>
        <w:t>On cherche à diviser les patriotes en leur parlant de fraternité; qu'ils réfléchissent bien qu'il ne peut y avoir de fraternité avec des hommes qui ont v</w:t>
      </w:r>
      <w:r>
        <w:rPr>
          <w:lang w:val="fr-FR"/>
        </w:rPr>
        <w:t xml:space="preserve">oulu nous assassiner au 10 </w:t>
      </w:r>
      <w:r w:rsidRPr="0048278E">
        <w:rPr>
          <w:lang w:val="fr-FR"/>
        </w:rPr>
        <w:t>août</w:t>
      </w:r>
      <w:r w:rsidRPr="002F5339">
        <w:rPr>
          <w:lang w:val="fr-FR"/>
        </w:rPr>
        <w:t>; qu'aucune union ne peut exister entre la pureté du cœur et la bassesse des sentiments, entre le crime et la vertu</w:t>
      </w:r>
      <w:r>
        <w:rPr>
          <w:rStyle w:val="Rimandonotaapidipagina"/>
          <w:lang w:val="fr-FR"/>
        </w:rPr>
        <w:footnoteReference w:id="55"/>
      </w:r>
      <w:r w:rsidRPr="002F5339">
        <w:rPr>
          <w:lang w:val="fr-FR"/>
        </w:rPr>
        <w:t>.</w:t>
      </w:r>
    </w:p>
    <w:p w14:paraId="6CE50D9D" w14:textId="79A828FA" w:rsidR="00E93A26" w:rsidRPr="00997CA5" w:rsidRDefault="00880675" w:rsidP="00E93A26">
      <w:pPr>
        <w:jc w:val="both"/>
        <w:rPr>
          <w:sz w:val="24"/>
          <w:szCs w:val="24"/>
        </w:rPr>
      </w:pPr>
      <w:r w:rsidRPr="00880675">
        <w:rPr>
          <w:sz w:val="24"/>
          <w:szCs w:val="24"/>
        </w:rPr>
        <w:t>D</w:t>
      </w:r>
      <w:r>
        <w:rPr>
          <w:sz w:val="24"/>
          <w:szCs w:val="24"/>
        </w:rPr>
        <w:t>opo Termidoro</w:t>
      </w:r>
      <w:r w:rsidR="00E93A26">
        <w:rPr>
          <w:sz w:val="24"/>
          <w:szCs w:val="24"/>
        </w:rPr>
        <w:t xml:space="preserve"> e </w:t>
      </w:r>
      <w:r>
        <w:rPr>
          <w:sz w:val="24"/>
          <w:szCs w:val="24"/>
        </w:rPr>
        <w:t>ne</w:t>
      </w:r>
      <w:r w:rsidR="00E93A26">
        <w:rPr>
          <w:sz w:val="24"/>
          <w:szCs w:val="24"/>
        </w:rPr>
        <w:t xml:space="preserve">gli anni </w:t>
      </w:r>
      <w:r w:rsidR="00E93A26" w:rsidRPr="00997CA5">
        <w:rPr>
          <w:sz w:val="24"/>
          <w:szCs w:val="24"/>
        </w:rPr>
        <w:t xml:space="preserve">del </w:t>
      </w:r>
      <w:r w:rsidR="00E93A26">
        <w:rPr>
          <w:sz w:val="24"/>
          <w:szCs w:val="24"/>
        </w:rPr>
        <w:t>Direttorio</w:t>
      </w:r>
      <w:r>
        <w:rPr>
          <w:sz w:val="24"/>
          <w:szCs w:val="24"/>
        </w:rPr>
        <w:t xml:space="preserve"> la fraternità sembra recuperare</w:t>
      </w:r>
      <w:r w:rsidR="00570278">
        <w:rPr>
          <w:sz w:val="24"/>
          <w:szCs w:val="24"/>
        </w:rPr>
        <w:t xml:space="preserve"> – almeno come auspicio e ideale -</w:t>
      </w:r>
      <w:r>
        <w:rPr>
          <w:sz w:val="24"/>
          <w:szCs w:val="24"/>
        </w:rPr>
        <w:t xml:space="preserve"> una </w:t>
      </w:r>
      <w:r w:rsidR="00CF6683">
        <w:rPr>
          <w:sz w:val="24"/>
          <w:szCs w:val="24"/>
        </w:rPr>
        <w:t>dimensione inclusiva</w:t>
      </w:r>
      <w:r>
        <w:rPr>
          <w:sz w:val="24"/>
          <w:szCs w:val="24"/>
        </w:rPr>
        <w:t xml:space="preserve">, </w:t>
      </w:r>
      <w:r w:rsidR="00570278">
        <w:rPr>
          <w:sz w:val="24"/>
          <w:szCs w:val="24"/>
        </w:rPr>
        <w:t xml:space="preserve">anche se declinata in modo </w:t>
      </w:r>
      <w:r>
        <w:rPr>
          <w:sz w:val="24"/>
          <w:szCs w:val="24"/>
        </w:rPr>
        <w:t>generico</w:t>
      </w:r>
      <w:r w:rsidR="000E02EF">
        <w:rPr>
          <w:rStyle w:val="Rimandonotaapidipagina"/>
          <w:sz w:val="24"/>
          <w:szCs w:val="24"/>
        </w:rPr>
        <w:footnoteReference w:id="56"/>
      </w:r>
      <w:r w:rsidR="00570278">
        <w:rPr>
          <w:sz w:val="24"/>
          <w:szCs w:val="24"/>
        </w:rPr>
        <w:t xml:space="preserve"> </w:t>
      </w:r>
      <w:r w:rsidR="00570278" w:rsidRPr="00FF32D2">
        <w:rPr>
          <w:rFonts w:cstheme="minorHAnsi"/>
          <w:sz w:val="24"/>
          <w:szCs w:val="24"/>
        </w:rPr>
        <w:t xml:space="preserve">e nell’ambito di una costruzione memoriale che </w:t>
      </w:r>
      <w:r w:rsidR="00570278">
        <w:rPr>
          <w:rFonts w:cstheme="minorHAnsi"/>
          <w:sz w:val="24"/>
          <w:szCs w:val="24"/>
        </w:rPr>
        <w:t xml:space="preserve">associa la fraternità dell’anno secondo </w:t>
      </w:r>
      <w:r w:rsidR="00570278">
        <w:rPr>
          <w:sz w:val="24"/>
          <w:szCs w:val="24"/>
        </w:rPr>
        <w:t>alla promessa di morte per avversari e nemici</w:t>
      </w:r>
      <w:r w:rsidR="00570278">
        <w:rPr>
          <w:rStyle w:val="Rimandonotaapidipagina"/>
          <w:sz w:val="24"/>
          <w:szCs w:val="24"/>
        </w:rPr>
        <w:footnoteReference w:id="57"/>
      </w:r>
      <w:r w:rsidR="00570278">
        <w:rPr>
          <w:sz w:val="24"/>
          <w:szCs w:val="24"/>
        </w:rPr>
        <w:t xml:space="preserve">, nel contesto di ciò che viene denunciato come </w:t>
      </w:r>
      <w:r w:rsidR="00570278">
        <w:rPr>
          <w:rFonts w:cstheme="minorHAnsi"/>
          <w:sz w:val="24"/>
          <w:szCs w:val="24"/>
        </w:rPr>
        <w:t>il</w:t>
      </w:r>
      <w:r w:rsidR="00570278" w:rsidRPr="00A80DF3">
        <w:rPr>
          <w:rFonts w:cstheme="minorHAnsi"/>
          <w:sz w:val="24"/>
          <w:szCs w:val="24"/>
        </w:rPr>
        <w:t xml:space="preserve"> «système de terreur»</w:t>
      </w:r>
      <w:r w:rsidR="00570278">
        <w:rPr>
          <w:rFonts w:cstheme="minorHAnsi"/>
          <w:sz w:val="24"/>
          <w:szCs w:val="24"/>
        </w:rPr>
        <w:t xml:space="preserve"> del potere robespierrista</w:t>
      </w:r>
      <w:r w:rsidR="00570278">
        <w:rPr>
          <w:rStyle w:val="Rimandonotaapidipagina"/>
          <w:rFonts w:cstheme="minorHAnsi"/>
          <w:sz w:val="24"/>
          <w:szCs w:val="24"/>
        </w:rPr>
        <w:footnoteReference w:id="58"/>
      </w:r>
      <w:r w:rsidR="00570278">
        <w:rPr>
          <w:rFonts w:cstheme="minorHAnsi"/>
          <w:sz w:val="24"/>
          <w:szCs w:val="24"/>
        </w:rPr>
        <w:t>:</w:t>
      </w:r>
      <w:r w:rsidR="00570278" w:rsidRPr="00A80DF3">
        <w:rPr>
          <w:rFonts w:cstheme="minorHAnsi"/>
          <w:sz w:val="24"/>
          <w:szCs w:val="24"/>
        </w:rPr>
        <w:t xml:space="preserve"> </w:t>
      </w:r>
      <w:r w:rsidR="00570278">
        <w:rPr>
          <w:sz w:val="24"/>
          <w:szCs w:val="24"/>
        </w:rPr>
        <w:t>su questi aspetti</w:t>
      </w:r>
      <w:r>
        <w:rPr>
          <w:sz w:val="24"/>
          <w:szCs w:val="24"/>
        </w:rPr>
        <w:t xml:space="preserve"> però la documentazione è ancora assolutamente </w:t>
      </w:r>
      <w:r>
        <w:rPr>
          <w:sz w:val="24"/>
          <w:szCs w:val="24"/>
        </w:rPr>
        <w:lastRenderedPageBreak/>
        <w:t>insufficiente</w:t>
      </w:r>
      <w:r w:rsidR="00CF6683">
        <w:rPr>
          <w:sz w:val="24"/>
          <w:szCs w:val="24"/>
        </w:rPr>
        <w:t xml:space="preserve"> e saranno necessarie </w:t>
      </w:r>
      <w:r w:rsidR="000E02EF">
        <w:rPr>
          <w:sz w:val="24"/>
          <w:szCs w:val="24"/>
        </w:rPr>
        <w:t xml:space="preserve"> ulteriori e approfondite </w:t>
      </w:r>
      <w:r w:rsidR="00CF6683">
        <w:rPr>
          <w:sz w:val="24"/>
          <w:szCs w:val="24"/>
        </w:rPr>
        <w:t>indagini</w:t>
      </w:r>
      <w:r w:rsidR="00E93A26">
        <w:rPr>
          <w:sz w:val="24"/>
          <w:szCs w:val="24"/>
        </w:rPr>
        <w:t xml:space="preserve"> lessicologiche e lessicometriche</w:t>
      </w:r>
      <w:r w:rsidR="00570278">
        <w:rPr>
          <w:sz w:val="24"/>
          <w:szCs w:val="24"/>
        </w:rPr>
        <w:t xml:space="preserve">, </w:t>
      </w:r>
      <w:r w:rsidR="00E93A26">
        <w:rPr>
          <w:sz w:val="24"/>
          <w:szCs w:val="24"/>
        </w:rPr>
        <w:t xml:space="preserve">possibili solo quando avremo a disposizione corpora digitali ampi ed esaustivi. </w:t>
      </w:r>
    </w:p>
    <w:p w14:paraId="34F10C01" w14:textId="1C003B82" w:rsidR="006F04A6" w:rsidRDefault="008E4946" w:rsidP="00457F95">
      <w:pPr>
        <w:jc w:val="both"/>
        <w:rPr>
          <w:sz w:val="24"/>
          <w:szCs w:val="24"/>
        </w:rPr>
      </w:pPr>
      <w:r w:rsidRPr="00CC78DE">
        <w:rPr>
          <w:sz w:val="24"/>
          <w:szCs w:val="24"/>
        </w:rPr>
        <w:t>Resta aperta la questione sulle resp</w:t>
      </w:r>
      <w:r w:rsidR="004979AE">
        <w:rPr>
          <w:sz w:val="24"/>
          <w:szCs w:val="24"/>
        </w:rPr>
        <w:t>onsabilità del progressivo</w:t>
      </w:r>
      <w:r w:rsidRPr="00CC78DE">
        <w:rPr>
          <w:sz w:val="24"/>
          <w:szCs w:val="24"/>
        </w:rPr>
        <w:t xml:space="preserve"> restringi</w:t>
      </w:r>
      <w:r>
        <w:rPr>
          <w:sz w:val="24"/>
          <w:szCs w:val="24"/>
        </w:rPr>
        <w:t>mento</w:t>
      </w:r>
      <w:r w:rsidR="004979AE">
        <w:rPr>
          <w:sz w:val="24"/>
          <w:szCs w:val="24"/>
        </w:rPr>
        <w:t xml:space="preserve"> del perime</w:t>
      </w:r>
      <w:r w:rsidR="005B0069">
        <w:rPr>
          <w:sz w:val="24"/>
          <w:szCs w:val="24"/>
        </w:rPr>
        <w:t>t</w:t>
      </w:r>
      <w:r w:rsidR="00CF6683">
        <w:rPr>
          <w:sz w:val="24"/>
          <w:szCs w:val="24"/>
        </w:rPr>
        <w:t xml:space="preserve">ro della fraternità </w:t>
      </w:r>
      <w:r w:rsidR="00F77260">
        <w:rPr>
          <w:sz w:val="24"/>
          <w:szCs w:val="24"/>
        </w:rPr>
        <w:t>nel periodo tra il 1789 e il 1794.</w:t>
      </w:r>
      <w:r w:rsidR="00DC1A7E">
        <w:rPr>
          <w:sz w:val="24"/>
          <w:szCs w:val="24"/>
        </w:rPr>
        <w:t xml:space="preserve"> Restringimento</w:t>
      </w:r>
      <w:r>
        <w:rPr>
          <w:sz w:val="24"/>
          <w:szCs w:val="24"/>
        </w:rPr>
        <w:t xml:space="preserve"> che co</w:t>
      </w:r>
      <w:r w:rsidR="00DC1A7E">
        <w:rPr>
          <w:sz w:val="24"/>
          <w:szCs w:val="24"/>
        </w:rPr>
        <w:t xml:space="preserve">involge tutte le forze in campo e che lascia spazio all’emergere </w:t>
      </w:r>
      <w:r w:rsidR="0022563B">
        <w:rPr>
          <w:sz w:val="24"/>
          <w:szCs w:val="24"/>
        </w:rPr>
        <w:t xml:space="preserve">di </w:t>
      </w:r>
      <w:r w:rsidR="00F22D50">
        <w:rPr>
          <w:sz w:val="24"/>
          <w:szCs w:val="24"/>
        </w:rPr>
        <w:t>torsioni identitarie</w:t>
      </w:r>
      <w:r w:rsidR="00DC1A7E">
        <w:rPr>
          <w:sz w:val="24"/>
          <w:szCs w:val="24"/>
        </w:rPr>
        <w:t xml:space="preserve"> e divisive.</w:t>
      </w:r>
      <w:r w:rsidR="00F22D50">
        <w:rPr>
          <w:sz w:val="24"/>
          <w:szCs w:val="24"/>
        </w:rPr>
        <w:t xml:space="preserve"> Lasciando da parte le tensioni inerenti al concett</w:t>
      </w:r>
      <w:r w:rsidR="007B512D">
        <w:rPr>
          <w:sz w:val="24"/>
          <w:szCs w:val="24"/>
        </w:rPr>
        <w:t>o</w:t>
      </w:r>
      <w:r w:rsidR="008D3335">
        <w:rPr>
          <w:rStyle w:val="Rimandonotaapidipagina"/>
          <w:sz w:val="24"/>
          <w:szCs w:val="24"/>
        </w:rPr>
        <w:footnoteReference w:id="59"/>
      </w:r>
      <w:r w:rsidR="007B512D">
        <w:rPr>
          <w:sz w:val="24"/>
          <w:szCs w:val="24"/>
        </w:rPr>
        <w:t xml:space="preserve"> stesso di fraternità (valore, virtù o</w:t>
      </w:r>
      <w:r w:rsidR="00F22D50">
        <w:rPr>
          <w:sz w:val="24"/>
          <w:szCs w:val="24"/>
        </w:rPr>
        <w:t xml:space="preserve"> sentimento? diritto o dovere?)</w:t>
      </w:r>
      <w:r w:rsidR="008D3335">
        <w:rPr>
          <w:rStyle w:val="Rimandonotaapidipagina"/>
          <w:sz w:val="24"/>
          <w:szCs w:val="24"/>
        </w:rPr>
        <w:footnoteReference w:id="60"/>
      </w:r>
      <w:r w:rsidR="00987ED1">
        <w:rPr>
          <w:sz w:val="24"/>
          <w:szCs w:val="24"/>
        </w:rPr>
        <w:t>,</w:t>
      </w:r>
      <w:r w:rsidR="00F22D50">
        <w:rPr>
          <w:sz w:val="24"/>
          <w:szCs w:val="24"/>
        </w:rPr>
        <w:t xml:space="preserve"> </w:t>
      </w:r>
      <w:r w:rsidR="007B512D">
        <w:rPr>
          <w:sz w:val="24"/>
          <w:szCs w:val="24"/>
        </w:rPr>
        <w:t xml:space="preserve">le dinamiche più propriamente linguistiche </w:t>
      </w:r>
      <w:r w:rsidR="007B512D" w:rsidRPr="007B512D">
        <w:rPr>
          <w:sz w:val="24"/>
          <w:szCs w:val="24"/>
        </w:rPr>
        <w:t>(</w:t>
      </w:r>
      <w:r w:rsidR="00457F95">
        <w:rPr>
          <w:sz w:val="24"/>
          <w:szCs w:val="24"/>
        </w:rPr>
        <w:t>l</w:t>
      </w:r>
      <w:r w:rsidR="00457F95" w:rsidRPr="006A6CAB">
        <w:rPr>
          <w:sz w:val="24"/>
          <w:szCs w:val="24"/>
        </w:rPr>
        <w:t>e discutibili capacità performative</w:t>
      </w:r>
      <w:r w:rsidR="00457F95">
        <w:rPr>
          <w:sz w:val="24"/>
          <w:szCs w:val="24"/>
        </w:rPr>
        <w:t>,</w:t>
      </w:r>
      <w:r w:rsidR="00457F95">
        <w:rPr>
          <w:rStyle w:val="Rimandonotaapidipagina"/>
          <w:sz w:val="24"/>
          <w:szCs w:val="24"/>
        </w:rPr>
        <w:footnoteReference w:id="61"/>
      </w:r>
      <w:r w:rsidR="00457F95" w:rsidRPr="006A6CAB">
        <w:rPr>
          <w:sz w:val="24"/>
          <w:szCs w:val="24"/>
        </w:rPr>
        <w:t xml:space="preserve"> ma soprattutto</w:t>
      </w:r>
      <w:r w:rsidR="00457F95">
        <w:rPr>
          <w:sz w:val="24"/>
          <w:szCs w:val="24"/>
        </w:rPr>
        <w:t xml:space="preserve"> il fatto che </w:t>
      </w:r>
      <w:r w:rsidR="007B512D" w:rsidRPr="007B512D">
        <w:rPr>
          <w:sz w:val="24"/>
          <w:szCs w:val="24"/>
        </w:rPr>
        <w:t>la parola</w:t>
      </w:r>
      <w:r w:rsidR="007B512D">
        <w:rPr>
          <w:sz w:val="24"/>
          <w:szCs w:val="24"/>
        </w:rPr>
        <w:t xml:space="preserve"> «</w:t>
      </w:r>
      <w:r w:rsidR="007B512D" w:rsidRPr="0063252B">
        <w:rPr>
          <w:sz w:val="24"/>
          <w:szCs w:val="24"/>
        </w:rPr>
        <w:t>fraternité</w:t>
      </w:r>
      <w:r w:rsidR="007B512D" w:rsidRPr="007B512D">
        <w:rPr>
          <w:sz w:val="24"/>
          <w:szCs w:val="24"/>
        </w:rPr>
        <w:t xml:space="preserve"> risulta difficilmente spendibile - o almeno più difficilmente spendibile di altre parole- come significante vuoto nelle strategie messe in campo per costruire un discorso egemonico</w:t>
      </w:r>
      <w:r w:rsidR="002915AE">
        <w:rPr>
          <w:sz w:val="24"/>
          <w:szCs w:val="24"/>
        </w:rPr>
        <w:t>)</w:t>
      </w:r>
      <w:r w:rsidR="002915AE">
        <w:rPr>
          <w:rStyle w:val="Rimandonotaapidipagina"/>
          <w:sz w:val="24"/>
          <w:szCs w:val="24"/>
        </w:rPr>
        <w:footnoteReference w:id="62"/>
      </w:r>
      <w:r w:rsidR="007B512D">
        <w:rPr>
          <w:sz w:val="24"/>
          <w:szCs w:val="24"/>
        </w:rPr>
        <w:t xml:space="preserve"> </w:t>
      </w:r>
      <w:r w:rsidR="00987ED1" w:rsidRPr="00987ED1">
        <w:rPr>
          <w:sz w:val="24"/>
          <w:szCs w:val="24"/>
        </w:rPr>
        <w:t>e la spinosa questione – presente fin dall’episodio biblico della uccisione di Abele da parte di Caino</w:t>
      </w:r>
      <w:r w:rsidR="009269AE">
        <w:rPr>
          <w:rStyle w:val="Rimandonotaapidipagina"/>
          <w:sz w:val="24"/>
          <w:szCs w:val="24"/>
        </w:rPr>
        <w:footnoteReference w:id="63"/>
      </w:r>
      <w:r w:rsidR="00987ED1" w:rsidRPr="00987ED1">
        <w:rPr>
          <w:sz w:val="24"/>
          <w:szCs w:val="24"/>
        </w:rPr>
        <w:t xml:space="preserve"> - della compatibilità tra fraternità e aggressività umana</w:t>
      </w:r>
      <w:r w:rsidR="00987ED1">
        <w:rPr>
          <w:rStyle w:val="Rimandonotaapidipagina"/>
          <w:sz w:val="24"/>
          <w:szCs w:val="24"/>
        </w:rPr>
        <w:footnoteReference w:id="64"/>
      </w:r>
      <w:r w:rsidR="00987ED1">
        <w:rPr>
          <w:sz w:val="24"/>
          <w:szCs w:val="24"/>
        </w:rPr>
        <w:t xml:space="preserve">, </w:t>
      </w:r>
      <w:r w:rsidR="00F22D50">
        <w:rPr>
          <w:sz w:val="24"/>
          <w:szCs w:val="24"/>
        </w:rPr>
        <w:t>proviamo a restare esclus</w:t>
      </w:r>
      <w:r w:rsidR="005B0069">
        <w:rPr>
          <w:sz w:val="24"/>
          <w:szCs w:val="24"/>
        </w:rPr>
        <w:t xml:space="preserve">ivamente nel </w:t>
      </w:r>
      <w:r w:rsidR="005B0069">
        <w:rPr>
          <w:sz w:val="24"/>
          <w:szCs w:val="24"/>
        </w:rPr>
        <w:lastRenderedPageBreak/>
        <w:t>contesto storico della rivoluzione francese.</w:t>
      </w:r>
      <w:r w:rsidRPr="00CC78DE">
        <w:rPr>
          <w:sz w:val="24"/>
          <w:szCs w:val="24"/>
        </w:rPr>
        <w:t xml:space="preserve"> Le circostanze? Sicuramente sì, perché ogni situazione di guerra (nel caso specifico: guerra nazionale e guerra civile) tende a ridurre il perimetro della «fraternité»</w:t>
      </w:r>
      <w:r w:rsidR="00CA4BC5">
        <w:rPr>
          <w:rStyle w:val="Rimandonotaapidipagina"/>
          <w:sz w:val="24"/>
          <w:szCs w:val="24"/>
        </w:rPr>
        <w:footnoteReference w:id="65"/>
      </w:r>
      <w:r w:rsidRPr="00CC78DE">
        <w:rPr>
          <w:sz w:val="24"/>
          <w:szCs w:val="24"/>
        </w:rPr>
        <w:t>. La cultura politica? Le dinamiche stesse</w:t>
      </w:r>
      <w:r>
        <w:rPr>
          <w:sz w:val="24"/>
          <w:szCs w:val="24"/>
        </w:rPr>
        <w:t xml:space="preserve"> </w:t>
      </w:r>
      <w:r w:rsidRPr="00CC78DE">
        <w:rPr>
          <w:sz w:val="24"/>
          <w:szCs w:val="24"/>
        </w:rPr>
        <w:t>del linguaggio rivoluzionario? Il circuito semiotico evocato da Furet</w:t>
      </w:r>
      <w:r w:rsidR="00CA4BC5">
        <w:rPr>
          <w:rStyle w:val="Rimandonotaapidipagina"/>
          <w:sz w:val="24"/>
          <w:szCs w:val="24"/>
        </w:rPr>
        <w:footnoteReference w:id="66"/>
      </w:r>
      <w:r w:rsidRPr="00CC78DE">
        <w:rPr>
          <w:sz w:val="24"/>
          <w:szCs w:val="24"/>
        </w:rPr>
        <w:t xml:space="preserve">? </w:t>
      </w:r>
      <w:r w:rsidRPr="00872BEA">
        <w:rPr>
          <w:sz w:val="24"/>
          <w:szCs w:val="24"/>
        </w:rPr>
        <w:t>La progressiva radicalizzazione del discorso, che contr</w:t>
      </w:r>
      <w:r w:rsidR="001D77D1">
        <w:rPr>
          <w:sz w:val="24"/>
          <w:szCs w:val="24"/>
        </w:rPr>
        <w:t>addistingue la</w:t>
      </w:r>
      <w:r w:rsidRPr="00872BEA">
        <w:rPr>
          <w:sz w:val="24"/>
          <w:szCs w:val="24"/>
        </w:rPr>
        <w:t xml:space="preserve"> rivoluzione dal 1789 al 1794</w:t>
      </w:r>
      <w:r w:rsidR="00CA4BC5">
        <w:rPr>
          <w:rStyle w:val="Rimandonotaapidipagina"/>
          <w:sz w:val="24"/>
          <w:szCs w:val="24"/>
        </w:rPr>
        <w:footnoteReference w:id="67"/>
      </w:r>
      <w:r>
        <w:rPr>
          <w:sz w:val="24"/>
          <w:szCs w:val="24"/>
        </w:rPr>
        <w:t>?</w:t>
      </w:r>
      <w:r w:rsidR="001D77D1">
        <w:rPr>
          <w:sz w:val="24"/>
          <w:szCs w:val="24"/>
        </w:rPr>
        <w:t xml:space="preserve"> Le pulsioni timotiche</w:t>
      </w:r>
      <w:r w:rsidR="003770FA">
        <w:rPr>
          <w:sz w:val="24"/>
          <w:szCs w:val="24"/>
        </w:rPr>
        <w:t>,</w:t>
      </w:r>
      <w:r w:rsidR="001D77D1">
        <w:rPr>
          <w:sz w:val="24"/>
          <w:szCs w:val="24"/>
        </w:rPr>
        <w:t xml:space="preserve"> che si concretizzano nei cicli di vendetta del periodo rivoluzionario</w:t>
      </w:r>
      <w:r w:rsidR="00AD7EE3">
        <w:rPr>
          <w:rStyle w:val="Rimandonotaapidipagina"/>
          <w:sz w:val="24"/>
          <w:szCs w:val="24"/>
        </w:rPr>
        <w:footnoteReference w:id="68"/>
      </w:r>
      <w:r w:rsidR="001D77D1">
        <w:rPr>
          <w:sz w:val="24"/>
          <w:szCs w:val="24"/>
        </w:rPr>
        <w:t>?</w:t>
      </w:r>
      <w:r w:rsidR="006F04A6">
        <w:rPr>
          <w:sz w:val="24"/>
          <w:szCs w:val="24"/>
        </w:rPr>
        <w:t xml:space="preserve"> </w:t>
      </w:r>
      <w:r w:rsidR="006F04A6">
        <w:rPr>
          <w:sz w:val="24"/>
          <w:szCs w:val="24"/>
          <w:lang w:bidi="it-IT"/>
        </w:rPr>
        <w:t>L</w:t>
      </w:r>
      <w:r w:rsidR="006F04A6" w:rsidRPr="00CD3D4E">
        <w:rPr>
          <w:sz w:val="24"/>
          <w:szCs w:val="24"/>
          <w:lang w:bidi="it-IT"/>
        </w:rPr>
        <w:t>a problematica saldatura tra la connotazione cristiana e la connotazione massonica</w:t>
      </w:r>
      <w:r w:rsidR="006F04A6">
        <w:rPr>
          <w:rStyle w:val="Rimandonotaapidipagina"/>
          <w:sz w:val="24"/>
          <w:szCs w:val="24"/>
          <w:lang w:bidi="it-IT"/>
        </w:rPr>
        <w:footnoteReference w:id="69"/>
      </w:r>
      <w:r w:rsidR="006F04A6">
        <w:rPr>
          <w:sz w:val="24"/>
          <w:szCs w:val="24"/>
          <w:lang w:bidi="it-IT"/>
        </w:rPr>
        <w:t>?</w:t>
      </w:r>
      <w:r w:rsidR="006F04A6">
        <w:rPr>
          <w:sz w:val="24"/>
          <w:szCs w:val="24"/>
        </w:rPr>
        <w:t xml:space="preserve"> </w:t>
      </w:r>
      <w:r w:rsidR="006F04A6" w:rsidRPr="00CD3D4E">
        <w:rPr>
          <w:sz w:val="24"/>
          <w:szCs w:val="24"/>
        </w:rPr>
        <w:t>L’abbandono</w:t>
      </w:r>
      <w:r w:rsidR="006F04A6">
        <w:rPr>
          <w:sz w:val="24"/>
          <w:szCs w:val="24"/>
        </w:rPr>
        <w:t xml:space="preserve"> della radice cristiana, come suggerisce Antonio Maria Baggio</w:t>
      </w:r>
      <w:r w:rsidR="006F04A6">
        <w:rPr>
          <w:rStyle w:val="Rimandonotaapidipagina"/>
          <w:sz w:val="24"/>
          <w:szCs w:val="24"/>
        </w:rPr>
        <w:footnoteReference w:id="70"/>
      </w:r>
      <w:r w:rsidR="006F04A6">
        <w:rPr>
          <w:sz w:val="24"/>
          <w:szCs w:val="24"/>
        </w:rPr>
        <w:t>?</w:t>
      </w:r>
    </w:p>
    <w:p w14:paraId="06291086" w14:textId="7CC6DC97" w:rsidR="002F50F5" w:rsidRPr="002F50F5" w:rsidRDefault="001D77D1" w:rsidP="002F50F5">
      <w:pPr>
        <w:jc w:val="both"/>
        <w:rPr>
          <w:sz w:val="24"/>
          <w:szCs w:val="24"/>
        </w:rPr>
      </w:pPr>
      <w:r>
        <w:rPr>
          <w:sz w:val="24"/>
          <w:szCs w:val="24"/>
        </w:rPr>
        <w:t xml:space="preserve"> </w:t>
      </w:r>
      <w:r w:rsidR="008E4946">
        <w:rPr>
          <w:sz w:val="24"/>
          <w:szCs w:val="24"/>
        </w:rPr>
        <w:t>Le risposte</w:t>
      </w:r>
      <w:r w:rsidR="008E4946" w:rsidRPr="00CC78DE">
        <w:rPr>
          <w:sz w:val="24"/>
          <w:szCs w:val="24"/>
        </w:rPr>
        <w:t xml:space="preserve"> possono essere varie e diversificate e investono la dialettica rivoluzione – controrivoluzione.</w:t>
      </w:r>
      <w:r w:rsidR="008E4946">
        <w:rPr>
          <w:sz w:val="24"/>
          <w:szCs w:val="24"/>
        </w:rPr>
        <w:t xml:space="preserve"> Vanno </w:t>
      </w:r>
      <w:r w:rsidR="008E4946" w:rsidRPr="00CC78DE">
        <w:rPr>
          <w:sz w:val="24"/>
          <w:szCs w:val="24"/>
        </w:rPr>
        <w:t>cercate con prudenza, misura e umiltà</w:t>
      </w:r>
      <w:r w:rsidR="008E4946">
        <w:rPr>
          <w:sz w:val="24"/>
          <w:szCs w:val="24"/>
        </w:rPr>
        <w:t xml:space="preserve">. Tra le direzioni di ricerca da esplorare mi limiterò qui a suggerire </w:t>
      </w:r>
      <w:r w:rsidR="008E4946" w:rsidRPr="00CC78DE">
        <w:rPr>
          <w:sz w:val="24"/>
          <w:szCs w:val="24"/>
        </w:rPr>
        <w:t>le tensioni tra «fraternité publique» (la «fraternité» all’interno della patrie) e</w:t>
      </w:r>
      <w:r w:rsidR="008E4946">
        <w:rPr>
          <w:sz w:val="24"/>
          <w:szCs w:val="24"/>
        </w:rPr>
        <w:t xml:space="preserve"> </w:t>
      </w:r>
      <w:r w:rsidR="008E4946" w:rsidRPr="00CC78DE">
        <w:rPr>
          <w:sz w:val="24"/>
          <w:szCs w:val="24"/>
        </w:rPr>
        <w:t>«fraternité commune» / «fraternité universelle» (la «fraternité» che riguarda tutti gli uomini in quanto tali) riscontrabili negli scritti di Rousseau</w:t>
      </w:r>
      <w:r w:rsidR="005B7D3F">
        <w:rPr>
          <w:rStyle w:val="Rimandonotaapidipagina"/>
          <w:sz w:val="24"/>
          <w:szCs w:val="24"/>
        </w:rPr>
        <w:footnoteReference w:id="71"/>
      </w:r>
      <w:r w:rsidR="008E4946" w:rsidRPr="00CC78DE">
        <w:rPr>
          <w:sz w:val="24"/>
          <w:szCs w:val="24"/>
        </w:rPr>
        <w:t>, fonte primaria</w:t>
      </w:r>
      <w:r w:rsidR="008E4946">
        <w:rPr>
          <w:sz w:val="24"/>
          <w:szCs w:val="24"/>
        </w:rPr>
        <w:t xml:space="preserve"> di larga parte del pensiero rivoluzionario.</w:t>
      </w:r>
      <w:r w:rsidR="00EC1475">
        <w:rPr>
          <w:sz w:val="24"/>
          <w:szCs w:val="24"/>
        </w:rPr>
        <w:t xml:space="preserve"> Quando la fraternità impatta le idee di patria e di nazione ha difficoltà a difendere una dimensione universalistica</w:t>
      </w:r>
      <w:r w:rsidR="00426AC7">
        <w:rPr>
          <w:rStyle w:val="Rimandonotaapidipagina"/>
          <w:sz w:val="24"/>
          <w:szCs w:val="24"/>
        </w:rPr>
        <w:footnoteReference w:id="72"/>
      </w:r>
      <w:r w:rsidR="00EC1475">
        <w:rPr>
          <w:sz w:val="24"/>
          <w:szCs w:val="24"/>
        </w:rPr>
        <w:t>. Questo è successo con la rivoluzione francese</w:t>
      </w:r>
      <w:r w:rsidR="005933B5">
        <w:rPr>
          <w:rStyle w:val="Rimandonotaapidipagina"/>
          <w:sz w:val="24"/>
          <w:szCs w:val="24"/>
        </w:rPr>
        <w:footnoteReference w:id="73"/>
      </w:r>
      <w:r w:rsidR="00EC1475">
        <w:rPr>
          <w:sz w:val="24"/>
          <w:szCs w:val="24"/>
        </w:rPr>
        <w:t xml:space="preserve"> e si è riproposto in modo drammatico con i</w:t>
      </w:r>
      <w:r w:rsidR="00F74E3F">
        <w:rPr>
          <w:sz w:val="24"/>
          <w:szCs w:val="24"/>
        </w:rPr>
        <w:t xml:space="preserve"> nazionalismi del XIX e</w:t>
      </w:r>
      <w:r w:rsidR="00B53F80">
        <w:rPr>
          <w:sz w:val="24"/>
          <w:szCs w:val="24"/>
        </w:rPr>
        <w:t xml:space="preserve"> del</w:t>
      </w:r>
      <w:r w:rsidR="00F74E3F">
        <w:rPr>
          <w:sz w:val="24"/>
          <w:szCs w:val="24"/>
        </w:rPr>
        <w:t xml:space="preserve"> XX secolo. Il problema si pone anc</w:t>
      </w:r>
      <w:r w:rsidR="00FB687C">
        <w:rPr>
          <w:sz w:val="24"/>
          <w:szCs w:val="24"/>
        </w:rPr>
        <w:t>he ora con le questioni legate ai flussi migratori.</w:t>
      </w:r>
      <w:r w:rsidR="00F74E3F">
        <w:rPr>
          <w:sz w:val="24"/>
          <w:szCs w:val="24"/>
        </w:rPr>
        <w:t xml:space="preserve"> </w:t>
      </w:r>
      <w:r w:rsidR="002F50F5" w:rsidRPr="002F50F5">
        <w:rPr>
          <w:sz w:val="24"/>
          <w:szCs w:val="24"/>
        </w:rPr>
        <w:t>La fraternità evoca sempre un legame</w:t>
      </w:r>
      <w:r w:rsidR="00155AD7">
        <w:rPr>
          <w:sz w:val="24"/>
          <w:szCs w:val="24"/>
        </w:rPr>
        <w:t xml:space="preserve"> tra il sé e l’altro</w:t>
      </w:r>
      <w:r w:rsidR="002F50F5" w:rsidRPr="002F50F5">
        <w:rPr>
          <w:sz w:val="24"/>
          <w:szCs w:val="24"/>
        </w:rPr>
        <w:t xml:space="preserve"> all’interno di un gruppo e i sentimenti suscitati da questo legame. Il percorso parte dalla famiglia e </w:t>
      </w:r>
      <w:r w:rsidR="002F50F5" w:rsidRPr="002F50F5">
        <w:rPr>
          <w:sz w:val="24"/>
          <w:szCs w:val="24"/>
        </w:rPr>
        <w:lastRenderedPageBreak/>
        <w:t>può arrivare all’umanità intera</w:t>
      </w:r>
      <w:r w:rsidR="003222A2">
        <w:rPr>
          <w:rStyle w:val="Rimandonotaapidipagina"/>
          <w:sz w:val="24"/>
          <w:szCs w:val="24"/>
        </w:rPr>
        <w:footnoteReference w:id="74"/>
      </w:r>
      <w:r w:rsidR="002F50F5" w:rsidRPr="002F50F5">
        <w:rPr>
          <w:sz w:val="24"/>
          <w:szCs w:val="24"/>
        </w:rPr>
        <w:t xml:space="preserve">. L’approdo all’umanità intera è stato però sempre il più difficile e controverso, in particolare quando dalla dimensione filosofica e religiosa si passa alla dimensione conflittuale della </w:t>
      </w:r>
      <w:r w:rsidR="002F50F5" w:rsidRPr="002F50F5">
        <w:rPr>
          <w:i/>
          <w:sz w:val="24"/>
          <w:szCs w:val="24"/>
        </w:rPr>
        <w:t>politica</w:t>
      </w:r>
      <w:r w:rsidR="002F50F5" w:rsidRPr="002F50F5">
        <w:rPr>
          <w:sz w:val="24"/>
          <w:szCs w:val="24"/>
        </w:rPr>
        <w:t xml:space="preserve"> e del </w:t>
      </w:r>
      <w:r w:rsidR="002F50F5" w:rsidRPr="002F50F5">
        <w:rPr>
          <w:i/>
          <w:sz w:val="24"/>
          <w:szCs w:val="24"/>
        </w:rPr>
        <w:t>politico</w:t>
      </w:r>
      <w:r w:rsidR="002F50F5" w:rsidRPr="005B74C5">
        <w:rPr>
          <w:rStyle w:val="Rimandonotaapidipagina"/>
          <w:sz w:val="24"/>
          <w:szCs w:val="24"/>
        </w:rPr>
        <w:footnoteReference w:id="75"/>
      </w:r>
      <w:r w:rsidR="002F50F5" w:rsidRPr="002F50F5">
        <w:rPr>
          <w:sz w:val="24"/>
          <w:szCs w:val="24"/>
        </w:rPr>
        <w:t xml:space="preserve">. Ma questo è un altro discorso. </w:t>
      </w:r>
    </w:p>
    <w:p w14:paraId="29D0045D" w14:textId="1B164961" w:rsidR="00314274" w:rsidRPr="008E4946" w:rsidRDefault="00314274" w:rsidP="002F50F5">
      <w:pPr>
        <w:jc w:val="both"/>
        <w:rPr>
          <w:rFonts w:cstheme="minorHAnsi"/>
        </w:rPr>
      </w:pPr>
    </w:p>
    <w:p w14:paraId="2C443B3B" w14:textId="77777777" w:rsidR="00314274" w:rsidRPr="008E4946" w:rsidRDefault="00314274" w:rsidP="008D615A">
      <w:pPr>
        <w:jc w:val="both"/>
      </w:pPr>
    </w:p>
    <w:sectPr w:rsidR="00314274" w:rsidRPr="008E49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9391" w14:textId="77777777" w:rsidR="001A395F" w:rsidRDefault="001A395F" w:rsidP="00E422B5">
      <w:pPr>
        <w:spacing w:after="0" w:line="240" w:lineRule="auto"/>
      </w:pPr>
      <w:r>
        <w:separator/>
      </w:r>
    </w:p>
  </w:endnote>
  <w:endnote w:type="continuationSeparator" w:id="0">
    <w:p w14:paraId="288FA862" w14:textId="77777777" w:rsidR="001A395F" w:rsidRDefault="001A395F" w:rsidP="00E4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6DA6" w14:textId="77777777" w:rsidR="001A395F" w:rsidRDefault="001A395F" w:rsidP="00E422B5">
      <w:pPr>
        <w:spacing w:after="0" w:line="240" w:lineRule="auto"/>
      </w:pPr>
      <w:r>
        <w:separator/>
      </w:r>
    </w:p>
  </w:footnote>
  <w:footnote w:type="continuationSeparator" w:id="0">
    <w:p w14:paraId="0E198F8E" w14:textId="77777777" w:rsidR="001A395F" w:rsidRDefault="001A395F" w:rsidP="00E422B5">
      <w:pPr>
        <w:spacing w:after="0" w:line="240" w:lineRule="auto"/>
      </w:pPr>
      <w:r>
        <w:continuationSeparator/>
      </w:r>
    </w:p>
  </w:footnote>
  <w:footnote w:id="1">
    <w:p w14:paraId="4D33C61B" w14:textId="0CFD0A69" w:rsidR="00983522" w:rsidRPr="00983522" w:rsidRDefault="00D76ECA" w:rsidP="00983522">
      <w:pPr>
        <w:jc w:val="both"/>
        <w:rPr>
          <w:sz w:val="20"/>
          <w:szCs w:val="20"/>
        </w:rPr>
      </w:pPr>
      <w:r>
        <w:rPr>
          <w:rStyle w:val="Rimandonotaapidipagina"/>
        </w:rPr>
        <w:footnoteRef/>
      </w:r>
      <w:r w:rsidR="00983522" w:rsidRPr="00983522">
        <w:rPr>
          <w:i/>
          <w:sz w:val="20"/>
          <w:szCs w:val="20"/>
          <w:lang w:val="fr-FR"/>
        </w:rPr>
        <w:t>Archives parlementaires</w:t>
      </w:r>
      <w:r w:rsidR="00983522" w:rsidRPr="00983522">
        <w:rPr>
          <w:sz w:val="20"/>
          <w:szCs w:val="20"/>
          <w:lang w:val="fr-FR"/>
        </w:rPr>
        <w:t xml:space="preserve">, vol. 46, pp. 211 -212. </w:t>
      </w:r>
      <w:r w:rsidR="00983522" w:rsidRPr="00983522">
        <w:rPr>
          <w:sz w:val="20"/>
          <w:szCs w:val="20"/>
        </w:rPr>
        <w:t xml:space="preserve">Per le verifiche in rete sulle </w:t>
      </w:r>
      <w:r w:rsidR="00983522" w:rsidRPr="00983522">
        <w:rPr>
          <w:i/>
          <w:sz w:val="20"/>
          <w:szCs w:val="20"/>
        </w:rPr>
        <w:t>Archives parlementaires</w:t>
      </w:r>
      <w:r w:rsidR="00983522" w:rsidRPr="00983522">
        <w:rPr>
          <w:sz w:val="20"/>
          <w:szCs w:val="20"/>
        </w:rPr>
        <w:t xml:space="preserve"> cfr. </w:t>
      </w:r>
      <w:hyperlink r:id="rId1" w:history="1">
        <w:r w:rsidR="00983522" w:rsidRPr="00983522">
          <w:rPr>
            <w:rStyle w:val="Collegamentoipertestuale"/>
            <w:sz w:val="20"/>
            <w:szCs w:val="20"/>
          </w:rPr>
          <w:t>http://artfl-project.uchicago.edu/node/144</w:t>
        </w:r>
      </w:hyperlink>
      <w:r w:rsidR="00983522" w:rsidRPr="00983522">
        <w:rPr>
          <w:sz w:val="20"/>
          <w:szCs w:val="20"/>
        </w:rPr>
        <w:t xml:space="preserve">; </w:t>
      </w:r>
      <w:hyperlink r:id="rId2" w:history="1">
        <w:r w:rsidR="00983522" w:rsidRPr="00983522">
          <w:rPr>
            <w:rStyle w:val="Collegamentoipertestuale"/>
            <w:sz w:val="20"/>
            <w:szCs w:val="20"/>
          </w:rPr>
          <w:t>https://artfl-project.uchicago.edu/content/philologic4-databases</w:t>
        </w:r>
      </w:hyperlink>
      <w:r w:rsidR="00983522" w:rsidRPr="00983522">
        <w:rPr>
          <w:sz w:val="20"/>
          <w:szCs w:val="20"/>
        </w:rPr>
        <w:t xml:space="preserve">;   </w:t>
      </w:r>
      <w:hyperlink r:id="rId3" w:history="1">
        <w:r w:rsidR="00983522" w:rsidRPr="00983522">
          <w:rPr>
            <w:rStyle w:val="Collegamentoipertestuale"/>
            <w:sz w:val="20"/>
            <w:szCs w:val="20"/>
          </w:rPr>
          <w:t>https://www.persee.fr/collection/arcpa</w:t>
        </w:r>
      </w:hyperlink>
    </w:p>
    <w:p w14:paraId="5643D54C" w14:textId="77777777" w:rsidR="00983522" w:rsidRDefault="00983522" w:rsidP="00983522">
      <w:pPr>
        <w:jc w:val="both"/>
      </w:pPr>
    </w:p>
    <w:p w14:paraId="7ABBF974" w14:textId="3FEA2F06" w:rsidR="006F3778" w:rsidRPr="006F3778" w:rsidRDefault="006F3778" w:rsidP="006F3778">
      <w:pPr>
        <w:pStyle w:val="Testonotaapidipagina"/>
        <w:jc w:val="both"/>
      </w:pPr>
    </w:p>
    <w:p w14:paraId="35CCD2E2" w14:textId="77777777" w:rsidR="006F3778" w:rsidRPr="006F3778" w:rsidRDefault="006F3778" w:rsidP="006F3778">
      <w:pPr>
        <w:pStyle w:val="Testonotaapidipagina"/>
        <w:jc w:val="both"/>
        <w:rPr>
          <w:color w:val="0563C1" w:themeColor="hyperlink"/>
          <w:u w:val="single"/>
        </w:rPr>
      </w:pPr>
    </w:p>
    <w:p w14:paraId="5E906B6B" w14:textId="77777777" w:rsidR="006F3778" w:rsidRPr="006F3778" w:rsidRDefault="006F3778" w:rsidP="00725D8E">
      <w:pPr>
        <w:pStyle w:val="Testonotaapidipagina"/>
        <w:jc w:val="both"/>
        <w:rPr>
          <w:color w:val="0563C1" w:themeColor="hyperlink"/>
          <w:u w:val="single"/>
        </w:rPr>
      </w:pPr>
    </w:p>
    <w:p w14:paraId="5C4A8737" w14:textId="1E1070BD" w:rsidR="00D76ECA" w:rsidRPr="006F3778" w:rsidRDefault="00D76ECA" w:rsidP="00647EF4">
      <w:pPr>
        <w:pStyle w:val="Testonotaapidipagina"/>
        <w:jc w:val="both"/>
      </w:pPr>
    </w:p>
  </w:footnote>
  <w:footnote w:id="2">
    <w:p w14:paraId="32322E36" w14:textId="4CB77722" w:rsidR="00E151D4" w:rsidRPr="007F0668" w:rsidRDefault="00E151D4" w:rsidP="002B74EC">
      <w:pPr>
        <w:jc w:val="both"/>
        <w:rPr>
          <w:rFonts w:ascii="Calibri" w:eastAsia="Calibri" w:hAnsi="Calibri" w:cs="Calibri"/>
          <w:color w:val="000000"/>
          <w:sz w:val="20"/>
          <w:szCs w:val="20"/>
          <w:shd w:val="clear" w:color="auto" w:fill="FFFFFF"/>
          <w:lang w:val="en-US"/>
        </w:rPr>
      </w:pPr>
      <w:r w:rsidRPr="002B74EC">
        <w:rPr>
          <w:rStyle w:val="Rimandonotaapidipagina"/>
          <w:sz w:val="20"/>
          <w:szCs w:val="20"/>
        </w:rPr>
        <w:footnoteRef/>
      </w:r>
      <w:r w:rsidRPr="002B74EC">
        <w:rPr>
          <w:sz w:val="20"/>
          <w:szCs w:val="20"/>
          <w:lang w:val="en-US"/>
        </w:rPr>
        <w:t xml:space="preserve"> R. Darnton, </w:t>
      </w:r>
      <w:r w:rsidRPr="002B74EC">
        <w:rPr>
          <w:i/>
          <w:sz w:val="20"/>
          <w:szCs w:val="20"/>
          <w:lang w:val="en-US"/>
        </w:rPr>
        <w:t>The Kiss of Lamourette</w:t>
      </w:r>
      <w:r w:rsidRPr="002B74EC">
        <w:rPr>
          <w:sz w:val="20"/>
          <w:szCs w:val="20"/>
          <w:lang w:val="en-US"/>
        </w:rPr>
        <w:t>, New York, Norton, 1990, pp. 17, 19 ;</w:t>
      </w:r>
      <w:r w:rsidR="002B74EC" w:rsidRPr="002B74EC">
        <w:rPr>
          <w:sz w:val="20"/>
          <w:szCs w:val="20"/>
          <w:lang w:val="en-US"/>
        </w:rPr>
        <w:t xml:space="preserve"> Idem, </w:t>
      </w:r>
      <w:r w:rsidR="002B74EC" w:rsidRPr="007F0668">
        <w:rPr>
          <w:rFonts w:ascii="Calibri" w:eastAsia="Calibri" w:hAnsi="Calibri" w:cs="Times New Roman"/>
          <w:i/>
          <w:iCs/>
          <w:sz w:val="20"/>
          <w:szCs w:val="20"/>
          <w:lang w:val="en-US"/>
        </w:rPr>
        <w:t>The Revolutionary Character of the French Revolution</w:t>
      </w:r>
      <w:r w:rsidR="002B74EC" w:rsidRPr="007F0668">
        <w:rPr>
          <w:rFonts w:ascii="Calibri" w:eastAsia="Calibri" w:hAnsi="Calibri" w:cs="Times New Roman"/>
          <w:sz w:val="20"/>
          <w:szCs w:val="20"/>
          <w:lang w:val="en-US"/>
        </w:rPr>
        <w:t>.  Conference delivered by Professor Robert Darnton on August 21, 1989 as part of a preparatory seminar for the “1789 Colloquium – Shadows and Lights” (held from September 18 to September 23, 1989</w:t>
      </w:r>
      <w:r w:rsidR="002B74EC" w:rsidRPr="007F0668">
        <w:rPr>
          <w:rFonts w:ascii="Calibri" w:eastAsia="Calibri" w:hAnsi="Calibri" w:cs="Calibri"/>
          <w:sz w:val="20"/>
          <w:szCs w:val="20"/>
          <w:lang w:val="en-US"/>
        </w:rPr>
        <w:t>),</w:t>
      </w:r>
      <w:r w:rsidR="002B74EC" w:rsidRPr="007F0668">
        <w:rPr>
          <w:rFonts w:ascii="Calibri" w:eastAsia="Calibri" w:hAnsi="Calibri" w:cs="Calibri"/>
          <w:color w:val="000000"/>
          <w:sz w:val="20"/>
          <w:szCs w:val="20"/>
          <w:shd w:val="clear" w:color="auto" w:fill="FFFFFF"/>
          <w:lang w:val="en-US"/>
        </w:rPr>
        <w:t xml:space="preserve"> Sao Paulo, </w:t>
      </w:r>
      <w:r w:rsidR="002B74EC" w:rsidRPr="007F0668">
        <w:rPr>
          <w:rFonts w:ascii="Calibri" w:eastAsia="Calibri" w:hAnsi="Calibri" w:cs="Times New Roman"/>
          <w:sz w:val="20"/>
          <w:szCs w:val="20"/>
          <w:lang w:val="en-US"/>
        </w:rPr>
        <w:t>Instituto de Estudos Avancados, 1989, pp. 11-12;</w:t>
      </w:r>
      <w:r w:rsidRPr="002B74EC">
        <w:rPr>
          <w:sz w:val="20"/>
          <w:szCs w:val="20"/>
          <w:lang w:val="en-US"/>
        </w:rPr>
        <w:t xml:space="preserve"> Idem, “What was revolutionary about the French Revolution?” in Peter Jones (ed.), </w:t>
      </w:r>
      <w:r w:rsidRPr="002B74EC">
        <w:rPr>
          <w:i/>
          <w:sz w:val="20"/>
          <w:szCs w:val="20"/>
          <w:lang w:val="en-US"/>
        </w:rPr>
        <w:t>The French Revolution in Social and Political Perspective</w:t>
      </w:r>
      <w:r w:rsidRPr="002B74EC">
        <w:rPr>
          <w:sz w:val="20"/>
          <w:szCs w:val="20"/>
          <w:lang w:val="en-US"/>
        </w:rPr>
        <w:t>, London, Arnold, 1996, p. 27</w:t>
      </w:r>
      <w:r w:rsidR="002B74EC" w:rsidRPr="002B74EC">
        <w:rPr>
          <w:sz w:val="20"/>
          <w:szCs w:val="20"/>
          <w:lang w:val="en-US"/>
        </w:rPr>
        <w:t xml:space="preserve">. </w:t>
      </w:r>
    </w:p>
    <w:p w14:paraId="4A23904E" w14:textId="77777777" w:rsidR="00E151D4" w:rsidRPr="00E151D4" w:rsidRDefault="00E151D4">
      <w:pPr>
        <w:pStyle w:val="Testonotaapidipagina"/>
        <w:rPr>
          <w:lang w:val="en-US"/>
        </w:rPr>
      </w:pPr>
    </w:p>
  </w:footnote>
  <w:footnote w:id="3">
    <w:p w14:paraId="5163CD23" w14:textId="77777777" w:rsidR="00395F41" w:rsidRPr="000B5C01" w:rsidRDefault="00395F41" w:rsidP="00395F41">
      <w:pPr>
        <w:jc w:val="both"/>
        <w:rPr>
          <w:sz w:val="20"/>
          <w:szCs w:val="20"/>
          <w:lang w:val="en-US"/>
        </w:rPr>
      </w:pPr>
      <w:r>
        <w:rPr>
          <w:rStyle w:val="Rimandonotaapidipagina"/>
        </w:rPr>
        <w:footnoteRef/>
      </w:r>
      <w:r w:rsidRPr="00395F41">
        <w:rPr>
          <w:lang w:val="en-US"/>
        </w:rPr>
        <w:t xml:space="preserve"> </w:t>
      </w:r>
      <w:r>
        <w:rPr>
          <w:sz w:val="20"/>
          <w:szCs w:val="20"/>
          <w:lang w:val="en-US"/>
        </w:rPr>
        <w:t xml:space="preserve">Cfr. </w:t>
      </w:r>
      <w:r w:rsidRPr="000B5C01">
        <w:rPr>
          <w:sz w:val="20"/>
          <w:szCs w:val="20"/>
          <w:lang w:val="en-US"/>
        </w:rPr>
        <w:t xml:space="preserve">D. Sorkin, </w:t>
      </w:r>
      <w:r w:rsidRPr="000B5C01">
        <w:rPr>
          <w:i/>
          <w:sz w:val="20"/>
          <w:szCs w:val="20"/>
          <w:lang w:val="en-US"/>
        </w:rPr>
        <w:t>“THE KISS OF LAMOURETTE” “Possibilism” or “Christian Democracy”?</w:t>
      </w:r>
      <w:r w:rsidRPr="000B5C01">
        <w:rPr>
          <w:sz w:val="20"/>
          <w:szCs w:val="20"/>
          <w:lang w:val="en-US"/>
        </w:rPr>
        <w:t xml:space="preserve">, in W. Breckman, P. E. Gordon, A. Dirk Moses, S. Moyn  and E. Neaman (edited by), </w:t>
      </w:r>
      <w:r w:rsidRPr="000B5C01">
        <w:rPr>
          <w:i/>
          <w:sz w:val="20"/>
          <w:szCs w:val="20"/>
          <w:lang w:val="en-US"/>
        </w:rPr>
        <w:t>The Modernist Imagination. Intellectual History and Critical Theory. Essays in Honor of Martin Jay</w:t>
      </w:r>
      <w:r w:rsidRPr="000B5C01">
        <w:rPr>
          <w:sz w:val="20"/>
          <w:szCs w:val="20"/>
          <w:lang w:val="en-US"/>
        </w:rPr>
        <w:t>, Berghahn Books, New York – Oxford, 2009, pp. 3 – 23.</w:t>
      </w:r>
    </w:p>
    <w:p w14:paraId="7CC19885" w14:textId="77777777" w:rsidR="00395F41" w:rsidRPr="00395F41" w:rsidRDefault="00395F41">
      <w:pPr>
        <w:pStyle w:val="Testonotaapidipagina"/>
        <w:rPr>
          <w:lang w:val="en-US"/>
        </w:rPr>
      </w:pPr>
    </w:p>
  </w:footnote>
  <w:footnote w:id="4">
    <w:p w14:paraId="2A051A3B" w14:textId="77777777" w:rsidR="002A0CCF" w:rsidRPr="002A624F" w:rsidRDefault="002A0CCF" w:rsidP="002A0CCF">
      <w:pPr>
        <w:jc w:val="both"/>
        <w:rPr>
          <w:sz w:val="20"/>
          <w:szCs w:val="20"/>
          <w:lang w:val="fr-FR"/>
        </w:rPr>
      </w:pPr>
      <w:r>
        <w:rPr>
          <w:rStyle w:val="Rimandonotaapidipagina"/>
        </w:rPr>
        <w:footnoteRef/>
      </w:r>
      <w:r w:rsidRPr="002A0CCF">
        <w:rPr>
          <w:lang w:val="fr-FR"/>
        </w:rPr>
        <w:t xml:space="preserve"> </w:t>
      </w:r>
      <w:r w:rsidRPr="002A624F">
        <w:rPr>
          <w:sz w:val="20"/>
          <w:szCs w:val="20"/>
          <w:lang w:val="fr-FR"/>
        </w:rPr>
        <w:t xml:space="preserve">A. Lamourette, </w:t>
      </w:r>
      <w:r w:rsidRPr="002A624F">
        <w:rPr>
          <w:i/>
          <w:iCs/>
          <w:sz w:val="20"/>
          <w:szCs w:val="20"/>
          <w:lang w:val="fr-FR"/>
        </w:rPr>
        <w:t>Réponse de M. Lamourette, évêque de Lyon, à M. l’abbé Molin, son 2e vicaire, au sujet des calomnieuses imputations qu’on a méchamment répandues dans cette ville contre cet évêque, vrai ami de la Patrie, député de la 2e législature</w:t>
      </w:r>
      <w:r w:rsidRPr="002A624F">
        <w:rPr>
          <w:sz w:val="20"/>
          <w:szCs w:val="20"/>
          <w:lang w:val="fr-FR"/>
        </w:rPr>
        <w:t>, Lyon, Pélisson, s. d. [1792], pp. 10-12.</w:t>
      </w:r>
    </w:p>
    <w:p w14:paraId="20CC2346" w14:textId="77777777" w:rsidR="002A0CCF" w:rsidRPr="002A0CCF" w:rsidRDefault="002A0CCF">
      <w:pPr>
        <w:pStyle w:val="Testonotaapidipagina"/>
        <w:rPr>
          <w:lang w:val="fr-FR"/>
        </w:rPr>
      </w:pPr>
    </w:p>
  </w:footnote>
  <w:footnote w:id="5">
    <w:p w14:paraId="5272061A" w14:textId="77777777" w:rsidR="008E1375" w:rsidRPr="008E1375" w:rsidRDefault="008E1375" w:rsidP="008E1375">
      <w:pPr>
        <w:jc w:val="both"/>
        <w:rPr>
          <w:rFonts w:ascii="Calibri" w:eastAsia="Calibri" w:hAnsi="Calibri" w:cs="Times New Roman"/>
          <w:sz w:val="20"/>
          <w:szCs w:val="20"/>
          <w:lang w:val="en-US"/>
        </w:rPr>
      </w:pPr>
      <w:r>
        <w:rPr>
          <w:rStyle w:val="Rimandonotaapidipagina"/>
        </w:rPr>
        <w:footnoteRef/>
      </w:r>
      <w:r w:rsidRPr="008E1375">
        <w:rPr>
          <w:lang w:val="en-US"/>
        </w:rPr>
        <w:t xml:space="preserve"> </w:t>
      </w:r>
      <w:r w:rsidRPr="008E1375">
        <w:rPr>
          <w:rFonts w:ascii="Calibri" w:eastAsia="Calibri" w:hAnsi="Calibri" w:cs="Times New Roman"/>
          <w:sz w:val="20"/>
          <w:szCs w:val="20"/>
          <w:lang w:val="en-US"/>
        </w:rPr>
        <w:t xml:space="preserve">Cfr. D. Sorkin, </w:t>
      </w:r>
      <w:r w:rsidRPr="008E1375">
        <w:rPr>
          <w:rFonts w:ascii="Calibri" w:eastAsia="Calibri" w:hAnsi="Calibri" w:cs="Times New Roman"/>
          <w:i/>
          <w:sz w:val="20"/>
          <w:szCs w:val="20"/>
          <w:lang w:val="en-US"/>
        </w:rPr>
        <w:t>The Religious Enlightenment: Protestants, Jews and Catholics from London to Vienna</w:t>
      </w:r>
      <w:r w:rsidRPr="008E1375">
        <w:rPr>
          <w:rFonts w:ascii="Calibri" w:eastAsia="Calibri" w:hAnsi="Calibri" w:cs="Times New Roman"/>
          <w:sz w:val="20"/>
          <w:szCs w:val="20"/>
          <w:lang w:val="en-US"/>
        </w:rPr>
        <w:t>, Princeton University Press, Princeton, NJ, 2008, pp. 261 - 309.</w:t>
      </w:r>
    </w:p>
    <w:p w14:paraId="7B60ECD5" w14:textId="77777777" w:rsidR="008E1375" w:rsidRPr="008E1375" w:rsidRDefault="008E1375">
      <w:pPr>
        <w:pStyle w:val="Testonotaapidipagina"/>
        <w:rPr>
          <w:lang w:val="en-US"/>
        </w:rPr>
      </w:pPr>
    </w:p>
  </w:footnote>
  <w:footnote w:id="6">
    <w:p w14:paraId="63D404CF" w14:textId="77777777" w:rsidR="001704EF" w:rsidRPr="001704EF" w:rsidRDefault="001704EF" w:rsidP="001704EF">
      <w:pPr>
        <w:jc w:val="both"/>
        <w:rPr>
          <w:rFonts w:ascii="Calibri" w:eastAsia="Calibri" w:hAnsi="Calibri" w:cs="Times New Roman"/>
          <w:sz w:val="20"/>
          <w:szCs w:val="20"/>
        </w:rPr>
      </w:pPr>
      <w:r>
        <w:rPr>
          <w:rStyle w:val="Rimandonotaapidipagina"/>
        </w:rPr>
        <w:footnoteRef/>
      </w:r>
      <w:r>
        <w:t xml:space="preserve"> </w:t>
      </w:r>
      <w:r w:rsidRPr="001704EF">
        <w:rPr>
          <w:rFonts w:ascii="Calibri" w:eastAsia="Calibri" w:hAnsi="Calibri" w:cs="Times New Roman"/>
          <w:sz w:val="20"/>
          <w:szCs w:val="20"/>
        </w:rPr>
        <w:t xml:space="preserve">Cfr. D. Menozzi, </w:t>
      </w:r>
      <w:r w:rsidRPr="001704EF">
        <w:rPr>
          <w:rFonts w:ascii="Calibri" w:eastAsia="Calibri" w:hAnsi="Calibri" w:cs="Times New Roman"/>
          <w:i/>
          <w:sz w:val="20"/>
          <w:szCs w:val="20"/>
        </w:rPr>
        <w:t>Philosophes e chrétiens éclairés: politica e religione nella collaborazione di G. H. Mirabeau e A. A. Lamourette (1774-1794)</w:t>
      </w:r>
      <w:r w:rsidRPr="001704EF">
        <w:rPr>
          <w:rFonts w:ascii="Calibri" w:eastAsia="Calibri" w:hAnsi="Calibri" w:cs="Times New Roman"/>
          <w:sz w:val="20"/>
          <w:szCs w:val="20"/>
        </w:rPr>
        <w:t>, Paideia, Brescia, 1976.</w:t>
      </w:r>
    </w:p>
    <w:p w14:paraId="57C95A15" w14:textId="77777777" w:rsidR="001704EF" w:rsidRDefault="001704EF">
      <w:pPr>
        <w:pStyle w:val="Testonotaapidipagina"/>
      </w:pPr>
    </w:p>
  </w:footnote>
  <w:footnote w:id="7">
    <w:p w14:paraId="6291AC25" w14:textId="77777777" w:rsidR="002C34CC" w:rsidRPr="00FD7CD4" w:rsidRDefault="002C34CC" w:rsidP="002C34CC">
      <w:pPr>
        <w:jc w:val="both"/>
        <w:rPr>
          <w:sz w:val="20"/>
          <w:szCs w:val="20"/>
        </w:rPr>
      </w:pPr>
      <w:r>
        <w:rPr>
          <w:rStyle w:val="Rimandonotaapidipagina"/>
        </w:rPr>
        <w:footnoteRef/>
      </w:r>
      <w:r>
        <w:t xml:space="preserve"> </w:t>
      </w:r>
      <w:r w:rsidRPr="00FD7CD4">
        <w:rPr>
          <w:sz w:val="20"/>
          <w:szCs w:val="20"/>
        </w:rPr>
        <w:t>Per un inquadramento complessivo del percorso di Lamourette prima e dopo la rivoluzione cfr</w:t>
      </w:r>
      <w:r>
        <w:rPr>
          <w:sz w:val="20"/>
          <w:szCs w:val="20"/>
        </w:rPr>
        <w:t>.</w:t>
      </w:r>
      <w:r w:rsidRPr="00FD7CD4">
        <w:rPr>
          <w:sz w:val="20"/>
          <w:szCs w:val="20"/>
        </w:rPr>
        <w:t xml:space="preserve"> in particolare C. Chopelin-Blanc, </w:t>
      </w:r>
      <w:r w:rsidRPr="00FD7CD4">
        <w:rPr>
          <w:i/>
          <w:sz w:val="20"/>
          <w:szCs w:val="20"/>
        </w:rPr>
        <w:t>De l'apologétique à l'Eglise constitutionnelle : Adrien Lamourette (1742-1794)</w:t>
      </w:r>
      <w:r w:rsidRPr="00FD7CD4">
        <w:rPr>
          <w:sz w:val="20"/>
          <w:szCs w:val="20"/>
        </w:rPr>
        <w:t>, Paris, Honoré Champion, 2009.</w:t>
      </w:r>
    </w:p>
    <w:p w14:paraId="09860374" w14:textId="77777777" w:rsidR="002C34CC" w:rsidRDefault="002C34CC">
      <w:pPr>
        <w:pStyle w:val="Testonotaapidipagina"/>
      </w:pPr>
    </w:p>
  </w:footnote>
  <w:footnote w:id="8">
    <w:p w14:paraId="067DFDB9" w14:textId="1E3D94A7" w:rsidR="00836E62" w:rsidRPr="00861C26" w:rsidRDefault="00836E62" w:rsidP="00836E62">
      <w:pPr>
        <w:jc w:val="both"/>
        <w:rPr>
          <w:sz w:val="20"/>
          <w:szCs w:val="20"/>
          <w:lang w:val="fr-FR"/>
        </w:rPr>
      </w:pPr>
      <w:r>
        <w:rPr>
          <w:rStyle w:val="Rimandonotaapidipagina"/>
        </w:rPr>
        <w:footnoteRef/>
      </w:r>
      <w:r w:rsidRPr="007F0668">
        <w:rPr>
          <w:lang w:val="fr-FR"/>
        </w:rPr>
        <w:t xml:space="preserve"> </w:t>
      </w:r>
      <w:r w:rsidRPr="00861C26">
        <w:rPr>
          <w:i/>
          <w:sz w:val="20"/>
          <w:szCs w:val="20"/>
          <w:lang w:val="fr-FR"/>
        </w:rPr>
        <w:t>Archives parlementaires</w:t>
      </w:r>
      <w:r w:rsidR="00A44F46">
        <w:rPr>
          <w:sz w:val="20"/>
          <w:szCs w:val="20"/>
          <w:lang w:val="fr-FR"/>
        </w:rPr>
        <w:t>, vol.</w:t>
      </w:r>
      <w:r w:rsidRPr="00861C26">
        <w:rPr>
          <w:sz w:val="20"/>
          <w:szCs w:val="20"/>
          <w:lang w:val="fr-FR"/>
        </w:rPr>
        <w:t xml:space="preserve"> 35 (Assemblée Nationale Législative, Séance du samedi 21 novembre 1791), pp. 276-278 : p. 277.</w:t>
      </w:r>
    </w:p>
    <w:p w14:paraId="5F70B90C" w14:textId="4C2C592C" w:rsidR="00836E62" w:rsidRPr="007F0668" w:rsidRDefault="00836E62">
      <w:pPr>
        <w:pStyle w:val="Testonotaapidipagina"/>
        <w:rPr>
          <w:lang w:val="fr-FR"/>
        </w:rPr>
      </w:pPr>
    </w:p>
  </w:footnote>
  <w:footnote w:id="9">
    <w:p w14:paraId="753F1DDA" w14:textId="7795F503" w:rsidR="005C6549" w:rsidRPr="007D6FEE" w:rsidRDefault="005C6549" w:rsidP="005C6549">
      <w:pPr>
        <w:jc w:val="both"/>
        <w:rPr>
          <w:sz w:val="20"/>
          <w:szCs w:val="20"/>
          <w:lang w:val="en-US"/>
        </w:rPr>
      </w:pPr>
      <w:r>
        <w:rPr>
          <w:rStyle w:val="Rimandonotaapidipagina"/>
        </w:rPr>
        <w:footnoteRef/>
      </w:r>
      <w:r w:rsidRPr="005C6549">
        <w:rPr>
          <w:lang w:val="en-US"/>
        </w:rPr>
        <w:t xml:space="preserve"> </w:t>
      </w:r>
      <w:r w:rsidRPr="007D6FEE">
        <w:rPr>
          <w:sz w:val="20"/>
          <w:szCs w:val="20"/>
          <w:lang w:val="en-US"/>
        </w:rPr>
        <w:t>Per un primo orientamento cfr. in particolare D. Sorkin, “The Kiss of Lamourette”,</w:t>
      </w:r>
      <w:r w:rsidR="00D761A7">
        <w:rPr>
          <w:sz w:val="20"/>
          <w:szCs w:val="20"/>
          <w:lang w:val="en-US"/>
        </w:rPr>
        <w:t xml:space="preserve"> </w:t>
      </w:r>
      <w:r w:rsidRPr="007D6FEE">
        <w:rPr>
          <w:sz w:val="20"/>
          <w:szCs w:val="20"/>
          <w:lang w:val="en-US"/>
        </w:rPr>
        <w:t xml:space="preserve">cit.; C. Chopelin-Blanc, « Le « baiser Lamourette » (7 juillet 1792) », </w:t>
      </w:r>
      <w:r w:rsidRPr="007D6FEE">
        <w:rPr>
          <w:i/>
          <w:iCs/>
          <w:sz w:val="20"/>
          <w:szCs w:val="20"/>
          <w:lang w:val="en-US"/>
        </w:rPr>
        <w:t>Annales historiques de la Révolution française,</w:t>
      </w:r>
      <w:r w:rsidRPr="007D6FEE">
        <w:rPr>
          <w:sz w:val="20"/>
          <w:szCs w:val="20"/>
          <w:lang w:val="en-US"/>
        </w:rPr>
        <w:t xml:space="preserve"> 355, janvier-mars 2009, pp. 73 – 100 ; A. O'Connor, « “Through the bonds of sentiment”: Fraternité and politics in revolutionary France », in L. Kontler &amp; M. Somos (Eds.), </w:t>
      </w:r>
      <w:r w:rsidRPr="007D6FEE">
        <w:rPr>
          <w:i/>
          <w:sz w:val="20"/>
          <w:szCs w:val="20"/>
          <w:lang w:val="en-US"/>
        </w:rPr>
        <w:t>Trust and Happiness in the History of European Political Thought</w:t>
      </w:r>
      <w:r w:rsidRPr="007D6FEE">
        <w:rPr>
          <w:sz w:val="20"/>
          <w:szCs w:val="20"/>
          <w:lang w:val="en-US"/>
        </w:rPr>
        <w:t>, Brill, Leiden, 2018, pp. 412-435.</w:t>
      </w:r>
    </w:p>
    <w:p w14:paraId="1169348D" w14:textId="77777777" w:rsidR="005C6549" w:rsidRPr="005C6549" w:rsidRDefault="005C6549">
      <w:pPr>
        <w:pStyle w:val="Testonotaapidipagina"/>
        <w:rPr>
          <w:lang w:val="en-US"/>
        </w:rPr>
      </w:pPr>
    </w:p>
  </w:footnote>
  <w:footnote w:id="10">
    <w:p w14:paraId="402CCEDB" w14:textId="77777777" w:rsidR="00202FF0" w:rsidRDefault="00202FF0" w:rsidP="00202FF0">
      <w:pPr>
        <w:jc w:val="both"/>
        <w:rPr>
          <w:sz w:val="20"/>
          <w:szCs w:val="20"/>
        </w:rPr>
      </w:pPr>
      <w:r>
        <w:rPr>
          <w:rStyle w:val="Rimandonotaapidipagina"/>
        </w:rPr>
        <w:footnoteRef/>
      </w:r>
      <w:r w:rsidRPr="00202FF0">
        <w:t xml:space="preserve"> </w:t>
      </w:r>
      <w:r w:rsidRPr="00B553E9">
        <w:rPr>
          <w:sz w:val="20"/>
          <w:szCs w:val="20"/>
        </w:rPr>
        <w:t>Ho scelto di usare l’aggettivo «inclusivo» e non l’aggettivo «includente» perché «includente» può suggerire meccanismi di assimilazione e omologazione, mentre «inclusivo»</w:t>
      </w:r>
      <w:r>
        <w:rPr>
          <w:sz w:val="20"/>
          <w:szCs w:val="20"/>
        </w:rPr>
        <w:t xml:space="preserve"> evidenzia maggiormente la</w:t>
      </w:r>
      <w:r w:rsidRPr="00B553E9">
        <w:rPr>
          <w:sz w:val="20"/>
          <w:szCs w:val="20"/>
        </w:rPr>
        <w:t xml:space="preserve"> disponibilità all’alterità.</w:t>
      </w:r>
      <w:r>
        <w:rPr>
          <w:sz w:val="20"/>
          <w:szCs w:val="20"/>
        </w:rPr>
        <w:t xml:space="preserve"> Nell’attuale lessico italiano comunque i due aggettivi sono spesso usati in modo indifferenziato e intercambiabile.</w:t>
      </w:r>
      <w:r w:rsidRPr="00B553E9">
        <w:rPr>
          <w:sz w:val="20"/>
          <w:szCs w:val="20"/>
        </w:rPr>
        <w:t xml:space="preserve"> </w:t>
      </w:r>
    </w:p>
    <w:p w14:paraId="09E8A879" w14:textId="6DFBAD79" w:rsidR="00202FF0" w:rsidRPr="00202FF0" w:rsidRDefault="00202FF0">
      <w:pPr>
        <w:pStyle w:val="Testonotaapidipagina"/>
      </w:pPr>
    </w:p>
  </w:footnote>
  <w:footnote w:id="11">
    <w:p w14:paraId="7917C369" w14:textId="7034ACB5" w:rsidR="00155541" w:rsidRPr="0068318A" w:rsidRDefault="003E3292" w:rsidP="007038F5">
      <w:pPr>
        <w:jc w:val="both"/>
        <w:rPr>
          <w:sz w:val="20"/>
          <w:szCs w:val="20"/>
          <w:lang w:val="en-US"/>
        </w:rPr>
      </w:pPr>
      <w:r>
        <w:rPr>
          <w:rStyle w:val="Rimandonotaapidipagina"/>
        </w:rPr>
        <w:footnoteRef/>
      </w:r>
      <w:r w:rsidRPr="003E3292">
        <w:rPr>
          <w:lang w:val="en-US"/>
        </w:rPr>
        <w:t xml:space="preserve"> </w:t>
      </w:r>
      <w:r w:rsidRPr="00561BB0">
        <w:rPr>
          <w:rFonts w:cstheme="minorHAnsi"/>
          <w:sz w:val="20"/>
          <w:szCs w:val="20"/>
          <w:lang w:val="en-US"/>
        </w:rPr>
        <w:t xml:space="preserve">Cfr. M. Linton, </w:t>
      </w:r>
      <w:r w:rsidRPr="00561BB0">
        <w:rPr>
          <w:rFonts w:cstheme="minorHAnsi"/>
          <w:i/>
          <w:sz w:val="20"/>
          <w:szCs w:val="20"/>
          <w:lang w:val="en-US"/>
        </w:rPr>
        <w:t>Choosing Terror. Virtue, Friendship, and Authenticity in the French Revolution</w:t>
      </w:r>
      <w:r w:rsidRPr="00561BB0">
        <w:rPr>
          <w:rFonts w:cstheme="minorHAnsi"/>
          <w:sz w:val="20"/>
          <w:szCs w:val="20"/>
          <w:lang w:val="en-US"/>
        </w:rPr>
        <w:t>, Oxford, University Press, 2013.</w:t>
      </w:r>
      <w:r w:rsidR="00155541">
        <w:rPr>
          <w:rFonts w:cstheme="minorHAnsi"/>
          <w:sz w:val="20"/>
          <w:szCs w:val="20"/>
          <w:lang w:val="en-US"/>
        </w:rPr>
        <w:t xml:space="preserve"> </w:t>
      </w:r>
      <w:r w:rsidR="00155541" w:rsidRPr="0068318A">
        <w:rPr>
          <w:sz w:val="20"/>
          <w:szCs w:val="20"/>
          <w:lang w:val="en-US"/>
        </w:rPr>
        <w:t xml:space="preserve">Cfr. inoltre Idem, </w:t>
      </w:r>
      <w:r w:rsidR="00155541" w:rsidRPr="0068318A">
        <w:rPr>
          <w:i/>
          <w:sz w:val="20"/>
          <w:szCs w:val="20"/>
          <w:lang w:val="en-US"/>
        </w:rPr>
        <w:t>The Politics of Virtue in Enlightenment France</w:t>
      </w:r>
      <w:r w:rsidR="00155541" w:rsidRPr="0068318A">
        <w:rPr>
          <w:sz w:val="20"/>
          <w:szCs w:val="20"/>
          <w:lang w:val="en-US"/>
        </w:rPr>
        <w:t>, Basingstoke, Palgrave Macmillan, 2001</w:t>
      </w:r>
      <w:r w:rsidR="00E7122C">
        <w:rPr>
          <w:sz w:val="20"/>
          <w:szCs w:val="20"/>
          <w:lang w:val="en-US"/>
        </w:rPr>
        <w:t>.</w:t>
      </w:r>
    </w:p>
    <w:p w14:paraId="0C11BE8C" w14:textId="2DA904D9" w:rsidR="003E3292" w:rsidRPr="00561BB0" w:rsidRDefault="003E3292" w:rsidP="003E3292">
      <w:pPr>
        <w:jc w:val="both"/>
        <w:rPr>
          <w:rFonts w:cstheme="minorHAnsi"/>
          <w:sz w:val="20"/>
          <w:szCs w:val="20"/>
          <w:lang w:val="en-US"/>
        </w:rPr>
      </w:pPr>
    </w:p>
    <w:p w14:paraId="1FC7B29D" w14:textId="77777777" w:rsidR="003E3292" w:rsidRPr="003E3292" w:rsidRDefault="003E3292">
      <w:pPr>
        <w:pStyle w:val="Testonotaapidipagina"/>
        <w:rPr>
          <w:lang w:val="en-US"/>
        </w:rPr>
      </w:pPr>
    </w:p>
  </w:footnote>
  <w:footnote w:id="12">
    <w:p w14:paraId="39843D02" w14:textId="41BC5A7D" w:rsidR="005F0D90" w:rsidRPr="00EE43C4" w:rsidRDefault="005F0D90" w:rsidP="005F0D90">
      <w:pPr>
        <w:jc w:val="both"/>
        <w:rPr>
          <w:sz w:val="20"/>
          <w:szCs w:val="20"/>
        </w:rPr>
      </w:pPr>
      <w:r>
        <w:rPr>
          <w:rStyle w:val="Rimandonotaapidipagina"/>
        </w:rPr>
        <w:footnoteRef/>
      </w:r>
      <w:r>
        <w:t xml:space="preserve"> </w:t>
      </w:r>
      <w:r w:rsidR="00ED02A7">
        <w:rPr>
          <w:sz w:val="20"/>
          <w:szCs w:val="20"/>
        </w:rPr>
        <w:t>In una prospettiva sem</w:t>
      </w:r>
      <w:r w:rsidRPr="00EE43C4">
        <w:rPr>
          <w:sz w:val="20"/>
          <w:szCs w:val="20"/>
        </w:rPr>
        <w:t>as</w:t>
      </w:r>
      <w:r w:rsidR="00ED02A7">
        <w:rPr>
          <w:sz w:val="20"/>
          <w:szCs w:val="20"/>
        </w:rPr>
        <w:t>i</w:t>
      </w:r>
      <w:r w:rsidRPr="00EE43C4">
        <w:rPr>
          <w:sz w:val="20"/>
          <w:szCs w:val="20"/>
        </w:rPr>
        <w:t>ologica – cioè di semantica storica – la politicizzazione del significante «fraternité» nel periodo rivoluzionario costituisce un punto di svolta molto imp</w:t>
      </w:r>
      <w:r w:rsidR="00ED02A7">
        <w:rPr>
          <w:sz w:val="20"/>
          <w:szCs w:val="20"/>
        </w:rPr>
        <w:t>ortante. Per l’impostazione sem</w:t>
      </w:r>
      <w:r w:rsidRPr="00EE43C4">
        <w:rPr>
          <w:sz w:val="20"/>
          <w:szCs w:val="20"/>
        </w:rPr>
        <w:t>as</w:t>
      </w:r>
      <w:r w:rsidR="00ED02A7">
        <w:rPr>
          <w:sz w:val="20"/>
          <w:szCs w:val="20"/>
        </w:rPr>
        <w:t>i</w:t>
      </w:r>
      <w:r w:rsidRPr="00EE43C4">
        <w:rPr>
          <w:sz w:val="20"/>
          <w:szCs w:val="20"/>
        </w:rPr>
        <w:t>ologica</w:t>
      </w:r>
      <w:r w:rsidR="00ED02A7">
        <w:rPr>
          <w:sz w:val="20"/>
          <w:szCs w:val="20"/>
        </w:rPr>
        <w:t xml:space="preserve"> e la semantica storica</w:t>
      </w:r>
      <w:r w:rsidRPr="00EE43C4">
        <w:rPr>
          <w:sz w:val="20"/>
          <w:szCs w:val="20"/>
        </w:rPr>
        <w:t xml:space="preserve"> cfr. in par</w:t>
      </w:r>
      <w:r w:rsidR="00025DE8">
        <w:rPr>
          <w:sz w:val="20"/>
          <w:szCs w:val="20"/>
        </w:rPr>
        <w:t xml:space="preserve">ticolare R. Koselleck </w:t>
      </w:r>
      <w:r w:rsidR="00025DE8" w:rsidRPr="00025DE8">
        <w:rPr>
          <w:sz w:val="20"/>
          <w:szCs w:val="20"/>
        </w:rPr>
        <w:t>(Herausgeber</w:t>
      </w:r>
      <w:r w:rsidRPr="00EE43C4">
        <w:rPr>
          <w:sz w:val="20"/>
          <w:szCs w:val="20"/>
        </w:rPr>
        <w:t xml:space="preserve">), </w:t>
      </w:r>
      <w:r w:rsidRPr="00EE43C4">
        <w:rPr>
          <w:i/>
          <w:sz w:val="20"/>
          <w:szCs w:val="20"/>
        </w:rPr>
        <w:t>Historische Semantik und Begriffsgeschichte</w:t>
      </w:r>
      <w:r w:rsidRPr="00EE43C4">
        <w:rPr>
          <w:sz w:val="20"/>
          <w:szCs w:val="20"/>
        </w:rPr>
        <w:t>, Stuttgart, Klett – Cotta, 1979.</w:t>
      </w:r>
    </w:p>
    <w:p w14:paraId="4A6CAA27" w14:textId="39086084" w:rsidR="005F0D90" w:rsidRDefault="005F0D90">
      <w:pPr>
        <w:pStyle w:val="Testonotaapidipagina"/>
      </w:pPr>
    </w:p>
  </w:footnote>
  <w:footnote w:id="13">
    <w:p w14:paraId="4B1BFBE3" w14:textId="2AF8AE59" w:rsidR="00B87111" w:rsidRPr="001B2F20" w:rsidRDefault="00B87111" w:rsidP="00B87111">
      <w:pPr>
        <w:jc w:val="both"/>
        <w:rPr>
          <w:rFonts w:cstheme="minorHAnsi"/>
        </w:rPr>
      </w:pPr>
      <w:r>
        <w:rPr>
          <w:rStyle w:val="Rimandonotaapidipagina"/>
        </w:rPr>
        <w:footnoteRef/>
      </w:r>
      <w:r w:rsidRPr="001309D6">
        <w:rPr>
          <w:lang w:val="fr-FR"/>
        </w:rPr>
        <w:t xml:space="preserve"> </w:t>
      </w:r>
      <w:r w:rsidRPr="001309D6">
        <w:rPr>
          <w:rFonts w:eastAsia="Calibri" w:cstheme="minorHAnsi"/>
          <w:sz w:val="20"/>
          <w:szCs w:val="20"/>
          <w:lang w:val="fr-FR"/>
        </w:rPr>
        <w:t>Cfr.</w:t>
      </w:r>
      <w:r w:rsidR="001309D6" w:rsidRPr="001309D6">
        <w:rPr>
          <w:rFonts w:eastAsia="Calibri" w:cstheme="minorHAnsi"/>
          <w:sz w:val="20"/>
          <w:szCs w:val="20"/>
          <w:lang w:val="fr-FR"/>
        </w:rPr>
        <w:t xml:space="preserve"> in particolare </w:t>
      </w:r>
      <w:r w:rsidR="001309D6">
        <w:rPr>
          <w:rFonts w:cstheme="minorHAnsi"/>
          <w:sz w:val="20"/>
          <w:szCs w:val="20"/>
          <w:lang w:val="fr-FR"/>
        </w:rPr>
        <w:t xml:space="preserve">M. Borgetto, </w:t>
      </w:r>
      <w:r w:rsidR="001309D6">
        <w:rPr>
          <w:rFonts w:cstheme="minorHAnsi"/>
          <w:i/>
          <w:sz w:val="20"/>
          <w:szCs w:val="20"/>
          <w:lang w:val="fr-FR"/>
        </w:rPr>
        <w:t>La Notion de fraternité en droit public français. Le passé, le présent et l’avenir de la solidarité</w:t>
      </w:r>
      <w:r w:rsidR="001309D6">
        <w:rPr>
          <w:rFonts w:cstheme="minorHAnsi"/>
          <w:sz w:val="20"/>
          <w:szCs w:val="20"/>
          <w:lang w:val="fr-FR"/>
        </w:rPr>
        <w:t xml:space="preserve">, Paris, Librairie générale de droit et de jurisprudence, 1993 ; Idem, </w:t>
      </w:r>
      <w:r w:rsidR="001309D6">
        <w:rPr>
          <w:rFonts w:cstheme="minorHAnsi"/>
          <w:i/>
          <w:sz w:val="20"/>
          <w:szCs w:val="20"/>
          <w:lang w:val="fr-FR"/>
        </w:rPr>
        <w:t>La devise «Liberté, Égalité, Fraternité»</w:t>
      </w:r>
      <w:r w:rsidR="001309D6">
        <w:rPr>
          <w:rFonts w:cstheme="minorHAnsi"/>
          <w:sz w:val="20"/>
          <w:szCs w:val="20"/>
          <w:lang w:val="fr-FR"/>
        </w:rPr>
        <w:t>, Paris, PUF, 1997 </w:t>
      </w:r>
      <w:r w:rsidR="000F4FC1">
        <w:rPr>
          <w:rFonts w:cstheme="minorHAnsi"/>
          <w:sz w:val="20"/>
          <w:szCs w:val="20"/>
          <w:lang w:val="fr-FR"/>
        </w:rPr>
        <w:t>;</w:t>
      </w:r>
      <w:r w:rsidR="000F4FC1">
        <w:rPr>
          <w:rFonts w:cstheme="minorHAnsi"/>
          <w:lang w:val="fr-FR"/>
        </w:rPr>
        <w:t xml:space="preserve"> </w:t>
      </w:r>
      <w:r w:rsidR="000F4FC1" w:rsidRPr="001309D6">
        <w:rPr>
          <w:rFonts w:eastAsia="Calibri" w:cstheme="minorHAnsi"/>
          <w:sz w:val="20"/>
          <w:szCs w:val="20"/>
          <w:lang w:val="fr-FR"/>
        </w:rPr>
        <w:t>A</w:t>
      </w:r>
      <w:r w:rsidRPr="001309D6">
        <w:rPr>
          <w:rFonts w:eastAsia="Calibri" w:cstheme="minorHAnsi"/>
          <w:sz w:val="20"/>
          <w:szCs w:val="20"/>
          <w:lang w:val="fr-FR"/>
        </w:rPr>
        <w:t xml:space="preserve">. M. Baggio, </w:t>
      </w:r>
      <w:r w:rsidRPr="001309D6">
        <w:rPr>
          <w:rFonts w:eastAsia="Calibri" w:cstheme="minorHAnsi"/>
          <w:i/>
          <w:sz w:val="20"/>
          <w:szCs w:val="20"/>
          <w:lang w:val="fr-FR"/>
        </w:rPr>
        <w:t>L'idea di "fraternità" tra due Rivoluzioni: Parigi 1789 - Haiti 1791</w:t>
      </w:r>
      <w:r w:rsidRPr="001309D6">
        <w:rPr>
          <w:rFonts w:eastAsia="Calibri" w:cstheme="minorHAnsi"/>
          <w:sz w:val="20"/>
          <w:szCs w:val="20"/>
          <w:lang w:val="fr-FR"/>
        </w:rPr>
        <w:t xml:space="preserve">, in A. M. Baggio (a cura), </w:t>
      </w:r>
      <w:r w:rsidRPr="001309D6">
        <w:rPr>
          <w:rFonts w:eastAsia="Calibri" w:cstheme="minorHAnsi"/>
          <w:i/>
          <w:sz w:val="20"/>
          <w:szCs w:val="20"/>
          <w:lang w:val="fr-FR"/>
        </w:rPr>
        <w:t xml:space="preserve">Il principio dimenticato. </w:t>
      </w:r>
      <w:r w:rsidRPr="00B87111">
        <w:rPr>
          <w:rFonts w:eastAsia="Calibri" w:cstheme="minorHAnsi"/>
          <w:i/>
          <w:sz w:val="20"/>
          <w:szCs w:val="20"/>
        </w:rPr>
        <w:t>La fraternità nella riflessione politologica contemporanea</w:t>
      </w:r>
      <w:r w:rsidRPr="00B87111">
        <w:rPr>
          <w:rFonts w:eastAsia="Calibri" w:cstheme="minorHAnsi"/>
          <w:sz w:val="20"/>
          <w:szCs w:val="20"/>
        </w:rPr>
        <w:t xml:space="preserve">, Roma, Città Nuova Editrice, 2007, pp. 25-56.  Per un primo e aggiornato orientamento bibliografico mi permetto di rinviare a C. Vetter, </w:t>
      </w:r>
      <w:r w:rsidRPr="00B87111">
        <w:rPr>
          <w:sz w:val="20"/>
          <w:szCs w:val="20"/>
        </w:rPr>
        <w:t xml:space="preserve">«“Fraternité” nel lessico della Rivoluzione francese», </w:t>
      </w:r>
      <w:r w:rsidRPr="00B87111">
        <w:rPr>
          <w:i/>
          <w:sz w:val="20"/>
          <w:szCs w:val="20"/>
        </w:rPr>
        <w:t>Il Pensiero Politico</w:t>
      </w:r>
      <w:r w:rsidRPr="00B87111">
        <w:rPr>
          <w:sz w:val="20"/>
          <w:szCs w:val="20"/>
        </w:rPr>
        <w:t>, vol. 52, fascicolo 1, 2019, pp. 87 -104.</w:t>
      </w:r>
    </w:p>
    <w:p w14:paraId="0B9B1EEA" w14:textId="77777777" w:rsidR="00B87111" w:rsidRPr="00B87111" w:rsidRDefault="00B87111">
      <w:pPr>
        <w:pStyle w:val="Testonotaapidipagina"/>
      </w:pPr>
    </w:p>
  </w:footnote>
  <w:footnote w:id="14">
    <w:p w14:paraId="58FDBC9D" w14:textId="77777777" w:rsidR="009429A9" w:rsidRDefault="009429A9">
      <w:pPr>
        <w:pStyle w:val="Testonotaapidipagina"/>
      </w:pPr>
      <w:r>
        <w:rPr>
          <w:rStyle w:val="Rimandonotaapidipagina"/>
        </w:rPr>
        <w:footnoteRef/>
      </w:r>
      <w:r>
        <w:t xml:space="preserve"> Cfr.</w:t>
      </w:r>
      <w:r>
        <w:rPr>
          <w:rFonts w:eastAsia="Calibri" w:cstheme="minorHAnsi"/>
        </w:rPr>
        <w:t xml:space="preserve"> C. Vetter, </w:t>
      </w:r>
      <w:r>
        <w:t>«“Fraternité” nel lessico della Rivoluzione francese», cit., pp. 90 - 96.</w:t>
      </w:r>
    </w:p>
  </w:footnote>
  <w:footnote w:id="15">
    <w:p w14:paraId="1939C96D" w14:textId="77777777" w:rsidR="00560413" w:rsidRPr="00891DFA" w:rsidRDefault="00560413" w:rsidP="00891DFA">
      <w:pPr>
        <w:jc w:val="both"/>
        <w:rPr>
          <w:sz w:val="20"/>
          <w:szCs w:val="20"/>
          <w:lang w:val="fr-FR"/>
        </w:rPr>
      </w:pPr>
      <w:r w:rsidRPr="00891DFA">
        <w:rPr>
          <w:rStyle w:val="Rimandonotaapidipagina"/>
          <w:sz w:val="20"/>
          <w:szCs w:val="20"/>
        </w:rPr>
        <w:footnoteRef/>
      </w:r>
      <w:r w:rsidRPr="00891DFA">
        <w:rPr>
          <w:sz w:val="20"/>
          <w:szCs w:val="20"/>
          <w:lang w:val="fr-FR"/>
        </w:rPr>
        <w:t xml:space="preserve"> Cfr. C. Blanc, « Adrien Lamourette : une apologétique du bonheur », </w:t>
      </w:r>
      <w:r w:rsidRPr="00891DFA">
        <w:rPr>
          <w:i/>
          <w:iCs/>
          <w:sz w:val="20"/>
          <w:szCs w:val="20"/>
          <w:lang w:val="fr-FR"/>
        </w:rPr>
        <w:t>Chrétiens et sociétés</w:t>
      </w:r>
      <w:r w:rsidRPr="00891DFA">
        <w:rPr>
          <w:sz w:val="20"/>
          <w:szCs w:val="20"/>
          <w:lang w:val="fr-FR"/>
        </w:rPr>
        <w:t>, 10, 2003, pp. 47-68.</w:t>
      </w:r>
    </w:p>
    <w:p w14:paraId="58F10DC6" w14:textId="77777777" w:rsidR="00560413" w:rsidRPr="00560413" w:rsidRDefault="00560413">
      <w:pPr>
        <w:pStyle w:val="Testonotaapidipagina"/>
        <w:rPr>
          <w:lang w:val="fr-FR"/>
        </w:rPr>
      </w:pPr>
    </w:p>
  </w:footnote>
  <w:footnote w:id="16">
    <w:p w14:paraId="2783AB9B" w14:textId="77777777" w:rsidR="00DE33EC" w:rsidRPr="00171375" w:rsidRDefault="00DE33EC" w:rsidP="00DE33EC">
      <w:pPr>
        <w:jc w:val="both"/>
        <w:rPr>
          <w:sz w:val="20"/>
          <w:szCs w:val="20"/>
        </w:rPr>
      </w:pPr>
      <w:r>
        <w:rPr>
          <w:rStyle w:val="Rimandonotaapidipagina"/>
        </w:rPr>
        <w:footnoteRef/>
      </w:r>
      <w:r>
        <w:t xml:space="preserve"> </w:t>
      </w:r>
      <w:r w:rsidRPr="00171375">
        <w:rPr>
          <w:sz w:val="20"/>
          <w:szCs w:val="20"/>
        </w:rPr>
        <w:t xml:space="preserve">Cfr. C.Vetter, «A proposito di felicità, rivoluzione francese, banche dati e linguistica computazionale», </w:t>
      </w:r>
      <w:r w:rsidRPr="00171375">
        <w:rPr>
          <w:i/>
          <w:sz w:val="20"/>
          <w:szCs w:val="20"/>
        </w:rPr>
        <w:t>Revolution Française.net, Epistémologie</w:t>
      </w:r>
      <w:r w:rsidRPr="00171375">
        <w:rPr>
          <w:sz w:val="20"/>
          <w:szCs w:val="20"/>
        </w:rPr>
        <w:t xml:space="preserve">, mis en ligne le 07 février 2007, </w:t>
      </w:r>
      <w:hyperlink r:id="rId4" w:history="1">
        <w:r w:rsidRPr="00171375">
          <w:rPr>
            <w:rStyle w:val="Collegamentoipertestuale"/>
            <w:sz w:val="20"/>
            <w:szCs w:val="20"/>
          </w:rPr>
          <w:t>http://revolution-francaise.net/2007/02/07/107-proposito-felicita-rivoluzione-francese-banche-linguistica-computazionale</w:t>
        </w:r>
      </w:hyperlink>
      <w:r w:rsidRPr="00171375">
        <w:rPr>
          <w:sz w:val="20"/>
          <w:szCs w:val="20"/>
        </w:rPr>
        <w:t>.</w:t>
      </w:r>
    </w:p>
    <w:p w14:paraId="7FB9EE12" w14:textId="61740FF1" w:rsidR="00DE33EC" w:rsidRDefault="00DE33EC">
      <w:pPr>
        <w:pStyle w:val="Testonotaapidipagina"/>
      </w:pPr>
    </w:p>
  </w:footnote>
  <w:footnote w:id="17">
    <w:p w14:paraId="0B775BA9" w14:textId="77777777" w:rsidR="00A07CD2" w:rsidRPr="00A07CD2" w:rsidRDefault="00C666E2" w:rsidP="00A07CD2">
      <w:pPr>
        <w:jc w:val="both"/>
        <w:rPr>
          <w:sz w:val="20"/>
          <w:szCs w:val="20"/>
          <w:lang w:val="en-US"/>
        </w:rPr>
      </w:pPr>
      <w:r>
        <w:rPr>
          <w:rStyle w:val="Rimandonotaapidipagina"/>
        </w:rPr>
        <w:footnoteRef/>
      </w:r>
      <w:r w:rsidRPr="00A07CD2">
        <w:rPr>
          <w:lang w:val="en-US"/>
        </w:rPr>
        <w:t xml:space="preserve"> </w:t>
      </w:r>
      <w:r w:rsidRPr="00A07CD2">
        <w:rPr>
          <w:sz w:val="20"/>
          <w:szCs w:val="20"/>
          <w:lang w:val="en-US"/>
        </w:rPr>
        <w:t xml:space="preserve">Per un primo orientamento sulla distinzione tra l’approccio edonistico e l’approccio eudaimonistico al tema della felicità cfr. V. Huta, A. Waterman, «Eudaimonia and its Distinction from Hedonia: Developing a Classification and Terminology for Understanding Conceptual and Operational Definitions», </w:t>
      </w:r>
      <w:r w:rsidRPr="00A07CD2">
        <w:rPr>
          <w:i/>
          <w:sz w:val="20"/>
          <w:szCs w:val="20"/>
          <w:lang w:val="en-US"/>
        </w:rPr>
        <w:t>Journal of Happiness Studies</w:t>
      </w:r>
      <w:r w:rsidR="00D6622B" w:rsidRPr="00A07CD2">
        <w:rPr>
          <w:sz w:val="20"/>
          <w:szCs w:val="20"/>
          <w:lang w:val="en-US"/>
        </w:rPr>
        <w:t>,</w:t>
      </w:r>
      <w:r w:rsidRPr="00A07CD2">
        <w:rPr>
          <w:sz w:val="20"/>
          <w:szCs w:val="20"/>
          <w:lang w:val="en-US"/>
        </w:rPr>
        <w:t>, vol. 15(6</w:t>
      </w:r>
      <w:r w:rsidR="00A07CD2" w:rsidRPr="00A07CD2">
        <w:rPr>
          <w:sz w:val="20"/>
          <w:szCs w:val="20"/>
          <w:lang w:val="en-US"/>
        </w:rPr>
        <w:t xml:space="preserve">), December 2014, pp. 1425-1456 ; V. Huta, «An overview of hedonic and eudaimonic well-being concepts», in L. Reinecke &amp; M. B. Oliver (Eds.), </w:t>
      </w:r>
      <w:r w:rsidR="00A07CD2" w:rsidRPr="00A07CD2">
        <w:rPr>
          <w:i/>
          <w:sz w:val="20"/>
          <w:szCs w:val="20"/>
          <w:lang w:val="en-US"/>
        </w:rPr>
        <w:t>The Routledge Handbook of Media Use and Well-Being: International perspectives on Theory and Research on Positive Media Effects</w:t>
      </w:r>
      <w:r w:rsidR="00A07CD2" w:rsidRPr="00A07CD2">
        <w:rPr>
          <w:sz w:val="20"/>
          <w:szCs w:val="20"/>
          <w:lang w:val="en-US"/>
        </w:rPr>
        <w:t>, London-New York, Routledge, 2017, pp. 14 -33.</w:t>
      </w:r>
    </w:p>
    <w:p w14:paraId="2CA8B895" w14:textId="3DF0FFDF" w:rsidR="00C666E2" w:rsidRPr="00A07CD2" w:rsidRDefault="00C666E2" w:rsidP="00C666E2">
      <w:pPr>
        <w:jc w:val="both"/>
        <w:rPr>
          <w:sz w:val="20"/>
          <w:szCs w:val="20"/>
          <w:lang w:val="en-US"/>
        </w:rPr>
      </w:pPr>
    </w:p>
    <w:p w14:paraId="506AB4C1" w14:textId="652751B7" w:rsidR="00C666E2" w:rsidRPr="00A07CD2" w:rsidRDefault="00C666E2">
      <w:pPr>
        <w:pStyle w:val="Testonotaapidipagina"/>
        <w:rPr>
          <w:lang w:val="en-US"/>
        </w:rPr>
      </w:pPr>
    </w:p>
  </w:footnote>
  <w:footnote w:id="18">
    <w:p w14:paraId="63DB99CF" w14:textId="77777777" w:rsidR="00F21D77" w:rsidRPr="007F0668" w:rsidRDefault="00F21D77" w:rsidP="00F21D77">
      <w:pPr>
        <w:jc w:val="both"/>
        <w:rPr>
          <w:rFonts w:ascii="Calibri" w:eastAsia="Calibri" w:hAnsi="Calibri" w:cs="Calibri"/>
          <w:i/>
          <w:iCs/>
          <w:sz w:val="20"/>
          <w:szCs w:val="20"/>
          <w:lang w:val="fr-FR"/>
        </w:rPr>
      </w:pPr>
      <w:r>
        <w:rPr>
          <w:rStyle w:val="Rimandonotaapidipagina"/>
        </w:rPr>
        <w:footnoteRef/>
      </w:r>
      <w:r w:rsidRPr="007F0668">
        <w:rPr>
          <w:lang w:val="fr-FR"/>
        </w:rPr>
        <w:t xml:space="preserve"> </w:t>
      </w:r>
      <w:r w:rsidRPr="007F0668">
        <w:rPr>
          <w:rFonts w:ascii="Calibri" w:eastAsia="Calibri" w:hAnsi="Calibri" w:cs="Calibri"/>
          <w:sz w:val="20"/>
          <w:szCs w:val="20"/>
          <w:lang w:val="fr-FR"/>
        </w:rPr>
        <w:t xml:space="preserve">A. Lamourette, </w:t>
      </w:r>
      <w:r w:rsidRPr="007F0668">
        <w:rPr>
          <w:rFonts w:ascii="Calibri" w:eastAsia="Calibri" w:hAnsi="Calibri" w:cs="Calibri"/>
          <w:i/>
          <w:iCs/>
          <w:sz w:val="20"/>
          <w:szCs w:val="20"/>
          <w:lang w:val="fr-FR"/>
        </w:rPr>
        <w:t>Pensées sur la philosophie de l'incrédulité, ou Réflexions sur l'esprit et le dessein des philosophes irréligieux de ce siècle</w:t>
      </w:r>
      <w:r w:rsidRPr="007F0668">
        <w:rPr>
          <w:rFonts w:ascii="Calibri" w:eastAsia="Calibri" w:hAnsi="Calibri" w:cs="Calibri"/>
          <w:sz w:val="20"/>
          <w:szCs w:val="20"/>
          <w:lang w:val="fr-FR"/>
        </w:rPr>
        <w:t xml:space="preserve">, Paris, Simon, 1785; Idem, </w:t>
      </w:r>
      <w:r w:rsidRPr="007F0668">
        <w:rPr>
          <w:rFonts w:ascii="Calibri" w:eastAsia="Calibri" w:hAnsi="Calibri" w:cs="Calibri"/>
          <w:i/>
          <w:iCs/>
          <w:sz w:val="20"/>
          <w:szCs w:val="20"/>
          <w:lang w:val="fr-FR"/>
        </w:rPr>
        <w:t>Considérations sur l'Esprit et les Devoirs de la Vie religieuse</w:t>
      </w:r>
      <w:r w:rsidRPr="007F0668">
        <w:rPr>
          <w:rFonts w:ascii="Calibri" w:eastAsia="Calibri" w:hAnsi="Calibri" w:cs="Calibri"/>
          <w:sz w:val="20"/>
          <w:szCs w:val="20"/>
          <w:lang w:val="fr-FR"/>
        </w:rPr>
        <w:t>, Paris, Berton, 1785.</w:t>
      </w:r>
    </w:p>
    <w:p w14:paraId="49302416" w14:textId="32083C24" w:rsidR="00F21D77" w:rsidRPr="007F0668" w:rsidRDefault="00F21D77">
      <w:pPr>
        <w:pStyle w:val="Testonotaapidipagina"/>
        <w:rPr>
          <w:lang w:val="fr-FR"/>
        </w:rPr>
      </w:pPr>
    </w:p>
  </w:footnote>
  <w:footnote w:id="19">
    <w:p w14:paraId="30E3889A" w14:textId="2FBF9DC4" w:rsidR="00B57D22" w:rsidRPr="007F0668" w:rsidRDefault="00B57D22" w:rsidP="00B57D22">
      <w:pPr>
        <w:pStyle w:val="Testonotaapidipagina"/>
        <w:rPr>
          <w:lang w:val="fr-FR"/>
        </w:rPr>
      </w:pPr>
      <w:r>
        <w:rPr>
          <w:rStyle w:val="Rimandonotaapidipagina"/>
        </w:rPr>
        <w:footnoteRef/>
      </w:r>
      <w:r w:rsidRPr="007F0668">
        <w:rPr>
          <w:lang w:val="fr-FR"/>
        </w:rPr>
        <w:t xml:space="preserve"> A. Lamourette, </w:t>
      </w:r>
      <w:r w:rsidRPr="007F0668">
        <w:rPr>
          <w:i/>
          <w:iCs/>
          <w:lang w:val="fr-FR"/>
        </w:rPr>
        <w:t>Les délices de la religion ou le pouvoir de l’évangile pour nous rendre heureux</w:t>
      </w:r>
      <w:r w:rsidRPr="007F0668">
        <w:rPr>
          <w:lang w:val="fr-FR"/>
        </w:rPr>
        <w:t>, Paris, Merigot</w:t>
      </w:r>
      <w:r w:rsidR="00DA53DD" w:rsidRPr="007F0668">
        <w:rPr>
          <w:lang w:val="fr-FR"/>
        </w:rPr>
        <w:t xml:space="preserve"> jeune</w:t>
      </w:r>
      <w:r w:rsidRPr="007F0668">
        <w:rPr>
          <w:lang w:val="fr-FR"/>
        </w:rPr>
        <w:t xml:space="preserve">, 1788, p. </w:t>
      </w:r>
      <w:r w:rsidR="00DA53DD" w:rsidRPr="007F0668">
        <w:rPr>
          <w:lang w:val="fr-FR"/>
        </w:rPr>
        <w:t>60</w:t>
      </w:r>
      <w:r w:rsidRPr="007F0668">
        <w:rPr>
          <w:lang w:val="fr-FR"/>
        </w:rPr>
        <w:t>.</w:t>
      </w:r>
    </w:p>
    <w:p w14:paraId="59E7FFC8" w14:textId="76A2DF85" w:rsidR="00B57D22" w:rsidRPr="007F0668" w:rsidRDefault="00B57D22">
      <w:pPr>
        <w:pStyle w:val="Testonotaapidipagina"/>
        <w:rPr>
          <w:lang w:val="fr-FR"/>
        </w:rPr>
      </w:pPr>
    </w:p>
  </w:footnote>
  <w:footnote w:id="20">
    <w:p w14:paraId="564C12DC" w14:textId="77777777" w:rsidR="0063252B" w:rsidRPr="007F0668" w:rsidRDefault="0063252B" w:rsidP="0063252B">
      <w:pPr>
        <w:jc w:val="both"/>
        <w:rPr>
          <w:rFonts w:ascii="Calibri" w:eastAsia="Calibri" w:hAnsi="Calibri" w:cs="Times New Roman"/>
          <w:sz w:val="20"/>
          <w:szCs w:val="20"/>
          <w:lang w:val="fr-FR"/>
        </w:rPr>
      </w:pPr>
      <w:r>
        <w:rPr>
          <w:rStyle w:val="Rimandonotaapidipagina"/>
        </w:rPr>
        <w:footnoteRef/>
      </w:r>
      <w:r w:rsidRPr="007F0668">
        <w:rPr>
          <w:lang w:val="fr-FR"/>
        </w:rPr>
        <w:t xml:space="preserve"> </w:t>
      </w:r>
      <w:r w:rsidRPr="007F0668">
        <w:rPr>
          <w:rFonts w:ascii="Calibri" w:eastAsia="Calibri" w:hAnsi="Calibri" w:cs="Times New Roman"/>
          <w:sz w:val="20"/>
          <w:szCs w:val="20"/>
          <w:lang w:val="fr-FR"/>
        </w:rPr>
        <w:t xml:space="preserve">A. Lamourette, </w:t>
      </w:r>
      <w:r w:rsidRPr="007F0668">
        <w:rPr>
          <w:rFonts w:ascii="Calibri" w:eastAsia="Calibri" w:hAnsi="Calibri" w:cs="Times New Roman"/>
          <w:i/>
          <w:iCs/>
          <w:sz w:val="20"/>
          <w:szCs w:val="20"/>
          <w:lang w:val="fr-FR"/>
        </w:rPr>
        <w:t>Pensées sur la philosophie de la foi, ou le Système du christianisme entrevu dans son analogie avec les idées naturelles de l'entendement humain</w:t>
      </w:r>
      <w:r w:rsidRPr="007F0668">
        <w:rPr>
          <w:rFonts w:ascii="Calibri" w:eastAsia="Calibri" w:hAnsi="Calibri" w:cs="Times New Roman"/>
          <w:sz w:val="20"/>
          <w:szCs w:val="20"/>
          <w:lang w:val="fr-FR"/>
        </w:rPr>
        <w:t>, Paris, Merigot jeune, 1789, pp. 30, 151.</w:t>
      </w:r>
    </w:p>
    <w:p w14:paraId="7C231600" w14:textId="242DB2EF" w:rsidR="0063252B" w:rsidRPr="007F0668" w:rsidRDefault="0063252B">
      <w:pPr>
        <w:pStyle w:val="Testonotaapidipagina"/>
        <w:rPr>
          <w:lang w:val="fr-FR"/>
        </w:rPr>
      </w:pPr>
    </w:p>
  </w:footnote>
  <w:footnote w:id="21">
    <w:p w14:paraId="32AA4118" w14:textId="77777777" w:rsidR="008539D3" w:rsidRPr="008539D3" w:rsidRDefault="00D442B1" w:rsidP="00D442B1">
      <w:pPr>
        <w:rPr>
          <w:sz w:val="20"/>
          <w:szCs w:val="20"/>
          <w:lang w:val="fr-FR"/>
        </w:rPr>
      </w:pPr>
      <w:r w:rsidRPr="008539D3">
        <w:rPr>
          <w:rStyle w:val="Rimandonotaapidipagina"/>
          <w:sz w:val="20"/>
          <w:szCs w:val="20"/>
        </w:rPr>
        <w:footnoteRef/>
      </w:r>
      <w:r w:rsidRPr="008539D3">
        <w:rPr>
          <w:sz w:val="20"/>
          <w:szCs w:val="20"/>
          <w:lang w:val="fr-FR"/>
        </w:rPr>
        <w:t xml:space="preserve"> A. Lamourette, </w:t>
      </w:r>
      <w:r w:rsidRPr="008539D3">
        <w:rPr>
          <w:i/>
          <w:sz w:val="20"/>
          <w:szCs w:val="20"/>
          <w:lang w:val="fr-FR"/>
        </w:rPr>
        <w:t>Prônes civiques ou le Pasteur Patriote</w:t>
      </w:r>
      <w:r w:rsidR="008539D3" w:rsidRPr="008539D3">
        <w:rPr>
          <w:sz w:val="20"/>
          <w:szCs w:val="20"/>
          <w:lang w:val="fr-FR"/>
        </w:rPr>
        <w:t xml:space="preserve">, Paris, Lejay, s.d. [1791] : </w:t>
      </w:r>
      <w:r w:rsidR="008539D3" w:rsidRPr="008539D3">
        <w:rPr>
          <w:i/>
          <w:sz w:val="20"/>
          <w:szCs w:val="20"/>
          <w:lang w:val="fr-FR"/>
        </w:rPr>
        <w:t xml:space="preserve">Prône </w:t>
      </w:r>
      <w:r w:rsidR="008539D3" w:rsidRPr="008539D3">
        <w:rPr>
          <w:sz w:val="20"/>
          <w:szCs w:val="20"/>
          <w:lang w:val="fr-FR"/>
        </w:rPr>
        <w:t xml:space="preserve">III, p.4 ; </w:t>
      </w:r>
      <w:r w:rsidR="008539D3" w:rsidRPr="008539D3">
        <w:rPr>
          <w:i/>
          <w:sz w:val="20"/>
          <w:szCs w:val="20"/>
          <w:lang w:val="fr-FR"/>
        </w:rPr>
        <w:t>Prône</w:t>
      </w:r>
      <w:r w:rsidR="008539D3" w:rsidRPr="008539D3">
        <w:rPr>
          <w:sz w:val="20"/>
          <w:szCs w:val="20"/>
          <w:lang w:val="fr-FR"/>
        </w:rPr>
        <w:t xml:space="preserve"> IV, p. 27.</w:t>
      </w:r>
    </w:p>
    <w:p w14:paraId="488FF93B" w14:textId="77777777" w:rsidR="00D442B1" w:rsidRDefault="008539D3" w:rsidP="00D442B1">
      <w:pPr>
        <w:rPr>
          <w:lang w:val="fr-FR"/>
        </w:rPr>
      </w:pPr>
      <w:r>
        <w:rPr>
          <w:lang w:val="fr-FR"/>
        </w:rPr>
        <w:t xml:space="preserve"> </w:t>
      </w:r>
    </w:p>
    <w:p w14:paraId="56591929" w14:textId="77777777" w:rsidR="00D442B1" w:rsidRPr="00D442B1" w:rsidRDefault="00D442B1">
      <w:pPr>
        <w:pStyle w:val="Testonotaapidipagina"/>
        <w:rPr>
          <w:lang w:val="fr-FR"/>
        </w:rPr>
      </w:pPr>
    </w:p>
  </w:footnote>
  <w:footnote w:id="22">
    <w:p w14:paraId="7B255E74" w14:textId="1C9454E5" w:rsidR="00123E6A" w:rsidRPr="00DD61E9" w:rsidRDefault="00123E6A" w:rsidP="00123E6A">
      <w:pPr>
        <w:jc w:val="both"/>
        <w:rPr>
          <w:rFonts w:ascii="Calibri" w:eastAsia="Calibri" w:hAnsi="Calibri" w:cs="Calibri"/>
          <w:sz w:val="20"/>
          <w:szCs w:val="20"/>
        </w:rPr>
      </w:pPr>
      <w:r>
        <w:rPr>
          <w:rStyle w:val="Rimandonotaapidipagina"/>
        </w:rPr>
        <w:footnoteRef/>
      </w:r>
      <w:r w:rsidRPr="007F0668">
        <w:rPr>
          <w:lang w:val="fr-FR"/>
        </w:rPr>
        <w:t xml:space="preserve"> </w:t>
      </w:r>
      <w:r w:rsidRPr="007F0668">
        <w:rPr>
          <w:rFonts w:ascii="Calibri" w:eastAsia="Calibri" w:hAnsi="Calibri" w:cs="Calibri"/>
          <w:sz w:val="20"/>
          <w:szCs w:val="20"/>
          <w:lang w:val="fr-FR"/>
        </w:rPr>
        <w:t xml:space="preserve">A. Lamourette, </w:t>
      </w:r>
      <w:r w:rsidRPr="007F0668">
        <w:rPr>
          <w:rFonts w:ascii="Calibri" w:eastAsia="Calibri" w:hAnsi="Calibri" w:cs="Calibri"/>
          <w:i/>
          <w:iCs/>
          <w:sz w:val="20"/>
          <w:szCs w:val="20"/>
          <w:lang w:val="fr-FR"/>
        </w:rPr>
        <w:t>Lettre pastorale d’Adrien Lamourette, Évêque du département de Rhône-et-Loire, Métropolitain de l'arrondissement du sud-est, aux pasteurs fidèles du Diocèse, pour le carême de l'an 1793, an Second de la République Française</w:t>
      </w:r>
      <w:r w:rsidRPr="007F0668">
        <w:rPr>
          <w:rFonts w:ascii="Calibri" w:eastAsia="Calibri" w:hAnsi="Calibri" w:cs="Calibri"/>
          <w:sz w:val="20"/>
          <w:szCs w:val="20"/>
          <w:lang w:val="fr-FR"/>
        </w:rPr>
        <w:t xml:space="preserve"> (10 février 1793), Lyon, Leroy, 1793, p. 9. </w:t>
      </w:r>
      <w:r w:rsidRPr="00DD61E9">
        <w:rPr>
          <w:rFonts w:ascii="Calibri" w:eastAsia="Calibri" w:hAnsi="Calibri" w:cs="Calibri"/>
          <w:sz w:val="20"/>
          <w:szCs w:val="20"/>
        </w:rPr>
        <w:t xml:space="preserve">Cfr. </w:t>
      </w:r>
      <w:r w:rsidRPr="00DD61E9">
        <w:rPr>
          <w:rFonts w:ascii="Calibri" w:eastAsia="Calibri" w:hAnsi="Calibri" w:cs="Calibri"/>
          <w:i/>
          <w:iCs/>
          <w:sz w:val="20"/>
          <w:szCs w:val="20"/>
        </w:rPr>
        <w:t>ibidem</w:t>
      </w:r>
      <w:r w:rsidRPr="00DD61E9">
        <w:rPr>
          <w:rFonts w:ascii="Calibri" w:eastAsia="Calibri" w:hAnsi="Calibri" w:cs="Calibri"/>
          <w:sz w:val="20"/>
          <w:szCs w:val="20"/>
        </w:rPr>
        <w:t>, pp. 5, 12.</w:t>
      </w:r>
      <w:r w:rsidR="00152F8B">
        <w:rPr>
          <w:rFonts w:ascii="Calibri" w:eastAsia="Calibri" w:hAnsi="Calibri" w:cs="Calibri"/>
          <w:sz w:val="20"/>
          <w:szCs w:val="20"/>
        </w:rPr>
        <w:t xml:space="preserve"> </w:t>
      </w:r>
    </w:p>
    <w:p w14:paraId="38157365" w14:textId="44362F53" w:rsidR="00123E6A" w:rsidRPr="00DD61E9" w:rsidRDefault="00123E6A">
      <w:pPr>
        <w:pStyle w:val="Testonotaapidipagina"/>
      </w:pPr>
    </w:p>
  </w:footnote>
  <w:footnote w:id="23">
    <w:p w14:paraId="4B3EC2A2" w14:textId="77777777" w:rsidR="004C1A99" w:rsidRPr="00DD61E9" w:rsidRDefault="004C1A99" w:rsidP="004C1A99">
      <w:pPr>
        <w:jc w:val="both"/>
        <w:rPr>
          <w:sz w:val="20"/>
          <w:szCs w:val="20"/>
          <w:lang w:val="fr-FR"/>
        </w:rPr>
      </w:pPr>
      <w:r>
        <w:rPr>
          <w:rStyle w:val="Rimandonotaapidipagina"/>
        </w:rPr>
        <w:footnoteRef/>
      </w:r>
      <w:r w:rsidRPr="004C1A99">
        <w:t xml:space="preserve"> </w:t>
      </w:r>
      <w:r w:rsidRPr="003D4B9C">
        <w:rPr>
          <w:sz w:val="20"/>
          <w:szCs w:val="20"/>
        </w:rPr>
        <w:t xml:space="preserve">Jean-Clément Martin suggerisce di leggere la Rivoluzione – almeno fino al 1794 – come un insieme di dinamiche caratterizzate da rivalità permanenti tra gruppi e correnti rivali alla ricerca di legittimità politica: «H-France Forum», vol. 2, Issue 2 (Spring 2007), No. 5, pp. 43 – 49: p. 45. Per una visione d’assieme – che evidenzia anche la volatilità delle etichette con cui si presentano i diversi schieramenti in campo – cfr. J.-Cl. </w:t>
      </w:r>
      <w:r w:rsidRPr="003D4B9C">
        <w:rPr>
          <w:sz w:val="20"/>
          <w:szCs w:val="20"/>
          <w:lang w:val="fr-FR"/>
        </w:rPr>
        <w:t xml:space="preserve">Martin, </w:t>
      </w:r>
      <w:r w:rsidRPr="003D4B9C">
        <w:rPr>
          <w:i/>
          <w:iCs/>
          <w:sz w:val="20"/>
          <w:szCs w:val="20"/>
          <w:lang w:val="fr-FR"/>
        </w:rPr>
        <w:t>Nouvelle histoire de la Révolution</w:t>
      </w:r>
      <w:r w:rsidRPr="00DD61E9">
        <w:rPr>
          <w:sz w:val="20"/>
          <w:szCs w:val="20"/>
          <w:lang w:val="fr-FR"/>
        </w:rPr>
        <w:t xml:space="preserve"> </w:t>
      </w:r>
      <w:r w:rsidRPr="00DD61E9">
        <w:rPr>
          <w:i/>
          <w:iCs/>
          <w:sz w:val="20"/>
          <w:szCs w:val="20"/>
          <w:lang w:val="fr-FR"/>
        </w:rPr>
        <w:t>française</w:t>
      </w:r>
      <w:r w:rsidRPr="00DD61E9">
        <w:rPr>
          <w:sz w:val="20"/>
          <w:szCs w:val="20"/>
          <w:lang w:val="fr-FR"/>
        </w:rPr>
        <w:t>, Paris, Perrin, 2012.</w:t>
      </w:r>
    </w:p>
    <w:p w14:paraId="438F1F1A" w14:textId="405118A5" w:rsidR="004C1A99" w:rsidRPr="004C1A99" w:rsidRDefault="004C1A99">
      <w:pPr>
        <w:pStyle w:val="Testonotaapidipagina"/>
        <w:rPr>
          <w:lang w:val="fr-FR"/>
        </w:rPr>
      </w:pPr>
    </w:p>
  </w:footnote>
  <w:footnote w:id="24">
    <w:p w14:paraId="0323FFAB" w14:textId="6D7BE5C7" w:rsidR="00983DA6" w:rsidRPr="00983DA6" w:rsidRDefault="00983DA6" w:rsidP="00983DA6">
      <w:pPr>
        <w:jc w:val="both"/>
        <w:rPr>
          <w:sz w:val="20"/>
          <w:szCs w:val="20"/>
          <w:lang w:val="fr-FR"/>
        </w:rPr>
      </w:pPr>
      <w:r>
        <w:rPr>
          <w:rStyle w:val="Rimandonotaapidipagina"/>
        </w:rPr>
        <w:footnoteRef/>
      </w:r>
      <w:r w:rsidRPr="00983DA6">
        <w:rPr>
          <w:lang w:val="fr-FR"/>
        </w:rPr>
        <w:t xml:space="preserve"> </w:t>
      </w:r>
      <w:r w:rsidRPr="002A624F">
        <w:rPr>
          <w:i/>
          <w:sz w:val="20"/>
          <w:szCs w:val="20"/>
          <w:lang w:val="fr-FR"/>
        </w:rPr>
        <w:t>Lettre de Adrien Lamourette, évêque métropolitain du département de Rhône- et- Loire, aux habitants des campagnes de ce département</w:t>
      </w:r>
      <w:r w:rsidRPr="002A624F">
        <w:rPr>
          <w:sz w:val="20"/>
          <w:szCs w:val="20"/>
          <w:lang w:val="fr-FR"/>
        </w:rPr>
        <w:t>, Lyon, Imprimerie d’Amable Leroy, 14 juillet 1793,</w:t>
      </w:r>
      <w:r>
        <w:rPr>
          <w:sz w:val="20"/>
          <w:szCs w:val="20"/>
          <w:lang w:val="fr-FR"/>
        </w:rPr>
        <w:t xml:space="preserve"> p .1. </w:t>
      </w:r>
      <w:r w:rsidRPr="00AD7EE3">
        <w:rPr>
          <w:sz w:val="20"/>
          <w:szCs w:val="20"/>
        </w:rPr>
        <w:t xml:space="preserve">Il termine «monstre» è usato a p. 2. I termini «hideux», «infâmes», «hommes pervers» a p. 3.  I termini </w:t>
      </w:r>
      <w:r w:rsidR="009C40E4" w:rsidRPr="00AD7EE3">
        <w:rPr>
          <w:sz w:val="20"/>
          <w:szCs w:val="20"/>
        </w:rPr>
        <w:t>«scélérats» e</w:t>
      </w:r>
      <w:r w:rsidRPr="00AD7EE3">
        <w:rPr>
          <w:sz w:val="20"/>
          <w:szCs w:val="20"/>
        </w:rPr>
        <w:t xml:space="preserve"> «</w:t>
      </w:r>
      <w:r w:rsidR="00D761A7" w:rsidRPr="00AD7EE3">
        <w:rPr>
          <w:sz w:val="20"/>
          <w:szCs w:val="20"/>
        </w:rPr>
        <w:t>méchants» rispettivamente</w:t>
      </w:r>
      <w:r w:rsidR="009C40E4" w:rsidRPr="00AD7EE3">
        <w:rPr>
          <w:sz w:val="20"/>
          <w:szCs w:val="20"/>
        </w:rPr>
        <w:t xml:space="preserve"> a p. 4 e a p. 7. </w:t>
      </w:r>
      <w:r w:rsidRPr="00983DA6">
        <w:rPr>
          <w:sz w:val="20"/>
          <w:szCs w:val="20"/>
          <w:lang w:val="fr-FR"/>
        </w:rPr>
        <w:t>L’espressione «faux patriotes» figura a p. 6.</w:t>
      </w:r>
    </w:p>
    <w:p w14:paraId="3ACB7C23" w14:textId="08E2C9C5" w:rsidR="00983DA6" w:rsidRPr="00983DA6" w:rsidRDefault="00983DA6">
      <w:pPr>
        <w:pStyle w:val="Testonotaapidipagina"/>
        <w:rPr>
          <w:lang w:val="fr-FR"/>
        </w:rPr>
      </w:pPr>
    </w:p>
  </w:footnote>
  <w:footnote w:id="25">
    <w:p w14:paraId="59D8D83A" w14:textId="3DE6607E" w:rsidR="002F1B89" w:rsidRPr="00DC0F1B" w:rsidRDefault="0082077B" w:rsidP="002F1B89">
      <w:pPr>
        <w:jc w:val="both"/>
        <w:rPr>
          <w:rFonts w:ascii="Calibri" w:eastAsia="Calibri" w:hAnsi="Calibri" w:cs="Calibri"/>
          <w:sz w:val="20"/>
          <w:szCs w:val="20"/>
          <w:lang w:val="fr-FR"/>
        </w:rPr>
      </w:pPr>
      <w:r>
        <w:rPr>
          <w:rStyle w:val="Rimandonotaapidipagina"/>
        </w:rPr>
        <w:footnoteRef/>
      </w:r>
      <w:r w:rsidRPr="0082077B">
        <w:rPr>
          <w:lang w:val="fr-FR"/>
        </w:rPr>
        <w:t xml:space="preserve"> </w:t>
      </w:r>
      <w:r w:rsidRPr="002A624F">
        <w:rPr>
          <w:i/>
          <w:sz w:val="20"/>
          <w:szCs w:val="20"/>
          <w:lang w:val="fr-FR"/>
        </w:rPr>
        <w:t>Lettre de Adrien Lamourette, évêque métropolitain du département de Rhône- et- Loire, aux habitants</w:t>
      </w:r>
      <w:r w:rsidR="00983DA6">
        <w:rPr>
          <w:i/>
          <w:sz w:val="20"/>
          <w:szCs w:val="20"/>
          <w:lang w:val="fr-FR"/>
        </w:rPr>
        <w:t xml:space="preserve"> des campagnes</w:t>
      </w:r>
      <w:r w:rsidR="00E10A93">
        <w:rPr>
          <w:sz w:val="20"/>
          <w:szCs w:val="20"/>
          <w:lang w:val="fr-FR"/>
        </w:rPr>
        <w:t>, cit.</w:t>
      </w:r>
      <w:r w:rsidR="00D761A7">
        <w:rPr>
          <w:sz w:val="20"/>
          <w:szCs w:val="20"/>
          <w:lang w:val="fr-FR"/>
        </w:rPr>
        <w:t xml:space="preserve">, </w:t>
      </w:r>
      <w:r w:rsidR="00D761A7" w:rsidRPr="002A624F">
        <w:rPr>
          <w:sz w:val="20"/>
          <w:szCs w:val="20"/>
          <w:lang w:val="fr-FR"/>
        </w:rPr>
        <w:t>pp</w:t>
      </w:r>
      <w:r w:rsidRPr="002A624F">
        <w:rPr>
          <w:sz w:val="20"/>
          <w:szCs w:val="20"/>
          <w:lang w:val="fr-FR"/>
        </w:rPr>
        <w:t>. 4-5.</w:t>
      </w:r>
      <w:r w:rsidR="002F1B89">
        <w:rPr>
          <w:sz w:val="20"/>
          <w:szCs w:val="20"/>
          <w:lang w:val="fr-FR"/>
        </w:rPr>
        <w:t xml:space="preserve"> </w:t>
      </w:r>
    </w:p>
    <w:p w14:paraId="332713BC" w14:textId="01898DC4" w:rsidR="0082077B" w:rsidRPr="00DC0F1B" w:rsidRDefault="0082077B" w:rsidP="002A624F">
      <w:pPr>
        <w:jc w:val="both"/>
        <w:rPr>
          <w:sz w:val="20"/>
          <w:szCs w:val="20"/>
          <w:lang w:val="fr-FR"/>
        </w:rPr>
      </w:pPr>
    </w:p>
    <w:p w14:paraId="7D2CE4F7" w14:textId="77777777" w:rsidR="0082077B" w:rsidRPr="00DC0F1B" w:rsidRDefault="0082077B" w:rsidP="002A624F">
      <w:pPr>
        <w:pStyle w:val="Testonotaapidipagina"/>
        <w:jc w:val="both"/>
        <w:rPr>
          <w:lang w:val="fr-FR"/>
        </w:rPr>
      </w:pPr>
    </w:p>
  </w:footnote>
  <w:footnote w:id="26">
    <w:p w14:paraId="3E58D77C" w14:textId="77777777" w:rsidR="00922170" w:rsidRPr="003436EE" w:rsidRDefault="00922170" w:rsidP="00922170">
      <w:pPr>
        <w:jc w:val="both"/>
        <w:rPr>
          <w:sz w:val="20"/>
          <w:szCs w:val="20"/>
        </w:rPr>
      </w:pPr>
      <w:r>
        <w:rPr>
          <w:rStyle w:val="Rimandonotaapidipagina"/>
        </w:rPr>
        <w:footnoteRef/>
      </w:r>
      <w:r>
        <w:t xml:space="preserve"> </w:t>
      </w:r>
      <w:r w:rsidRPr="003436EE">
        <w:rPr>
          <w:sz w:val="20"/>
          <w:szCs w:val="20"/>
        </w:rPr>
        <w:t xml:space="preserve">C. Vetter, «Fraternità, rivoluzione francese e linguistica computazionale», </w:t>
      </w:r>
      <w:r w:rsidRPr="003436EE">
        <w:rPr>
          <w:i/>
          <w:sz w:val="20"/>
          <w:szCs w:val="20"/>
        </w:rPr>
        <w:t>Endoxa</w:t>
      </w:r>
      <w:r w:rsidRPr="003436EE">
        <w:rPr>
          <w:sz w:val="20"/>
          <w:szCs w:val="20"/>
        </w:rPr>
        <w:t>, vol.3, fascicolo, 13, 2018, pp. 27 -33; Idem, «“Fraternité” nel lessi</w:t>
      </w:r>
      <w:r w:rsidR="00B87111">
        <w:rPr>
          <w:sz w:val="20"/>
          <w:szCs w:val="20"/>
        </w:rPr>
        <w:t>co della Rivoluzione francese», cit.</w:t>
      </w:r>
    </w:p>
    <w:p w14:paraId="714F7E58" w14:textId="77777777" w:rsidR="00922170" w:rsidRDefault="00922170">
      <w:pPr>
        <w:pStyle w:val="Testonotaapidipagina"/>
      </w:pPr>
    </w:p>
  </w:footnote>
  <w:footnote w:id="27">
    <w:p w14:paraId="11AEEF0E" w14:textId="7FB050B6" w:rsidR="004E7F5A" w:rsidRPr="00CA4CE7" w:rsidRDefault="004E7F5A" w:rsidP="00CA4CE7">
      <w:pPr>
        <w:jc w:val="both"/>
        <w:rPr>
          <w:sz w:val="20"/>
          <w:szCs w:val="20"/>
          <w:lang w:val="fr-FR"/>
        </w:rPr>
      </w:pPr>
      <w:r>
        <w:rPr>
          <w:rStyle w:val="Rimandonotaapidipagina"/>
        </w:rPr>
        <w:footnoteRef/>
      </w:r>
      <w:r w:rsidRPr="00E93A26">
        <w:rPr>
          <w:lang w:val="fr-FR"/>
        </w:rPr>
        <w:t xml:space="preserve"> </w:t>
      </w:r>
      <w:r w:rsidRPr="00E93A26">
        <w:rPr>
          <w:sz w:val="20"/>
          <w:szCs w:val="20"/>
          <w:lang w:val="fr-FR"/>
        </w:rPr>
        <w:t xml:space="preserve">Cfr. </w:t>
      </w:r>
      <w:hyperlink r:id="rId5" w:history="1">
        <w:r w:rsidRPr="00E93A26">
          <w:rPr>
            <w:rStyle w:val="Collegamentoipertestuale"/>
            <w:sz w:val="20"/>
            <w:szCs w:val="20"/>
            <w:lang w:val="fr-FR"/>
          </w:rPr>
          <w:t>http://gallica.bnf.fr/ark:/12148/bpt6k57093h</w:t>
        </w:r>
      </w:hyperlink>
      <w:r w:rsidRPr="00E93A26">
        <w:rPr>
          <w:sz w:val="20"/>
          <w:szCs w:val="20"/>
          <w:lang w:val="fr-FR"/>
        </w:rPr>
        <w:t xml:space="preserve">. </w:t>
      </w:r>
      <w:r w:rsidR="00CA4CE7" w:rsidRPr="00CA4CE7">
        <w:rPr>
          <w:sz w:val="20"/>
          <w:szCs w:val="20"/>
          <w:lang w:val="fr-FR"/>
        </w:rPr>
        <w:t xml:space="preserve">Cfr. inoltre </w:t>
      </w:r>
      <w:r w:rsidR="00CA4CE7" w:rsidRPr="00CA4CE7">
        <w:rPr>
          <w:i/>
          <w:sz w:val="20"/>
          <w:szCs w:val="20"/>
          <w:lang w:val="fr-FR"/>
        </w:rPr>
        <w:t>Réimpression de l'Ancien Moniteur</w:t>
      </w:r>
      <w:r w:rsidR="00CA4CE7" w:rsidRPr="00CA4CE7">
        <w:rPr>
          <w:sz w:val="20"/>
          <w:szCs w:val="20"/>
          <w:lang w:val="fr-FR"/>
        </w:rPr>
        <w:t xml:space="preserve">, tome XXI, Paris, Henri Plon, 1841, pp. 233 – 235 : p. 235. </w:t>
      </w:r>
      <w:r w:rsidRPr="00CA4CE7">
        <w:rPr>
          <w:sz w:val="20"/>
          <w:szCs w:val="20"/>
        </w:rPr>
        <w:t xml:space="preserve">Per l’uso della parola </w:t>
      </w:r>
      <w:bookmarkStart w:id="2" w:name="_Hlk19628134"/>
      <w:r w:rsidRPr="00CA4CE7">
        <w:rPr>
          <w:sz w:val="20"/>
          <w:szCs w:val="20"/>
        </w:rPr>
        <w:t>«</w:t>
      </w:r>
      <w:bookmarkEnd w:id="2"/>
      <w:r w:rsidRPr="00CA4CE7">
        <w:rPr>
          <w:sz w:val="20"/>
          <w:szCs w:val="20"/>
        </w:rPr>
        <w:t xml:space="preserve">fraternité» in Barère cfr. M.-Th. </w:t>
      </w:r>
      <w:r w:rsidRPr="00CA4CE7">
        <w:rPr>
          <w:sz w:val="20"/>
          <w:szCs w:val="20"/>
          <w:lang w:val="fr-FR"/>
        </w:rPr>
        <w:t xml:space="preserve">Bouyssy, </w:t>
      </w:r>
      <w:r w:rsidRPr="00CA4CE7">
        <w:rPr>
          <w:i/>
          <w:sz w:val="20"/>
          <w:szCs w:val="20"/>
          <w:lang w:val="fr-FR"/>
        </w:rPr>
        <w:t>Fraternité chez Bertrand Barére en l’an II</w:t>
      </w:r>
      <w:r w:rsidRPr="00CA4CE7">
        <w:rPr>
          <w:sz w:val="20"/>
          <w:szCs w:val="20"/>
          <w:lang w:val="fr-FR"/>
        </w:rPr>
        <w:t xml:space="preserve">, in Equipe "18ème et Révolution", </w:t>
      </w:r>
      <w:r w:rsidRPr="00CA4CE7">
        <w:rPr>
          <w:i/>
          <w:sz w:val="20"/>
          <w:szCs w:val="20"/>
          <w:lang w:val="fr-FR"/>
        </w:rPr>
        <w:t>Langages de La Revolution (1770-1815)</w:t>
      </w:r>
      <w:r w:rsidRPr="00CA4CE7">
        <w:rPr>
          <w:sz w:val="20"/>
          <w:szCs w:val="20"/>
          <w:lang w:val="fr-FR"/>
        </w:rPr>
        <w:t>, Paris, Klincksieck, 1995, pp. 523-533.</w:t>
      </w:r>
    </w:p>
    <w:p w14:paraId="7F15B3F0" w14:textId="77777777" w:rsidR="004E7F5A" w:rsidRPr="004E7F5A" w:rsidRDefault="004E7F5A">
      <w:pPr>
        <w:pStyle w:val="Testonotaapidipagina"/>
        <w:rPr>
          <w:lang w:val="fr-FR"/>
        </w:rPr>
      </w:pPr>
    </w:p>
  </w:footnote>
  <w:footnote w:id="28">
    <w:p w14:paraId="7B2A5C8B" w14:textId="4E31B216" w:rsidR="00E60464" w:rsidRPr="00CA4CE7" w:rsidRDefault="005B7D3F" w:rsidP="00E60464">
      <w:pPr>
        <w:jc w:val="both"/>
        <w:rPr>
          <w:rFonts w:cstheme="minorHAnsi"/>
          <w:sz w:val="20"/>
          <w:szCs w:val="20"/>
        </w:rPr>
      </w:pPr>
      <w:r>
        <w:rPr>
          <w:rStyle w:val="Rimandonotaapidipagina"/>
        </w:rPr>
        <w:footnoteRef/>
      </w:r>
      <w:r w:rsidRPr="005B7D3F">
        <w:rPr>
          <w:lang w:val="fr-FR"/>
        </w:rPr>
        <w:t xml:space="preserve"> </w:t>
      </w:r>
      <w:r w:rsidRPr="00CA4CE7">
        <w:rPr>
          <w:i/>
          <w:sz w:val="20"/>
          <w:szCs w:val="20"/>
          <w:lang w:val="fr-FR"/>
        </w:rPr>
        <w:t>Archives parlementaires</w:t>
      </w:r>
      <w:r w:rsidR="00A44F46" w:rsidRPr="00CA4CE7">
        <w:rPr>
          <w:sz w:val="20"/>
          <w:szCs w:val="20"/>
          <w:lang w:val="fr-FR"/>
        </w:rPr>
        <w:t>, vol. 8</w:t>
      </w:r>
      <w:r w:rsidRPr="00CA4CE7">
        <w:rPr>
          <w:sz w:val="20"/>
          <w:szCs w:val="20"/>
          <w:lang w:val="fr-FR"/>
        </w:rPr>
        <w:t xml:space="preserve"> (Séance du lundi 17 août 1789), p. 439.</w:t>
      </w:r>
      <w:r w:rsidR="00E60464" w:rsidRPr="00CA4CE7">
        <w:rPr>
          <w:sz w:val="20"/>
          <w:szCs w:val="20"/>
          <w:lang w:val="fr-FR"/>
        </w:rPr>
        <w:t xml:space="preserve"> </w:t>
      </w:r>
      <w:r w:rsidR="00E60464" w:rsidRPr="00CA4CE7">
        <w:rPr>
          <w:rFonts w:cstheme="minorHAnsi"/>
          <w:sz w:val="20"/>
          <w:szCs w:val="20"/>
        </w:rPr>
        <w:t xml:space="preserve">Nel corpus digitalizzato dei primi 82 volumi delle </w:t>
      </w:r>
      <w:r w:rsidR="00E60464" w:rsidRPr="00CA4CE7">
        <w:rPr>
          <w:rFonts w:cstheme="minorHAnsi"/>
          <w:i/>
          <w:sz w:val="20"/>
          <w:szCs w:val="20"/>
        </w:rPr>
        <w:t>Archives parlementaires</w:t>
      </w:r>
      <w:r w:rsidR="00E60464" w:rsidRPr="00CA4CE7">
        <w:rPr>
          <w:rFonts w:cstheme="minorHAnsi"/>
          <w:sz w:val="20"/>
          <w:szCs w:val="20"/>
        </w:rPr>
        <w:t>, messo in rete da Chicago-ARTFL CNRS (</w:t>
      </w:r>
      <w:hyperlink r:id="rId6" w:history="1">
        <w:r w:rsidR="00E60464" w:rsidRPr="00CA4CE7">
          <w:rPr>
            <w:rFonts w:cstheme="minorHAnsi"/>
            <w:color w:val="0563C1" w:themeColor="hyperlink"/>
            <w:sz w:val="20"/>
            <w:szCs w:val="20"/>
            <w:u w:val="single"/>
          </w:rPr>
          <w:t>http://artfl-project.uchicago.edu/node/144.Nel</w:t>
        </w:r>
      </w:hyperlink>
      <w:r w:rsidR="00E60464" w:rsidRPr="00CA4CE7">
        <w:rPr>
          <w:rFonts w:cstheme="minorHAnsi"/>
          <w:sz w:val="20"/>
          <w:szCs w:val="20"/>
          <w:u w:val="single"/>
        </w:rPr>
        <w:t xml:space="preserve">) </w:t>
      </w:r>
      <w:r w:rsidR="00E60464" w:rsidRPr="00CA4CE7">
        <w:rPr>
          <w:rFonts w:cstheme="minorHAnsi"/>
          <w:sz w:val="20"/>
          <w:szCs w:val="20"/>
        </w:rPr>
        <w:t xml:space="preserve">risultano 44 occorrenze di «fraternité universelle». Nel </w:t>
      </w:r>
      <w:r w:rsidR="00E60464" w:rsidRPr="00CA4CE7">
        <w:rPr>
          <w:rFonts w:cstheme="minorHAnsi"/>
          <w:i/>
          <w:sz w:val="20"/>
          <w:szCs w:val="20"/>
        </w:rPr>
        <w:t>corpus intégral</w:t>
      </w:r>
      <w:r w:rsidR="00E60464" w:rsidRPr="00CA4CE7">
        <w:rPr>
          <w:rFonts w:cstheme="minorHAnsi"/>
          <w:sz w:val="20"/>
          <w:szCs w:val="20"/>
        </w:rPr>
        <w:t xml:space="preserve"> della banca dati </w:t>
      </w:r>
      <w:r w:rsidR="00E60464" w:rsidRPr="00CA4CE7">
        <w:rPr>
          <w:rFonts w:cstheme="minorHAnsi"/>
          <w:i/>
          <w:sz w:val="20"/>
          <w:szCs w:val="20"/>
        </w:rPr>
        <w:t>Frantext</w:t>
      </w:r>
      <w:r w:rsidR="00E60464" w:rsidRPr="00CA4CE7">
        <w:rPr>
          <w:rFonts w:cstheme="minorHAnsi"/>
          <w:sz w:val="20"/>
          <w:szCs w:val="20"/>
        </w:rPr>
        <w:t xml:space="preserve"> (</w:t>
      </w:r>
      <w:hyperlink r:id="rId7" w:history="1">
        <w:r w:rsidR="00E60464" w:rsidRPr="00CA4CE7">
          <w:rPr>
            <w:rFonts w:cstheme="minorHAnsi"/>
            <w:color w:val="0563C1" w:themeColor="hyperlink"/>
            <w:sz w:val="20"/>
            <w:szCs w:val="20"/>
            <w:u w:val="single"/>
          </w:rPr>
          <w:t>https://www.frantext.fr/</w:t>
        </w:r>
      </w:hyperlink>
      <w:r w:rsidR="00E60464" w:rsidRPr="00CA4CE7">
        <w:rPr>
          <w:rFonts w:cstheme="minorHAnsi"/>
          <w:sz w:val="20"/>
          <w:szCs w:val="20"/>
        </w:rPr>
        <w:t xml:space="preserve">) figurano </w:t>
      </w:r>
      <w:r w:rsidR="00B103DA" w:rsidRPr="00CA4CE7">
        <w:rPr>
          <w:rFonts w:cstheme="minorHAnsi"/>
          <w:sz w:val="20"/>
          <w:szCs w:val="20"/>
        </w:rPr>
        <w:t>37</w:t>
      </w:r>
      <w:r w:rsidR="00E60464" w:rsidRPr="00CA4CE7">
        <w:rPr>
          <w:rFonts w:cstheme="minorHAnsi"/>
          <w:sz w:val="20"/>
          <w:szCs w:val="20"/>
        </w:rPr>
        <w:t xml:space="preserve"> occorrenze di «fraternité universelle», di cui </w:t>
      </w:r>
      <w:r w:rsidR="00B25FF7" w:rsidRPr="00CA4CE7">
        <w:rPr>
          <w:rFonts w:cstheme="minorHAnsi"/>
          <w:sz w:val="20"/>
          <w:szCs w:val="20"/>
        </w:rPr>
        <w:t>4</w:t>
      </w:r>
      <w:r w:rsidR="00E60464" w:rsidRPr="00CA4CE7">
        <w:rPr>
          <w:rFonts w:cstheme="minorHAnsi"/>
          <w:sz w:val="20"/>
          <w:szCs w:val="20"/>
        </w:rPr>
        <w:t xml:space="preserve"> nel periodo della rivoluzione francese. </w:t>
      </w:r>
      <w:r w:rsidR="00B25FF7" w:rsidRPr="00CA4CE7">
        <w:rPr>
          <w:rFonts w:cstheme="minorHAnsi"/>
          <w:sz w:val="20"/>
          <w:szCs w:val="20"/>
        </w:rPr>
        <w:t>Di queste quattro occorrenze, una riguarda un saggio di Chateaubriand del 1797 e tre</w:t>
      </w:r>
      <w:r w:rsidR="00E60464" w:rsidRPr="00CA4CE7">
        <w:rPr>
          <w:rFonts w:cstheme="minorHAnsi"/>
          <w:sz w:val="20"/>
          <w:szCs w:val="20"/>
        </w:rPr>
        <w:t xml:space="preserve"> sono presenti in un opuscolo (aprile 1793) di Pierre Guyomar, uno dei pochi rivoluzionari di sesso maschile, assieme a Condorcet e a Gilbert Romme, a perorare il suffragio femminile (cfr. E. Badinter, </w:t>
      </w:r>
      <w:r w:rsidR="00E60464" w:rsidRPr="00CA4CE7">
        <w:rPr>
          <w:rFonts w:cstheme="minorHAnsi"/>
          <w:i/>
          <w:sz w:val="20"/>
          <w:szCs w:val="20"/>
        </w:rPr>
        <w:t>Paroles d’hommes (1790 – 1793)</w:t>
      </w:r>
      <w:r w:rsidR="00E60464" w:rsidRPr="00CA4CE7">
        <w:rPr>
          <w:rFonts w:cstheme="minorHAnsi"/>
          <w:sz w:val="20"/>
          <w:szCs w:val="20"/>
        </w:rPr>
        <w:t xml:space="preserve">, Paris, P.O.L., 1989, pp. 141-165): cfr. </w:t>
      </w:r>
      <w:r w:rsidR="00E60464" w:rsidRPr="00CA4CE7">
        <w:rPr>
          <w:rFonts w:cstheme="minorHAnsi"/>
          <w:i/>
          <w:sz w:val="20"/>
          <w:szCs w:val="20"/>
        </w:rPr>
        <w:t>Archives parlementaires</w:t>
      </w:r>
      <w:r w:rsidR="00E60464" w:rsidRPr="00CA4CE7">
        <w:rPr>
          <w:rFonts w:cstheme="minorHAnsi"/>
          <w:sz w:val="20"/>
          <w:szCs w:val="20"/>
        </w:rPr>
        <w:t>, vol. 63, pp. 591 – 599 (Troisième annexe à la séance de la Convention Nationale du lundi 29 avril 1793): pp. 593, 594, 595.</w:t>
      </w:r>
    </w:p>
    <w:p w14:paraId="7EA505CE" w14:textId="5C9B0775" w:rsidR="005B7D3F" w:rsidRPr="00CA4CE7" w:rsidRDefault="005B7D3F" w:rsidP="005B7D3F">
      <w:pPr>
        <w:pStyle w:val="Testonotaapidipagina"/>
      </w:pPr>
    </w:p>
    <w:p w14:paraId="1BDCA759" w14:textId="77777777" w:rsidR="005B7D3F" w:rsidRPr="00CA4CE7" w:rsidRDefault="005B7D3F">
      <w:pPr>
        <w:pStyle w:val="Testonotaapidipagina"/>
      </w:pPr>
    </w:p>
  </w:footnote>
  <w:footnote w:id="29">
    <w:p w14:paraId="283A0DCD" w14:textId="60A44CB3" w:rsidR="00DE69B4" w:rsidRPr="00AF785C" w:rsidRDefault="005B223B" w:rsidP="00DE69B4">
      <w:pPr>
        <w:jc w:val="both"/>
        <w:rPr>
          <w:sz w:val="20"/>
          <w:szCs w:val="20"/>
        </w:rPr>
      </w:pPr>
      <w:r>
        <w:rPr>
          <w:rStyle w:val="Rimandonotaapidipagina"/>
        </w:rPr>
        <w:footnoteRef/>
      </w:r>
      <w:r w:rsidRPr="005B223B">
        <w:rPr>
          <w:lang w:val="en-US"/>
        </w:rPr>
        <w:t xml:space="preserve"> </w:t>
      </w:r>
      <w:r w:rsidRPr="00881AB0">
        <w:rPr>
          <w:sz w:val="20"/>
          <w:szCs w:val="20"/>
          <w:lang w:val="en-US"/>
        </w:rPr>
        <w:t xml:space="preserve">Per un primo orientamento su Claude Fauchet cfr. D. Sorkin, </w:t>
      </w:r>
      <w:r w:rsidRPr="00881AB0">
        <w:rPr>
          <w:i/>
          <w:sz w:val="20"/>
          <w:szCs w:val="20"/>
          <w:lang w:val="en-US"/>
        </w:rPr>
        <w:t>The Religious Enlightenment</w:t>
      </w:r>
      <w:r w:rsidRPr="00881AB0">
        <w:rPr>
          <w:sz w:val="20"/>
          <w:szCs w:val="20"/>
          <w:lang w:val="en-US"/>
        </w:rPr>
        <w:t xml:space="preserve">, cit., pp. 273 – 274, 283 -284, 302 -303, </w:t>
      </w:r>
      <w:r w:rsidRPr="00881AB0">
        <w:rPr>
          <w:i/>
          <w:sz w:val="20"/>
          <w:szCs w:val="20"/>
          <w:lang w:val="en-US"/>
        </w:rPr>
        <w:t>ad nomen</w:t>
      </w:r>
      <w:r w:rsidRPr="00881AB0">
        <w:rPr>
          <w:sz w:val="20"/>
          <w:szCs w:val="20"/>
          <w:lang w:val="en-US"/>
        </w:rPr>
        <w:t xml:space="preserve">. Cfr. inoltre  J. Israel, </w:t>
      </w:r>
      <w:r w:rsidRPr="00881AB0">
        <w:rPr>
          <w:i/>
          <w:sz w:val="20"/>
          <w:szCs w:val="20"/>
          <w:lang w:val="en-US"/>
        </w:rPr>
        <w:t>Revolutionary Ideas: an Intellectual History of the French Revolution from the Rights of Man to Robespierre</w:t>
      </w:r>
      <w:r w:rsidRPr="00881AB0">
        <w:rPr>
          <w:sz w:val="20"/>
          <w:szCs w:val="20"/>
          <w:lang w:val="en-US"/>
        </w:rPr>
        <w:t xml:space="preserve">, Princeton, NJ, Princeton University Press, 2014, </w:t>
      </w:r>
      <w:r w:rsidRPr="00881AB0">
        <w:rPr>
          <w:i/>
          <w:sz w:val="20"/>
          <w:szCs w:val="20"/>
          <w:lang w:val="en-US"/>
        </w:rPr>
        <w:t>ad nomen</w:t>
      </w:r>
      <w:r w:rsidRPr="00881AB0">
        <w:rPr>
          <w:sz w:val="20"/>
          <w:szCs w:val="20"/>
          <w:lang w:val="en-US"/>
        </w:rPr>
        <w:t>.</w:t>
      </w:r>
      <w:r w:rsidR="002164AC">
        <w:rPr>
          <w:sz w:val="20"/>
          <w:szCs w:val="20"/>
          <w:lang w:val="en-US"/>
        </w:rPr>
        <w:t xml:space="preserve"> </w:t>
      </w:r>
      <w:r w:rsidR="002164AC" w:rsidRPr="00AF785C">
        <w:rPr>
          <w:sz w:val="20"/>
          <w:szCs w:val="20"/>
        </w:rPr>
        <w:t>Come è noto, una delle nozioni chiave del pensiero di Claude Fauchet è</w:t>
      </w:r>
      <w:r w:rsidR="00DE69B4">
        <w:rPr>
          <w:sz w:val="20"/>
          <w:szCs w:val="20"/>
        </w:rPr>
        <w:t xml:space="preserve"> proprio la «fraternité», declinata soprattutto nelle forme della «fraternité universelle» e della «harmonie fraternelle»</w:t>
      </w:r>
    </w:p>
    <w:p w14:paraId="46FA751E" w14:textId="349536D9" w:rsidR="00DE69B4" w:rsidRPr="00AF785C" w:rsidRDefault="00DE69B4" w:rsidP="00DE69B4">
      <w:pPr>
        <w:jc w:val="both"/>
        <w:rPr>
          <w:sz w:val="20"/>
          <w:szCs w:val="20"/>
        </w:rPr>
      </w:pPr>
    </w:p>
    <w:p w14:paraId="718471AF" w14:textId="0D26D773" w:rsidR="00DE69B4" w:rsidRPr="00AF785C" w:rsidRDefault="00DE69B4" w:rsidP="00DE69B4">
      <w:pPr>
        <w:jc w:val="both"/>
        <w:rPr>
          <w:sz w:val="20"/>
          <w:szCs w:val="20"/>
        </w:rPr>
      </w:pPr>
    </w:p>
    <w:p w14:paraId="1A4F0B0A" w14:textId="5D027714" w:rsidR="002164AC" w:rsidRPr="00AF785C" w:rsidRDefault="002164AC" w:rsidP="002164AC">
      <w:pPr>
        <w:jc w:val="both"/>
        <w:rPr>
          <w:sz w:val="20"/>
          <w:szCs w:val="20"/>
        </w:rPr>
      </w:pPr>
    </w:p>
    <w:p w14:paraId="00CEDD26" w14:textId="1167AFC0" w:rsidR="005B223B" w:rsidRPr="002164AC" w:rsidRDefault="005B223B" w:rsidP="005B223B">
      <w:pPr>
        <w:jc w:val="both"/>
        <w:rPr>
          <w:sz w:val="20"/>
          <w:szCs w:val="20"/>
        </w:rPr>
      </w:pPr>
      <w:r w:rsidRPr="002164AC">
        <w:rPr>
          <w:sz w:val="20"/>
          <w:szCs w:val="20"/>
        </w:rPr>
        <w:t xml:space="preserve"> </w:t>
      </w:r>
    </w:p>
    <w:p w14:paraId="59F59378" w14:textId="2700EC15" w:rsidR="005B223B" w:rsidRPr="002164AC" w:rsidRDefault="005B223B">
      <w:pPr>
        <w:pStyle w:val="Testonotaapidipagina"/>
      </w:pPr>
    </w:p>
  </w:footnote>
  <w:footnote w:id="30">
    <w:p w14:paraId="43E20BC5" w14:textId="77777777" w:rsidR="005B223B" w:rsidRPr="00715510" w:rsidRDefault="005B223B" w:rsidP="005B223B">
      <w:pPr>
        <w:jc w:val="both"/>
        <w:rPr>
          <w:sz w:val="20"/>
          <w:szCs w:val="20"/>
          <w:lang w:val="fr-FR"/>
        </w:rPr>
      </w:pPr>
      <w:r>
        <w:rPr>
          <w:rStyle w:val="Rimandonotaapidipagina"/>
        </w:rPr>
        <w:footnoteRef/>
      </w:r>
      <w:r w:rsidRPr="005B223B">
        <w:rPr>
          <w:lang w:val="fr-FR"/>
        </w:rPr>
        <w:t xml:space="preserve"> </w:t>
      </w:r>
      <w:r w:rsidRPr="00715510">
        <w:rPr>
          <w:i/>
          <w:sz w:val="20"/>
          <w:szCs w:val="20"/>
          <w:lang w:val="fr-FR"/>
        </w:rPr>
        <w:t>Réimpression de l'Ancien Moniteur</w:t>
      </w:r>
      <w:r w:rsidRPr="00715510">
        <w:rPr>
          <w:sz w:val="20"/>
          <w:szCs w:val="20"/>
          <w:lang w:val="fr-FR"/>
        </w:rPr>
        <w:t>, tome IX, Paris, Henri Plon, 1862 (23 août 1791). p. 459.</w:t>
      </w:r>
    </w:p>
    <w:p w14:paraId="1FBC752C" w14:textId="2A9DCE5F" w:rsidR="005B223B" w:rsidRPr="005B223B" w:rsidRDefault="005B223B">
      <w:pPr>
        <w:pStyle w:val="Testonotaapidipagina"/>
        <w:rPr>
          <w:lang w:val="fr-FR"/>
        </w:rPr>
      </w:pPr>
    </w:p>
  </w:footnote>
  <w:footnote w:id="31">
    <w:p w14:paraId="7B0CD061" w14:textId="763139B4" w:rsidR="004E7F5A" w:rsidRPr="004E7F5A" w:rsidRDefault="004E7F5A">
      <w:pPr>
        <w:pStyle w:val="Testonotaapidipagina"/>
        <w:rPr>
          <w:lang w:val="fr-FR"/>
        </w:rPr>
      </w:pPr>
      <w:r>
        <w:rPr>
          <w:rStyle w:val="Rimandonotaapidipagina"/>
        </w:rPr>
        <w:footnoteRef/>
      </w:r>
      <w:r w:rsidRPr="004E7F5A">
        <w:rPr>
          <w:lang w:val="fr-FR"/>
        </w:rPr>
        <w:t xml:space="preserve"> </w:t>
      </w:r>
      <w:r w:rsidRPr="004E7F5A">
        <w:rPr>
          <w:i/>
          <w:lang w:val="fr-FR"/>
        </w:rPr>
        <w:t>Archives parlementaires</w:t>
      </w:r>
      <w:r w:rsidR="00A44F46">
        <w:rPr>
          <w:lang w:val="fr-FR"/>
        </w:rPr>
        <w:t>, vol.</w:t>
      </w:r>
      <w:r w:rsidRPr="004E7F5A">
        <w:rPr>
          <w:lang w:val="fr-FR"/>
        </w:rPr>
        <w:t xml:space="preserve"> 46 (Séance du lundi 9 juillet 1792), p. 261.</w:t>
      </w:r>
    </w:p>
  </w:footnote>
  <w:footnote w:id="32">
    <w:p w14:paraId="35A30B48" w14:textId="77777777" w:rsidR="005B7D3F" w:rsidRPr="005B7D3F" w:rsidRDefault="005B7D3F" w:rsidP="002A624F">
      <w:pPr>
        <w:pStyle w:val="Testonotaapidipagina"/>
        <w:jc w:val="both"/>
        <w:rPr>
          <w:lang w:val="fr-FR"/>
        </w:rPr>
      </w:pPr>
      <w:r>
        <w:rPr>
          <w:rStyle w:val="Rimandonotaapidipagina"/>
        </w:rPr>
        <w:footnoteRef/>
      </w:r>
      <w:r w:rsidRPr="005B7D3F">
        <w:rPr>
          <w:lang w:val="fr-FR"/>
        </w:rPr>
        <w:t xml:space="preserve"> M. Robespierre, </w:t>
      </w:r>
      <w:r w:rsidRPr="005B7D3F">
        <w:rPr>
          <w:i/>
          <w:lang w:val="fr-FR"/>
        </w:rPr>
        <w:t>Sur la nouvelle Déclaration des Droits</w:t>
      </w:r>
      <w:r w:rsidRPr="005B7D3F">
        <w:rPr>
          <w:lang w:val="fr-FR"/>
        </w:rPr>
        <w:t xml:space="preserve"> (24 avril 1793), in </w:t>
      </w:r>
      <w:r w:rsidRPr="005B7D3F">
        <w:rPr>
          <w:i/>
          <w:lang w:val="fr-FR"/>
        </w:rPr>
        <w:t>Œuvres de</w:t>
      </w:r>
      <w:r w:rsidRPr="005B7D3F">
        <w:rPr>
          <w:lang w:val="fr-FR"/>
        </w:rPr>
        <w:t xml:space="preserve"> </w:t>
      </w:r>
      <w:r w:rsidRPr="005B7D3F">
        <w:rPr>
          <w:i/>
          <w:lang w:val="fr-FR"/>
        </w:rPr>
        <w:t>Maximilien Robespierre</w:t>
      </w:r>
      <w:r w:rsidRPr="005B7D3F">
        <w:rPr>
          <w:lang w:val="fr-FR"/>
        </w:rPr>
        <w:t>, 11 vol., Paris, SER, 2000-2007, tome IX, pp. 459-471 : p. 463.</w:t>
      </w:r>
    </w:p>
    <w:p w14:paraId="4AF48E51" w14:textId="77777777" w:rsidR="005B7D3F" w:rsidRPr="005B7D3F" w:rsidRDefault="005B7D3F" w:rsidP="002A624F">
      <w:pPr>
        <w:pStyle w:val="Testonotaapidipagina"/>
        <w:jc w:val="both"/>
        <w:rPr>
          <w:lang w:val="fr-FR"/>
        </w:rPr>
      </w:pPr>
    </w:p>
  </w:footnote>
  <w:footnote w:id="33">
    <w:p w14:paraId="42DE2D72" w14:textId="0E8CAFDB" w:rsidR="001B0EEB" w:rsidRPr="007F0668" w:rsidRDefault="001B0EEB" w:rsidP="001B0EEB">
      <w:pPr>
        <w:spacing w:after="0" w:line="240" w:lineRule="auto"/>
        <w:jc w:val="both"/>
        <w:rPr>
          <w:rFonts w:ascii="Calibri" w:eastAsia="Calibri" w:hAnsi="Calibri" w:cs="Calibri"/>
          <w:sz w:val="20"/>
          <w:szCs w:val="20"/>
          <w:lang w:val="fr-FR" w:eastAsia="it-IT"/>
        </w:rPr>
      </w:pPr>
      <w:r>
        <w:rPr>
          <w:rStyle w:val="Rimandonotaapidipagina"/>
        </w:rPr>
        <w:footnoteRef/>
      </w:r>
      <w:r>
        <w:t xml:space="preserve"> </w:t>
      </w:r>
      <w:r w:rsidRPr="001B0EEB">
        <w:rPr>
          <w:rFonts w:ascii="Calibri" w:eastAsia="Calibri" w:hAnsi="Calibri" w:cs="Calibri"/>
          <w:sz w:val="20"/>
          <w:szCs w:val="20"/>
        </w:rPr>
        <w:t>Come è stato sottolineato giustamente da Marisa Linton, le etichette che siamo soliti usare per descrivere le parti in conflitto nel periodo 1789 -1794 sono abbastanza vaghe e imprecise e risentono in larga misura della costruzione memoriale termidoriana</w:t>
      </w:r>
      <w:r w:rsidRPr="001B0EEB">
        <w:rPr>
          <w:rFonts w:ascii="Calibri" w:eastAsia="Calibri" w:hAnsi="Calibri" w:cs="Calibri"/>
          <w:sz w:val="20"/>
          <w:szCs w:val="20"/>
          <w:lang w:eastAsia="it-IT"/>
        </w:rPr>
        <w:t xml:space="preserve">: cfr. </w:t>
      </w:r>
      <w:r w:rsidRPr="007F0668">
        <w:rPr>
          <w:rFonts w:ascii="Calibri" w:eastAsia="Calibri" w:hAnsi="Calibri" w:cs="Calibri"/>
          <w:sz w:val="20"/>
          <w:szCs w:val="20"/>
        </w:rPr>
        <w:t xml:space="preserve">M. Linton, </w:t>
      </w:r>
      <w:r w:rsidRPr="007F0668">
        <w:rPr>
          <w:rFonts w:ascii="Calibri" w:eastAsia="Calibri" w:hAnsi="Calibri" w:cs="Calibri"/>
          <w:i/>
          <w:sz w:val="20"/>
          <w:szCs w:val="20"/>
        </w:rPr>
        <w:t xml:space="preserve">Choosing </w:t>
      </w:r>
      <w:r w:rsidRPr="00AA1F5B">
        <w:rPr>
          <w:rFonts w:ascii="Calibri" w:eastAsia="Calibri" w:hAnsi="Calibri" w:cs="Calibri"/>
          <w:i/>
          <w:iCs/>
          <w:sz w:val="20"/>
          <w:szCs w:val="20"/>
        </w:rPr>
        <w:t>Terror</w:t>
      </w:r>
      <w:r w:rsidRPr="007F0668">
        <w:rPr>
          <w:rFonts w:ascii="Calibri" w:eastAsia="Calibri" w:hAnsi="Calibri" w:cs="Calibri"/>
          <w:iCs/>
          <w:sz w:val="20"/>
          <w:szCs w:val="20"/>
        </w:rPr>
        <w:t>, cit., pp</w:t>
      </w:r>
      <w:r w:rsidRPr="007F0668">
        <w:rPr>
          <w:rFonts w:ascii="Calibri" w:eastAsia="Calibri" w:hAnsi="Calibri" w:cs="Calibri"/>
          <w:sz w:val="20"/>
          <w:szCs w:val="20"/>
        </w:rPr>
        <w:t xml:space="preserve">. 6-8. </w:t>
      </w:r>
      <w:r w:rsidRPr="001B0EEB">
        <w:rPr>
          <w:rFonts w:ascii="Calibri" w:eastAsia="Calibri" w:hAnsi="Calibri" w:cs="Calibri"/>
          <w:sz w:val="20"/>
          <w:szCs w:val="20"/>
        </w:rPr>
        <w:t xml:space="preserve">Per il dibattito sull’uso del termine «jacobin» nel saggio di Marisa Linton cfr. H-France Forum, vol. 9, Issue 4 (Fall 2014). </w:t>
      </w:r>
      <w:r w:rsidRPr="001B0EEB">
        <w:rPr>
          <w:rFonts w:ascii="Calibri" w:eastAsia="Calibri" w:hAnsi="Calibri" w:cs="Calibri"/>
          <w:sz w:val="20"/>
          <w:szCs w:val="20"/>
          <w:lang w:val="fr-FR"/>
        </w:rPr>
        <w:t xml:space="preserve">URL: </w:t>
      </w:r>
      <w:hyperlink r:id="rId8" w:history="1">
        <w:r w:rsidRPr="001B0EEB">
          <w:rPr>
            <w:rFonts w:ascii="Calibri" w:eastAsia="Calibri" w:hAnsi="Calibri" w:cs="Calibri"/>
            <w:color w:val="0563C1"/>
            <w:sz w:val="20"/>
            <w:szCs w:val="20"/>
            <w:u w:val="single"/>
            <w:lang w:val="fr-FR"/>
          </w:rPr>
          <w:t>http://www.h-france.net/forum/h-franceforumvol9.html</w:t>
        </w:r>
      </w:hyperlink>
    </w:p>
    <w:p w14:paraId="76CECC9C" w14:textId="034C9568" w:rsidR="001B0EEB" w:rsidRPr="007F0668" w:rsidRDefault="001B0EEB">
      <w:pPr>
        <w:pStyle w:val="Testonotaapidipagina"/>
        <w:rPr>
          <w:lang w:val="fr-FR"/>
        </w:rPr>
      </w:pPr>
    </w:p>
  </w:footnote>
  <w:footnote w:id="34">
    <w:p w14:paraId="23048601" w14:textId="77777777" w:rsidR="005B7D3F" w:rsidRPr="005B7D3F" w:rsidRDefault="005B7D3F" w:rsidP="002A624F">
      <w:pPr>
        <w:pStyle w:val="Testonotaapidipagina"/>
        <w:jc w:val="both"/>
        <w:rPr>
          <w:lang w:val="fr-FR"/>
        </w:rPr>
      </w:pPr>
      <w:r>
        <w:rPr>
          <w:rStyle w:val="Rimandonotaapidipagina"/>
        </w:rPr>
        <w:footnoteRef/>
      </w:r>
      <w:r w:rsidRPr="005B7D3F">
        <w:rPr>
          <w:lang w:val="fr-FR"/>
        </w:rPr>
        <w:t xml:space="preserve"> M. Robespierre, </w:t>
      </w:r>
      <w:r w:rsidRPr="005B7D3F">
        <w:rPr>
          <w:i/>
          <w:lang w:val="fr-FR"/>
        </w:rPr>
        <w:t>Contre les banquets patriotiques</w:t>
      </w:r>
      <w:r w:rsidRPr="005B7D3F">
        <w:rPr>
          <w:lang w:val="fr-FR"/>
        </w:rPr>
        <w:t xml:space="preserve"> (28 messidor an II : 16 luglio 1794), in </w:t>
      </w:r>
      <w:r w:rsidRPr="005B7D3F">
        <w:rPr>
          <w:i/>
          <w:lang w:val="fr-FR"/>
        </w:rPr>
        <w:t>Œuvres</w:t>
      </w:r>
      <w:r w:rsidRPr="005B7D3F">
        <w:rPr>
          <w:lang w:val="fr-FR"/>
        </w:rPr>
        <w:t>, cit., tome X, pp. 533-535 : p. 534.</w:t>
      </w:r>
    </w:p>
    <w:p w14:paraId="7F95A043" w14:textId="77777777" w:rsidR="005B7D3F" w:rsidRPr="005B7D3F" w:rsidRDefault="005B7D3F" w:rsidP="002A624F">
      <w:pPr>
        <w:pStyle w:val="Testonotaapidipagina"/>
        <w:jc w:val="both"/>
        <w:rPr>
          <w:lang w:val="fr-FR"/>
        </w:rPr>
      </w:pPr>
    </w:p>
  </w:footnote>
  <w:footnote w:id="35">
    <w:p w14:paraId="2D80005F" w14:textId="6E0DAFB8" w:rsidR="004F6F23" w:rsidRDefault="004F6F23">
      <w:pPr>
        <w:pStyle w:val="Testonotaapidipagina"/>
      </w:pPr>
      <w:r>
        <w:rPr>
          <w:rStyle w:val="Rimandonotaapidipagina"/>
        </w:rPr>
        <w:footnoteRef/>
      </w:r>
      <w:r w:rsidR="00B83059">
        <w:t xml:space="preserve"> </w:t>
      </w:r>
      <w:r>
        <w:t xml:space="preserve">Cfr. </w:t>
      </w:r>
      <w:r w:rsidRPr="00B87111">
        <w:rPr>
          <w:rFonts w:eastAsia="Calibri" w:cstheme="minorHAnsi"/>
        </w:rPr>
        <w:t xml:space="preserve">C. Vetter, </w:t>
      </w:r>
      <w:r w:rsidRPr="00B87111">
        <w:t>«“Fraternité” nel lessico della Rivoluzione francese»</w:t>
      </w:r>
      <w:r>
        <w:t>, cit.</w:t>
      </w:r>
    </w:p>
  </w:footnote>
  <w:footnote w:id="36">
    <w:p w14:paraId="60F2D470" w14:textId="77777777" w:rsidR="00D35257" w:rsidRPr="000401A9" w:rsidRDefault="00D35257" w:rsidP="00D35257">
      <w:pPr>
        <w:jc w:val="both"/>
        <w:rPr>
          <w:sz w:val="20"/>
          <w:szCs w:val="20"/>
          <w:lang w:val="fr-FR"/>
        </w:rPr>
      </w:pPr>
      <w:r>
        <w:rPr>
          <w:rStyle w:val="Rimandonotaapidipagina"/>
        </w:rPr>
        <w:footnoteRef/>
      </w:r>
      <w:r w:rsidRPr="00D35257">
        <w:rPr>
          <w:lang w:val="fr-FR"/>
        </w:rPr>
        <w:t xml:space="preserve"> </w:t>
      </w:r>
      <w:r w:rsidRPr="000401A9">
        <w:rPr>
          <w:sz w:val="20"/>
          <w:szCs w:val="20"/>
          <w:lang w:val="fr-FR"/>
        </w:rPr>
        <w:t xml:space="preserve">Cfr. </w:t>
      </w:r>
      <w:r w:rsidRPr="000401A9">
        <w:rPr>
          <w:i/>
          <w:sz w:val="20"/>
          <w:szCs w:val="20"/>
          <w:lang w:val="fr-FR"/>
        </w:rPr>
        <w:t>Décrets et Lois 1789 -1795 : Collection Baudouin</w:t>
      </w:r>
      <w:r w:rsidRPr="000401A9">
        <w:rPr>
          <w:sz w:val="20"/>
          <w:szCs w:val="20"/>
          <w:lang w:val="fr-FR"/>
        </w:rPr>
        <w:t xml:space="preserve">, vol. 31, p. 441 : </w:t>
      </w:r>
      <w:r w:rsidRPr="000401A9">
        <w:rPr>
          <w:i/>
          <w:sz w:val="20"/>
          <w:szCs w:val="20"/>
          <w:lang w:val="fr-FR"/>
        </w:rPr>
        <w:t>Décret qui défère à des Citoyens étrangers, le titre de Citoyens français</w:t>
      </w:r>
      <w:r w:rsidRPr="000401A9">
        <w:rPr>
          <w:sz w:val="20"/>
          <w:szCs w:val="20"/>
          <w:lang w:val="fr-FR"/>
        </w:rPr>
        <w:t xml:space="preserve"> (26-8-1792) : « […]  Considérant que s'il n'est pas permis d'espérer que les hommes ne forment, un jour, devant la loi, comme devant la nature, qu'une seule famille, une seule association, les amis de la liberté, de la fraternité universelle n'en doivent pas être moins chers à une Nation qui a proclamé sa renonciation à toute conquête &amp; son désir de fraterniser avec tous les peuples […] » : </w:t>
      </w:r>
      <w:hyperlink r:id="rId9" w:history="1">
        <w:r w:rsidRPr="000401A9">
          <w:rPr>
            <w:rStyle w:val="Collegamentoipertestuale"/>
            <w:sz w:val="20"/>
            <w:szCs w:val="20"/>
            <w:lang w:val="fr-FR"/>
          </w:rPr>
          <w:t>http://artflsrv02.uchicago.edu/cgi-bin/philologic/getobject.pl?c.29:310.baudouin0314.731330.731342</w:t>
        </w:r>
      </w:hyperlink>
    </w:p>
    <w:p w14:paraId="76016578" w14:textId="143BCF31" w:rsidR="00D35257" w:rsidRPr="00D35257" w:rsidRDefault="00D35257">
      <w:pPr>
        <w:pStyle w:val="Testonotaapidipagina"/>
        <w:rPr>
          <w:lang w:val="fr-FR"/>
        </w:rPr>
      </w:pPr>
    </w:p>
  </w:footnote>
  <w:footnote w:id="37">
    <w:p w14:paraId="0D29CFB7" w14:textId="0A7EB4A4" w:rsidR="009249D9" w:rsidRPr="00A5569A" w:rsidRDefault="009249D9">
      <w:pPr>
        <w:pStyle w:val="Testonotaapidipagina"/>
        <w:rPr>
          <w:rFonts w:cstheme="minorHAnsi"/>
          <w:lang w:val="fr-FR"/>
        </w:rPr>
      </w:pPr>
      <w:r>
        <w:rPr>
          <w:rStyle w:val="Rimandonotaapidipagina"/>
        </w:rPr>
        <w:footnoteRef/>
      </w:r>
      <w:r w:rsidRPr="009249D9">
        <w:rPr>
          <w:lang w:val="fr-FR"/>
        </w:rPr>
        <w:t xml:space="preserve"> </w:t>
      </w:r>
      <w:r w:rsidRPr="00A5569A">
        <w:rPr>
          <w:rFonts w:cstheme="minorHAnsi"/>
          <w:lang w:val="fr-FR"/>
        </w:rPr>
        <w:t xml:space="preserve">Cfr. </w:t>
      </w:r>
      <w:r w:rsidRPr="00A5569A">
        <w:rPr>
          <w:rFonts w:cstheme="minorHAnsi"/>
          <w:i/>
          <w:lang w:val="fr-FR"/>
        </w:rPr>
        <w:t>Archives parlementaires</w:t>
      </w:r>
      <w:r w:rsidRPr="00A5569A">
        <w:rPr>
          <w:rFonts w:cstheme="minorHAnsi"/>
          <w:lang w:val="fr-FR"/>
        </w:rPr>
        <w:t>, vol. 78, p. 417 (15 brumaire an II : 5 novembre 1793).</w:t>
      </w:r>
    </w:p>
  </w:footnote>
  <w:footnote w:id="38">
    <w:p w14:paraId="3B7B1BEC" w14:textId="190ED437" w:rsidR="00524487" w:rsidRPr="00524487" w:rsidRDefault="00524487">
      <w:pPr>
        <w:pStyle w:val="Testonotaapidipagina"/>
        <w:rPr>
          <w:lang w:val="fr-FR"/>
        </w:rPr>
      </w:pPr>
      <w:r>
        <w:rPr>
          <w:rStyle w:val="Rimandonotaapidipagina"/>
        </w:rPr>
        <w:footnoteRef/>
      </w:r>
      <w:r w:rsidRPr="00524487">
        <w:rPr>
          <w:lang w:val="fr-FR"/>
        </w:rPr>
        <w:t xml:space="preserve"> </w:t>
      </w:r>
      <w:r w:rsidRPr="008C0456">
        <w:rPr>
          <w:lang w:val="fr-FR"/>
        </w:rPr>
        <w:t xml:space="preserve">Cfr. </w:t>
      </w:r>
      <w:r w:rsidRPr="008C0456">
        <w:rPr>
          <w:i/>
          <w:lang w:val="fr-FR"/>
        </w:rPr>
        <w:t>Décrets et Lois 1789 -1795 : Collection Baudouin</w:t>
      </w:r>
      <w:r w:rsidRPr="008C0456">
        <w:rPr>
          <w:lang w:val="fr-FR"/>
        </w:rPr>
        <w:t xml:space="preserve">, vol. 5, p. 33 : </w:t>
      </w:r>
      <w:r w:rsidRPr="008C0456">
        <w:rPr>
          <w:i/>
          <w:lang w:val="fr-FR"/>
        </w:rPr>
        <w:t>Décret pour la suppression du droit d’Aubaine &amp; de Détraction </w:t>
      </w:r>
      <w:r w:rsidRPr="008C0456">
        <w:rPr>
          <w:lang w:val="fr-FR"/>
        </w:rPr>
        <w:t xml:space="preserve">: </w:t>
      </w:r>
      <w:hyperlink r:id="rId10" w:history="1">
        <w:r w:rsidRPr="008C0456">
          <w:rPr>
            <w:rStyle w:val="Collegamentoipertestuale"/>
            <w:lang w:val="fr-FR"/>
          </w:rPr>
          <w:t>http://artflsrv02.uchicago.edu/cgi-bin/philologic/contextualize.pl?p.4.baudouin0314.56419</w:t>
        </w:r>
      </w:hyperlink>
    </w:p>
  </w:footnote>
  <w:footnote w:id="39">
    <w:p w14:paraId="5F4BBE57" w14:textId="10DE600A" w:rsidR="00673A9D" w:rsidRPr="00673A9D" w:rsidRDefault="00673A9D" w:rsidP="006939E9">
      <w:pPr>
        <w:pStyle w:val="Testonotaapidipagina"/>
        <w:jc w:val="both"/>
        <w:rPr>
          <w:lang w:val="fr-FR"/>
        </w:rPr>
      </w:pPr>
      <w:r>
        <w:rPr>
          <w:rStyle w:val="Rimandonotaapidipagina"/>
        </w:rPr>
        <w:footnoteRef/>
      </w:r>
      <w:r w:rsidRPr="00673A9D">
        <w:rPr>
          <w:lang w:val="fr-FR"/>
        </w:rPr>
        <w:t xml:space="preserve"> Nelle </w:t>
      </w:r>
      <w:r w:rsidRPr="00673A9D">
        <w:rPr>
          <w:i/>
          <w:lang w:val="fr-FR"/>
        </w:rPr>
        <w:t>Archives Parlementaires</w:t>
      </w:r>
      <w:r w:rsidRPr="00673A9D">
        <w:rPr>
          <w:lang w:val="fr-FR"/>
        </w:rPr>
        <w:t xml:space="preserve"> la «fraternité nationale» è evocata per la prima volta in un </w:t>
      </w:r>
      <w:r w:rsidRPr="00673A9D">
        <w:rPr>
          <w:i/>
          <w:lang w:val="fr-FR"/>
        </w:rPr>
        <w:t xml:space="preserve">cahier de doléances </w:t>
      </w:r>
      <w:r w:rsidRPr="00673A9D">
        <w:rPr>
          <w:lang w:val="fr-FR"/>
        </w:rPr>
        <w:t>del Baill</w:t>
      </w:r>
      <w:r w:rsidR="00A44F46">
        <w:rPr>
          <w:lang w:val="fr-FR"/>
        </w:rPr>
        <w:t>iage de Montreuil-sur-Mer : vol.</w:t>
      </w:r>
      <w:r w:rsidRPr="00673A9D">
        <w:rPr>
          <w:lang w:val="fr-FR"/>
        </w:rPr>
        <w:t xml:space="preserve"> 4, p. 66.</w:t>
      </w:r>
    </w:p>
    <w:p w14:paraId="57820CD7" w14:textId="5A7D4703" w:rsidR="00673A9D" w:rsidRPr="00673A9D" w:rsidRDefault="00673A9D">
      <w:pPr>
        <w:pStyle w:val="Testonotaapidipagina"/>
        <w:rPr>
          <w:lang w:val="fr-FR"/>
        </w:rPr>
      </w:pPr>
    </w:p>
  </w:footnote>
  <w:footnote w:id="40">
    <w:p w14:paraId="17081357" w14:textId="15FFE032" w:rsidR="00A44F46" w:rsidRPr="00A44F46" w:rsidRDefault="009249D9" w:rsidP="00A44F46">
      <w:pPr>
        <w:jc w:val="both"/>
        <w:rPr>
          <w:rFonts w:cstheme="minorHAnsi"/>
          <w:sz w:val="20"/>
          <w:szCs w:val="20"/>
        </w:rPr>
      </w:pPr>
      <w:r>
        <w:rPr>
          <w:rStyle w:val="Rimandonotaapidipagina"/>
        </w:rPr>
        <w:footnoteRef/>
      </w:r>
      <w:r w:rsidRPr="009249D9">
        <w:rPr>
          <w:lang w:val="fr-FR"/>
        </w:rPr>
        <w:t xml:space="preserve"> </w:t>
      </w:r>
      <w:r w:rsidRPr="00A5569A">
        <w:rPr>
          <w:rFonts w:cstheme="minorHAnsi"/>
          <w:sz w:val="20"/>
          <w:szCs w:val="20"/>
          <w:lang w:val="fr-FR"/>
        </w:rPr>
        <w:t xml:space="preserve">Cfr. </w:t>
      </w:r>
      <w:r w:rsidRPr="00A5569A">
        <w:rPr>
          <w:rFonts w:cstheme="minorHAnsi"/>
          <w:i/>
          <w:sz w:val="20"/>
          <w:szCs w:val="20"/>
          <w:lang w:val="fr-FR"/>
        </w:rPr>
        <w:t>Archives parlementaires</w:t>
      </w:r>
      <w:r w:rsidRPr="00A5569A">
        <w:rPr>
          <w:rFonts w:cstheme="minorHAnsi"/>
          <w:sz w:val="20"/>
          <w:szCs w:val="20"/>
          <w:lang w:val="fr-FR"/>
        </w:rPr>
        <w:t>, vol. 69, p. 118 (18 juillet 1793).</w:t>
      </w:r>
      <w:r w:rsidR="00A44F46">
        <w:rPr>
          <w:rFonts w:cstheme="minorHAnsi"/>
          <w:sz w:val="20"/>
          <w:szCs w:val="20"/>
          <w:lang w:val="fr-FR"/>
        </w:rPr>
        <w:t xml:space="preserve"> </w:t>
      </w:r>
      <w:r w:rsidR="00A44F46" w:rsidRPr="00A44F46">
        <w:rPr>
          <w:rFonts w:cstheme="minorHAnsi"/>
          <w:sz w:val="20"/>
          <w:szCs w:val="20"/>
        </w:rPr>
        <w:t xml:space="preserve">Nelle </w:t>
      </w:r>
      <w:r w:rsidR="00A44F46" w:rsidRPr="00A44F46">
        <w:rPr>
          <w:rFonts w:cstheme="minorHAnsi"/>
          <w:i/>
          <w:sz w:val="20"/>
          <w:szCs w:val="20"/>
        </w:rPr>
        <w:t>Archives parlementaires</w:t>
      </w:r>
      <w:r w:rsidR="00D5106C">
        <w:rPr>
          <w:rFonts w:cstheme="minorHAnsi"/>
          <w:sz w:val="20"/>
          <w:szCs w:val="20"/>
        </w:rPr>
        <w:t xml:space="preserve"> la «fraternité républicaine</w:t>
      </w:r>
      <w:r w:rsidR="00A44F46" w:rsidRPr="00A44F46">
        <w:rPr>
          <w:rFonts w:cstheme="minorHAnsi"/>
          <w:sz w:val="20"/>
          <w:szCs w:val="20"/>
        </w:rPr>
        <w:t xml:space="preserve">» è evocata per la prima volta il 6 novembre </w:t>
      </w:r>
      <w:r w:rsidR="00A44F46">
        <w:rPr>
          <w:rFonts w:cstheme="minorHAnsi"/>
          <w:sz w:val="20"/>
          <w:szCs w:val="20"/>
        </w:rPr>
        <w:t>1792: vol.</w:t>
      </w:r>
      <w:r w:rsidR="00A44F46" w:rsidRPr="00A44F46">
        <w:rPr>
          <w:rFonts w:cstheme="minorHAnsi"/>
          <w:sz w:val="20"/>
          <w:szCs w:val="20"/>
        </w:rPr>
        <w:t xml:space="preserve"> 53, p. 207.</w:t>
      </w:r>
    </w:p>
    <w:p w14:paraId="3D5096DE" w14:textId="67C8953B" w:rsidR="009249D9" w:rsidRPr="00A44F46" w:rsidRDefault="009249D9" w:rsidP="009249D9">
      <w:pPr>
        <w:jc w:val="both"/>
        <w:rPr>
          <w:rFonts w:cstheme="minorHAnsi"/>
          <w:sz w:val="20"/>
          <w:szCs w:val="20"/>
        </w:rPr>
      </w:pPr>
    </w:p>
    <w:p w14:paraId="2BD0889C" w14:textId="270BDB2D" w:rsidR="009249D9" w:rsidRPr="00A44F46" w:rsidRDefault="009249D9">
      <w:pPr>
        <w:pStyle w:val="Testonotaapidipagina"/>
      </w:pPr>
    </w:p>
  </w:footnote>
  <w:footnote w:id="41">
    <w:p w14:paraId="650ECFE4" w14:textId="5A1660A4" w:rsidR="009249D9" w:rsidRPr="005B223B" w:rsidRDefault="009249D9" w:rsidP="008813BE">
      <w:pPr>
        <w:jc w:val="both"/>
        <w:rPr>
          <w:sz w:val="20"/>
          <w:szCs w:val="20"/>
        </w:rPr>
      </w:pPr>
      <w:r>
        <w:rPr>
          <w:rStyle w:val="Rimandonotaapidipagina"/>
        </w:rPr>
        <w:footnoteRef/>
      </w:r>
      <w:r w:rsidRPr="008A1582">
        <w:t xml:space="preserve"> </w:t>
      </w:r>
      <w:r w:rsidR="008A1582" w:rsidRPr="008A1582">
        <w:rPr>
          <w:rFonts w:cstheme="minorHAnsi"/>
          <w:sz w:val="20"/>
          <w:szCs w:val="20"/>
        </w:rPr>
        <w:t>Per una verifica delle occorrenze e delle cooccorrenze cfr. il</w:t>
      </w:r>
      <w:r w:rsidR="006F3778">
        <w:rPr>
          <w:rFonts w:cstheme="minorHAnsi"/>
          <w:sz w:val="20"/>
          <w:szCs w:val="20"/>
        </w:rPr>
        <w:t xml:space="preserve"> già citato</w:t>
      </w:r>
      <w:r w:rsidR="008A1582" w:rsidRPr="008A1582">
        <w:rPr>
          <w:rFonts w:cstheme="minorHAnsi"/>
          <w:sz w:val="20"/>
          <w:szCs w:val="20"/>
        </w:rPr>
        <w:t xml:space="preserve"> corpus digitalizzato dei primi 82 volumi delle </w:t>
      </w:r>
      <w:r w:rsidR="008A1582" w:rsidRPr="008A1582">
        <w:rPr>
          <w:rFonts w:cstheme="minorHAnsi"/>
          <w:i/>
          <w:sz w:val="20"/>
          <w:szCs w:val="20"/>
        </w:rPr>
        <w:t>Archives parlementaires</w:t>
      </w:r>
      <w:r w:rsidR="008A1582" w:rsidRPr="008A1582">
        <w:rPr>
          <w:rFonts w:cstheme="minorHAnsi"/>
          <w:sz w:val="20"/>
          <w:szCs w:val="20"/>
        </w:rPr>
        <w:t>, messo in rete da Chica</w:t>
      </w:r>
      <w:r w:rsidR="003723E4">
        <w:rPr>
          <w:rFonts w:cstheme="minorHAnsi"/>
          <w:sz w:val="20"/>
          <w:szCs w:val="20"/>
        </w:rPr>
        <w:t xml:space="preserve">go-ARTFL CNRS: </w:t>
      </w:r>
      <w:hyperlink r:id="rId11" w:history="1">
        <w:r w:rsidR="003723E4" w:rsidRPr="00C12169">
          <w:rPr>
            <w:rStyle w:val="Collegamentoipertestuale"/>
            <w:rFonts w:cstheme="minorHAnsi"/>
            <w:sz w:val="20"/>
            <w:szCs w:val="20"/>
          </w:rPr>
          <w:t>http://artfl-project.uchicago.edu/node/144</w:t>
        </w:r>
      </w:hyperlink>
      <w:r w:rsidR="003723E4">
        <w:rPr>
          <w:rFonts w:cstheme="minorHAnsi"/>
          <w:sz w:val="20"/>
          <w:szCs w:val="20"/>
        </w:rPr>
        <w:t xml:space="preserve">. </w:t>
      </w:r>
      <w:r w:rsidR="008A1582" w:rsidRPr="003723E4">
        <w:rPr>
          <w:rFonts w:cstheme="minorHAnsi"/>
          <w:sz w:val="20"/>
          <w:szCs w:val="20"/>
        </w:rPr>
        <w:t xml:space="preserve">L’interrogazione delle </w:t>
      </w:r>
      <w:r w:rsidR="008A1582" w:rsidRPr="003723E4">
        <w:rPr>
          <w:rFonts w:cstheme="minorHAnsi"/>
          <w:i/>
          <w:sz w:val="20"/>
          <w:szCs w:val="20"/>
        </w:rPr>
        <w:t>Archives parlementaires</w:t>
      </w:r>
      <w:r w:rsidR="008A1582" w:rsidRPr="003723E4">
        <w:rPr>
          <w:rFonts w:cstheme="minorHAnsi"/>
          <w:sz w:val="20"/>
          <w:szCs w:val="20"/>
        </w:rPr>
        <w:t xml:space="preserve"> con </w:t>
      </w:r>
      <w:r w:rsidR="008A1582" w:rsidRPr="003723E4">
        <w:rPr>
          <w:rFonts w:cstheme="minorHAnsi"/>
          <w:i/>
          <w:sz w:val="20"/>
          <w:szCs w:val="20"/>
        </w:rPr>
        <w:t>PhiloLogic4</w:t>
      </w:r>
      <w:r w:rsidR="008A1582" w:rsidRPr="003723E4">
        <w:rPr>
          <w:rFonts w:cstheme="minorHAnsi"/>
          <w:sz w:val="20"/>
          <w:szCs w:val="20"/>
        </w:rPr>
        <w:t xml:space="preserve"> (</w:t>
      </w:r>
      <w:r w:rsidR="008A1582" w:rsidRPr="003723E4">
        <w:rPr>
          <w:rFonts w:cstheme="minorHAnsi"/>
          <w:i/>
          <w:sz w:val="20"/>
          <w:szCs w:val="20"/>
        </w:rPr>
        <w:t>PhiloLogic4 Databases</w:t>
      </w:r>
      <w:r w:rsidR="003723E4" w:rsidRPr="003723E4">
        <w:rPr>
          <w:rFonts w:cstheme="minorHAnsi"/>
          <w:sz w:val="20"/>
          <w:szCs w:val="20"/>
        </w:rPr>
        <w:t>:</w:t>
      </w:r>
      <w:r w:rsidR="003723E4" w:rsidRPr="003723E4">
        <w:t xml:space="preserve"> </w:t>
      </w:r>
      <w:hyperlink r:id="rId12" w:history="1">
        <w:r w:rsidR="003723E4" w:rsidRPr="003723E4">
          <w:rPr>
            <w:rStyle w:val="Collegamentoipertestuale"/>
            <w:rFonts w:cstheme="minorHAnsi"/>
            <w:sz w:val="20"/>
            <w:szCs w:val="20"/>
          </w:rPr>
          <w:t>https://artfl-project.uchicago.edu/content/philologic4-databases</w:t>
        </w:r>
      </w:hyperlink>
      <w:r w:rsidR="003723E4" w:rsidRPr="003723E4">
        <w:rPr>
          <w:rFonts w:cstheme="minorHAnsi"/>
          <w:sz w:val="20"/>
          <w:szCs w:val="20"/>
        </w:rPr>
        <w:t xml:space="preserve">) </w:t>
      </w:r>
      <w:r w:rsidR="008A1582" w:rsidRPr="008A1582">
        <w:rPr>
          <w:rFonts w:cstheme="minorHAnsi"/>
          <w:sz w:val="20"/>
          <w:szCs w:val="20"/>
        </w:rPr>
        <w:t>evidenzia 3243 occorrenze di «fraternité».</w:t>
      </w:r>
      <w:r w:rsidR="008A1582">
        <w:rPr>
          <w:rFonts w:cstheme="minorHAnsi"/>
          <w:sz w:val="20"/>
          <w:szCs w:val="20"/>
        </w:rPr>
        <w:t xml:space="preserve"> </w:t>
      </w:r>
      <w:r w:rsidR="00B4249F" w:rsidRPr="00505F8A">
        <w:rPr>
          <w:sz w:val="20"/>
          <w:szCs w:val="20"/>
        </w:rPr>
        <w:t xml:space="preserve">Nella nuova edizione elettronica delle </w:t>
      </w:r>
      <w:r w:rsidR="00B4249F" w:rsidRPr="00505F8A">
        <w:rPr>
          <w:i/>
          <w:sz w:val="20"/>
          <w:szCs w:val="20"/>
        </w:rPr>
        <w:t>Archives parlementaires</w:t>
      </w:r>
      <w:r w:rsidR="00B4249F" w:rsidRPr="00505F8A">
        <w:rPr>
          <w:sz w:val="20"/>
          <w:szCs w:val="20"/>
        </w:rPr>
        <w:t>, in corso d’opera (</w:t>
      </w:r>
      <w:hyperlink r:id="rId13" w:history="1">
        <w:r w:rsidR="00B4249F" w:rsidRPr="00505F8A">
          <w:rPr>
            <w:rStyle w:val="Collegamentoipertestuale"/>
            <w:sz w:val="20"/>
            <w:szCs w:val="20"/>
          </w:rPr>
          <w:t>https://www.persee.fr/collection/arcpa</w:t>
        </w:r>
      </w:hyperlink>
      <w:r w:rsidR="00B4249F">
        <w:rPr>
          <w:sz w:val="20"/>
          <w:szCs w:val="20"/>
        </w:rPr>
        <w:t>) risultano finora 2495</w:t>
      </w:r>
      <w:r w:rsidR="00B4249F" w:rsidRPr="00505F8A">
        <w:rPr>
          <w:sz w:val="20"/>
          <w:szCs w:val="20"/>
        </w:rPr>
        <w:t xml:space="preserve"> occorrenze.</w:t>
      </w:r>
      <w:r w:rsidR="00B4249F">
        <w:rPr>
          <w:sz w:val="20"/>
          <w:szCs w:val="20"/>
        </w:rPr>
        <w:t xml:space="preserve"> </w:t>
      </w:r>
      <w:r w:rsidR="000F1467" w:rsidRPr="005B223B">
        <w:rPr>
          <w:sz w:val="20"/>
          <w:szCs w:val="20"/>
        </w:rPr>
        <w:t xml:space="preserve">Nella </w:t>
      </w:r>
      <w:r w:rsidR="000F1467" w:rsidRPr="005B223B">
        <w:rPr>
          <w:i/>
          <w:sz w:val="20"/>
          <w:szCs w:val="20"/>
        </w:rPr>
        <w:t>Collection Baudouin</w:t>
      </w:r>
      <w:r w:rsidR="000F1467" w:rsidRPr="005B223B">
        <w:rPr>
          <w:sz w:val="20"/>
          <w:szCs w:val="20"/>
        </w:rPr>
        <w:t xml:space="preserve"> risultano 90 occorrenze di «fraternité»: </w:t>
      </w:r>
      <w:hyperlink r:id="rId14" w:history="1">
        <w:r w:rsidR="000F1467" w:rsidRPr="005B223B">
          <w:rPr>
            <w:rStyle w:val="Collegamentoipertestuale"/>
            <w:sz w:val="20"/>
            <w:szCs w:val="20"/>
          </w:rPr>
          <w:t>https://collection-baudouin.univ-paris1.fr/decrets-lois/recherche-dans-le-texte/</w:t>
        </w:r>
      </w:hyperlink>
      <w:r w:rsidR="000F1467" w:rsidRPr="005B223B">
        <w:rPr>
          <w:sz w:val="20"/>
          <w:szCs w:val="20"/>
        </w:rPr>
        <w:t xml:space="preserve"> </w:t>
      </w:r>
    </w:p>
    <w:p w14:paraId="355A7AFA" w14:textId="28975405" w:rsidR="009249D9" w:rsidRPr="005B223B" w:rsidRDefault="009249D9">
      <w:pPr>
        <w:pStyle w:val="Testonotaapidipagina"/>
      </w:pPr>
    </w:p>
  </w:footnote>
  <w:footnote w:id="42">
    <w:p w14:paraId="0CC8EAFF" w14:textId="77777777" w:rsidR="000F7F32" w:rsidRPr="00CA48D2" w:rsidRDefault="000F7F32" w:rsidP="000F7F32">
      <w:pPr>
        <w:rPr>
          <w:sz w:val="20"/>
          <w:szCs w:val="20"/>
          <w:lang w:val="fr-FR"/>
        </w:rPr>
      </w:pPr>
      <w:r>
        <w:rPr>
          <w:rStyle w:val="Rimandonotaapidipagina"/>
        </w:rPr>
        <w:footnoteRef/>
      </w:r>
      <w:r w:rsidRPr="000F7F32">
        <w:rPr>
          <w:lang w:val="fr-FR"/>
        </w:rPr>
        <w:t xml:space="preserve"> </w:t>
      </w:r>
      <w:r w:rsidRPr="00CA48D2">
        <w:rPr>
          <w:i/>
          <w:sz w:val="20"/>
          <w:szCs w:val="20"/>
          <w:lang w:val="fr-FR"/>
        </w:rPr>
        <w:t>Archives parlementaires</w:t>
      </w:r>
      <w:r w:rsidRPr="00CA48D2">
        <w:rPr>
          <w:sz w:val="20"/>
          <w:szCs w:val="20"/>
          <w:lang w:val="fr-FR"/>
        </w:rPr>
        <w:t xml:space="preserve">, vol. 69, p. 289 : </w:t>
      </w:r>
      <w:r w:rsidRPr="00CA48D2">
        <w:rPr>
          <w:i/>
          <w:sz w:val="20"/>
          <w:szCs w:val="20"/>
          <w:lang w:val="fr-FR"/>
        </w:rPr>
        <w:t>Rétractation des citoyens Josse, Oudart et Beaucourt</w:t>
      </w:r>
      <w:r w:rsidRPr="00CA48D2">
        <w:rPr>
          <w:sz w:val="20"/>
          <w:szCs w:val="20"/>
          <w:lang w:val="fr-FR"/>
        </w:rPr>
        <w:t xml:space="preserve"> (21 juillet 1793)</w:t>
      </w:r>
      <w:r>
        <w:rPr>
          <w:sz w:val="20"/>
          <w:szCs w:val="20"/>
          <w:lang w:val="fr-FR"/>
        </w:rPr>
        <w:t>.</w:t>
      </w:r>
    </w:p>
    <w:p w14:paraId="03C8FE81" w14:textId="144AFC67" w:rsidR="000F7F32" w:rsidRPr="000F7F32" w:rsidRDefault="000F7F32">
      <w:pPr>
        <w:pStyle w:val="Testonotaapidipagina"/>
        <w:rPr>
          <w:lang w:val="fr-FR"/>
        </w:rPr>
      </w:pPr>
    </w:p>
  </w:footnote>
  <w:footnote w:id="43">
    <w:p w14:paraId="24467C3C" w14:textId="77777777" w:rsidR="009F3FE3" w:rsidRPr="00965E27" w:rsidRDefault="009F3FE3" w:rsidP="009F3FE3">
      <w:pPr>
        <w:jc w:val="both"/>
        <w:rPr>
          <w:sz w:val="20"/>
          <w:szCs w:val="20"/>
          <w:lang w:val="fr-FR"/>
        </w:rPr>
      </w:pPr>
      <w:r>
        <w:rPr>
          <w:rStyle w:val="Rimandonotaapidipagina"/>
        </w:rPr>
        <w:footnoteRef/>
      </w:r>
      <w:r w:rsidRPr="009F3FE3">
        <w:rPr>
          <w:lang w:val="fr-FR"/>
        </w:rPr>
        <w:t xml:space="preserve"> </w:t>
      </w:r>
      <w:r w:rsidRPr="00965E27">
        <w:rPr>
          <w:i/>
          <w:sz w:val="20"/>
          <w:szCs w:val="20"/>
          <w:lang w:val="fr-FR"/>
        </w:rPr>
        <w:t>Révolutions de Paris, dédiées à la Nation</w:t>
      </w:r>
      <w:r w:rsidRPr="00965E27">
        <w:rPr>
          <w:sz w:val="20"/>
          <w:szCs w:val="20"/>
          <w:lang w:val="fr-FR"/>
        </w:rPr>
        <w:t>, Éditeur : Prudhomme, Paris, n. 172 (20 – 27 octobre 1792), p. 207.</w:t>
      </w:r>
    </w:p>
    <w:p w14:paraId="1921C180" w14:textId="565B97CD" w:rsidR="009F3FE3" w:rsidRPr="009F3FE3" w:rsidRDefault="009F3FE3">
      <w:pPr>
        <w:pStyle w:val="Testonotaapidipagina"/>
        <w:rPr>
          <w:lang w:val="fr-FR"/>
        </w:rPr>
      </w:pPr>
    </w:p>
  </w:footnote>
  <w:footnote w:id="44">
    <w:p w14:paraId="1A2EF1F0" w14:textId="77777777" w:rsidR="009F3FE3" w:rsidRPr="00965E27" w:rsidRDefault="009F3FE3" w:rsidP="009F3FE3">
      <w:pPr>
        <w:jc w:val="both"/>
        <w:rPr>
          <w:sz w:val="20"/>
          <w:szCs w:val="20"/>
          <w:lang w:val="fr-FR"/>
        </w:rPr>
      </w:pPr>
      <w:r>
        <w:rPr>
          <w:rStyle w:val="Rimandonotaapidipagina"/>
        </w:rPr>
        <w:footnoteRef/>
      </w:r>
      <w:r w:rsidRPr="009F3FE3">
        <w:rPr>
          <w:lang w:val="fr-FR"/>
        </w:rPr>
        <w:t xml:space="preserve"> </w:t>
      </w:r>
      <w:r w:rsidRPr="00965E27">
        <w:rPr>
          <w:i/>
          <w:sz w:val="20"/>
          <w:szCs w:val="20"/>
          <w:lang w:val="fr-FR"/>
        </w:rPr>
        <w:t>Archives parlementaires</w:t>
      </w:r>
      <w:r w:rsidRPr="00965E27">
        <w:rPr>
          <w:sz w:val="20"/>
          <w:szCs w:val="20"/>
          <w:lang w:val="fr-FR"/>
        </w:rPr>
        <w:t>, vol. 78, Séance du 4 novembre 1793, p. 251.</w:t>
      </w:r>
    </w:p>
    <w:p w14:paraId="541F4363" w14:textId="2F479636" w:rsidR="009F3FE3" w:rsidRPr="009F3FE3" w:rsidRDefault="009F3FE3">
      <w:pPr>
        <w:pStyle w:val="Testonotaapidipagina"/>
        <w:rPr>
          <w:lang w:val="fr-FR"/>
        </w:rPr>
      </w:pPr>
    </w:p>
  </w:footnote>
  <w:footnote w:id="45">
    <w:p w14:paraId="57B81EB4" w14:textId="77777777" w:rsidR="009554E6" w:rsidRPr="00505F8A" w:rsidRDefault="009554E6" w:rsidP="009554E6">
      <w:pPr>
        <w:jc w:val="both"/>
        <w:rPr>
          <w:sz w:val="20"/>
          <w:szCs w:val="20"/>
        </w:rPr>
      </w:pPr>
      <w:r>
        <w:rPr>
          <w:rStyle w:val="Rimandonotaapidipagina"/>
        </w:rPr>
        <w:footnoteRef/>
      </w:r>
      <w:r>
        <w:t xml:space="preserve"> </w:t>
      </w:r>
      <w:r w:rsidRPr="00505F8A">
        <w:rPr>
          <w:sz w:val="20"/>
          <w:szCs w:val="20"/>
        </w:rPr>
        <w:t xml:space="preserve">Nel corpus digitalizzato dei primi 82 volumi delle </w:t>
      </w:r>
      <w:r w:rsidRPr="00505F8A">
        <w:rPr>
          <w:i/>
          <w:sz w:val="20"/>
          <w:szCs w:val="20"/>
        </w:rPr>
        <w:t>Archives parlementaires</w:t>
      </w:r>
      <w:r w:rsidRPr="00505F8A">
        <w:rPr>
          <w:sz w:val="20"/>
          <w:szCs w:val="20"/>
        </w:rPr>
        <w:t>, messo in rete da Chicago-ARTFL CNRS (</w:t>
      </w:r>
      <w:hyperlink r:id="rId15" w:history="1">
        <w:r w:rsidRPr="006D1CF8">
          <w:rPr>
            <w:rStyle w:val="Collegamentoipertestuale"/>
            <w:sz w:val="20"/>
            <w:szCs w:val="20"/>
          </w:rPr>
          <w:t>http://artfl-project.uchicago.edu/node/144</w:t>
        </w:r>
      </w:hyperlink>
      <w:r w:rsidRPr="00505F8A">
        <w:rPr>
          <w:sz w:val="20"/>
          <w:szCs w:val="20"/>
        </w:rPr>
        <w:t>.</w:t>
      </w:r>
      <w:r>
        <w:rPr>
          <w:sz w:val="20"/>
          <w:szCs w:val="20"/>
        </w:rPr>
        <w:t xml:space="preserve">) </w:t>
      </w:r>
      <w:r w:rsidRPr="00505F8A">
        <w:rPr>
          <w:sz w:val="20"/>
          <w:szCs w:val="20"/>
        </w:rPr>
        <w:t xml:space="preserve">risultano 871 occorrenze di «masque». L’interrogazione delle </w:t>
      </w:r>
      <w:r w:rsidRPr="00505F8A">
        <w:rPr>
          <w:i/>
          <w:sz w:val="20"/>
          <w:szCs w:val="20"/>
        </w:rPr>
        <w:t>Archives parlementaires</w:t>
      </w:r>
      <w:r w:rsidRPr="00505F8A">
        <w:rPr>
          <w:sz w:val="20"/>
          <w:szCs w:val="20"/>
        </w:rPr>
        <w:t xml:space="preserve"> con </w:t>
      </w:r>
      <w:r w:rsidRPr="00505F8A">
        <w:rPr>
          <w:i/>
          <w:sz w:val="20"/>
          <w:szCs w:val="20"/>
        </w:rPr>
        <w:t>PhiloLogic4</w:t>
      </w:r>
      <w:r w:rsidRPr="00505F8A">
        <w:rPr>
          <w:sz w:val="20"/>
          <w:szCs w:val="20"/>
        </w:rPr>
        <w:t xml:space="preserve"> (</w:t>
      </w:r>
      <w:r w:rsidRPr="00505F8A">
        <w:rPr>
          <w:i/>
          <w:sz w:val="20"/>
          <w:szCs w:val="20"/>
        </w:rPr>
        <w:t>PhiloLogic4 Databases</w:t>
      </w:r>
      <w:r w:rsidRPr="00505F8A">
        <w:rPr>
          <w:sz w:val="20"/>
          <w:szCs w:val="20"/>
        </w:rPr>
        <w:t xml:space="preserve">: </w:t>
      </w:r>
      <w:hyperlink r:id="rId16" w:history="1">
        <w:r w:rsidRPr="00505F8A">
          <w:rPr>
            <w:rStyle w:val="Collegamentoipertestuale"/>
            <w:sz w:val="20"/>
            <w:szCs w:val="20"/>
          </w:rPr>
          <w:t>https://artfl-project.uchicago.edu/content/philologic4-databases</w:t>
        </w:r>
      </w:hyperlink>
      <w:r w:rsidRPr="00505F8A">
        <w:rPr>
          <w:sz w:val="20"/>
          <w:szCs w:val="20"/>
        </w:rPr>
        <w:t xml:space="preserve">) evidenzia 899 occorrenze. Nella nuova edizione elettronica delle </w:t>
      </w:r>
      <w:r w:rsidRPr="00505F8A">
        <w:rPr>
          <w:i/>
          <w:sz w:val="20"/>
          <w:szCs w:val="20"/>
        </w:rPr>
        <w:t>Archives parlementaires</w:t>
      </w:r>
      <w:r w:rsidRPr="00505F8A">
        <w:rPr>
          <w:sz w:val="20"/>
          <w:szCs w:val="20"/>
        </w:rPr>
        <w:t>, in corso d’opera (</w:t>
      </w:r>
      <w:hyperlink r:id="rId17" w:history="1">
        <w:r w:rsidRPr="00505F8A">
          <w:rPr>
            <w:rStyle w:val="Collegamentoipertestuale"/>
            <w:sz w:val="20"/>
            <w:szCs w:val="20"/>
          </w:rPr>
          <w:t>https://www.persee.fr/collection/arcpa</w:t>
        </w:r>
      </w:hyperlink>
      <w:r w:rsidRPr="00505F8A">
        <w:rPr>
          <w:rStyle w:val="Collegamentoipertestuale"/>
          <w:sz w:val="20"/>
          <w:szCs w:val="20"/>
        </w:rPr>
        <w:t xml:space="preserve"> </w:t>
      </w:r>
      <w:r w:rsidRPr="00505F8A">
        <w:rPr>
          <w:sz w:val="20"/>
          <w:szCs w:val="20"/>
        </w:rPr>
        <w:t>) risultano finora 1072 occorrenze.</w:t>
      </w:r>
    </w:p>
    <w:p w14:paraId="40D78677" w14:textId="04388E82" w:rsidR="009554E6" w:rsidRDefault="009554E6">
      <w:pPr>
        <w:pStyle w:val="Testonotaapidipagina"/>
      </w:pPr>
    </w:p>
  </w:footnote>
  <w:footnote w:id="46">
    <w:p w14:paraId="29A75138" w14:textId="77777777" w:rsidR="00D0638E" w:rsidRPr="00D0638E" w:rsidRDefault="00D0638E" w:rsidP="00D0638E">
      <w:pPr>
        <w:jc w:val="both"/>
        <w:rPr>
          <w:rFonts w:cstheme="minorHAnsi"/>
          <w:sz w:val="20"/>
          <w:szCs w:val="20"/>
          <w:lang w:val="fr-FR"/>
        </w:rPr>
      </w:pPr>
      <w:r>
        <w:rPr>
          <w:rStyle w:val="Rimandonotaapidipagina"/>
        </w:rPr>
        <w:footnoteRef/>
      </w:r>
      <w:r w:rsidRPr="00D0638E">
        <w:rPr>
          <w:lang w:val="fr-FR"/>
        </w:rPr>
        <w:t xml:space="preserve"> </w:t>
      </w:r>
      <w:r w:rsidRPr="00D0638E">
        <w:rPr>
          <w:rFonts w:cstheme="minorHAnsi"/>
          <w:sz w:val="20"/>
          <w:szCs w:val="20"/>
          <w:lang w:val="fr-FR"/>
        </w:rPr>
        <w:t xml:space="preserve">Cfr. M. Linton, «Robespierre et l’authenticité révolutionnaire», </w:t>
      </w:r>
      <w:r w:rsidRPr="00D0638E">
        <w:rPr>
          <w:rFonts w:cstheme="minorHAnsi"/>
          <w:i/>
          <w:sz w:val="20"/>
          <w:szCs w:val="20"/>
          <w:lang w:val="fr-FR"/>
        </w:rPr>
        <w:t>Annales historiques de la Révolution française</w:t>
      </w:r>
      <w:r w:rsidRPr="00D0638E">
        <w:rPr>
          <w:rFonts w:cstheme="minorHAnsi"/>
          <w:sz w:val="20"/>
          <w:szCs w:val="20"/>
          <w:lang w:val="fr-FR"/>
        </w:rPr>
        <w:t>, n° 371, 2013, pp. 153-173 ; Idem</w:t>
      </w:r>
      <w:r w:rsidRPr="00D0638E">
        <w:rPr>
          <w:rFonts w:cstheme="minorHAnsi"/>
          <w:i/>
          <w:sz w:val="20"/>
          <w:szCs w:val="20"/>
          <w:lang w:val="fr-FR"/>
        </w:rPr>
        <w:t>, Choosing Terror</w:t>
      </w:r>
      <w:r w:rsidRPr="00D0638E">
        <w:rPr>
          <w:rFonts w:cstheme="minorHAnsi"/>
          <w:sz w:val="20"/>
          <w:szCs w:val="20"/>
          <w:lang w:val="fr-FR"/>
        </w:rPr>
        <w:t xml:space="preserve">, cit., </w:t>
      </w:r>
      <w:r w:rsidRPr="00D0638E">
        <w:rPr>
          <w:rFonts w:cstheme="minorHAnsi"/>
          <w:i/>
          <w:sz w:val="20"/>
          <w:szCs w:val="20"/>
          <w:lang w:val="fr-FR"/>
        </w:rPr>
        <w:t>passim</w:t>
      </w:r>
      <w:r w:rsidRPr="00D0638E">
        <w:rPr>
          <w:rFonts w:cstheme="minorHAnsi"/>
          <w:sz w:val="20"/>
          <w:szCs w:val="20"/>
          <w:lang w:val="fr-FR"/>
        </w:rPr>
        <w:t>.</w:t>
      </w:r>
    </w:p>
    <w:p w14:paraId="4E0F16E9" w14:textId="6D149946" w:rsidR="00D0638E" w:rsidRPr="00D0638E" w:rsidRDefault="00D0638E">
      <w:pPr>
        <w:pStyle w:val="Testonotaapidipagina"/>
        <w:rPr>
          <w:lang w:val="fr-FR"/>
        </w:rPr>
      </w:pPr>
    </w:p>
  </w:footnote>
  <w:footnote w:id="47">
    <w:p w14:paraId="2F94B401" w14:textId="76CA60FA" w:rsidR="00A059E8" w:rsidRPr="00005F77" w:rsidRDefault="00A059E8" w:rsidP="00A059E8">
      <w:pPr>
        <w:rPr>
          <w:sz w:val="20"/>
          <w:szCs w:val="20"/>
          <w:lang w:val="fr-FR"/>
        </w:rPr>
      </w:pPr>
      <w:r>
        <w:rPr>
          <w:rStyle w:val="Rimandonotaapidipagina"/>
        </w:rPr>
        <w:footnoteRef/>
      </w:r>
      <w:r w:rsidRPr="00A059E8">
        <w:rPr>
          <w:lang w:val="fr-FR"/>
        </w:rPr>
        <w:t xml:space="preserve"> </w:t>
      </w:r>
      <w:r w:rsidRPr="00005F77">
        <w:rPr>
          <w:i/>
          <w:sz w:val="20"/>
          <w:szCs w:val="20"/>
          <w:lang w:val="fr-FR"/>
        </w:rPr>
        <w:t>Archives parlementaires</w:t>
      </w:r>
      <w:r w:rsidRPr="00005F77">
        <w:rPr>
          <w:sz w:val="20"/>
          <w:szCs w:val="20"/>
          <w:lang w:val="fr-FR"/>
        </w:rPr>
        <w:t>, vol. 80, p. 97.</w:t>
      </w:r>
    </w:p>
    <w:p w14:paraId="7D15BFAA" w14:textId="73F272A1" w:rsidR="00A059E8" w:rsidRPr="00A059E8" w:rsidRDefault="00A059E8">
      <w:pPr>
        <w:pStyle w:val="Testonotaapidipagina"/>
        <w:rPr>
          <w:lang w:val="fr-FR"/>
        </w:rPr>
      </w:pPr>
    </w:p>
  </w:footnote>
  <w:footnote w:id="48">
    <w:p w14:paraId="7F69AD98" w14:textId="77777777" w:rsidR="008029AF" w:rsidRPr="008029AF" w:rsidRDefault="008029AF" w:rsidP="008029AF">
      <w:pPr>
        <w:jc w:val="both"/>
        <w:rPr>
          <w:rFonts w:ascii="Calibri" w:eastAsia="Calibri" w:hAnsi="Calibri" w:cs="Times New Roman"/>
          <w:sz w:val="20"/>
          <w:szCs w:val="20"/>
        </w:rPr>
      </w:pPr>
      <w:r>
        <w:rPr>
          <w:rStyle w:val="Rimandonotaapidipagina"/>
        </w:rPr>
        <w:footnoteRef/>
      </w:r>
      <w:r w:rsidRPr="008029AF">
        <w:rPr>
          <w:lang w:val="fr-FR"/>
        </w:rPr>
        <w:t xml:space="preserve"> </w:t>
      </w:r>
      <w:r w:rsidRPr="008029AF">
        <w:rPr>
          <w:rFonts w:ascii="Calibri" w:eastAsia="Calibri" w:hAnsi="Calibri" w:cs="Times New Roman"/>
          <w:sz w:val="20"/>
          <w:szCs w:val="20"/>
          <w:lang w:val="fr-FR"/>
        </w:rPr>
        <w:t>Cfr. M. Vovelle</w:t>
      </w:r>
      <w:r w:rsidRPr="008029AF">
        <w:rPr>
          <w:rFonts w:ascii="Calibri" w:eastAsia="Calibri" w:hAnsi="Calibri" w:cs="Times New Roman"/>
          <w:i/>
          <w:sz w:val="20"/>
          <w:szCs w:val="20"/>
          <w:lang w:val="fr-FR"/>
        </w:rPr>
        <w:t xml:space="preserve">, Les jacobins. </w:t>
      </w:r>
      <w:r w:rsidRPr="008029AF">
        <w:rPr>
          <w:rFonts w:ascii="Calibri" w:eastAsia="Calibri" w:hAnsi="Calibri" w:cs="Times New Roman"/>
          <w:i/>
          <w:sz w:val="20"/>
          <w:szCs w:val="20"/>
        </w:rPr>
        <w:t>De Robespierre à Chevèment</w:t>
      </w:r>
      <w:r w:rsidRPr="008029AF">
        <w:rPr>
          <w:rFonts w:ascii="Calibri" w:eastAsia="Calibri" w:hAnsi="Calibri" w:cs="Times New Roman"/>
          <w:sz w:val="20"/>
          <w:szCs w:val="20"/>
        </w:rPr>
        <w:t xml:space="preserve"> (1988), Paris, La Découverte, 1999, pp. 26, 55 ; C. Vetter, «Furori rivoluzionari: il Movimento 5 Stelle e i sanculotti», </w:t>
      </w:r>
      <w:r w:rsidRPr="008029AF">
        <w:rPr>
          <w:rFonts w:ascii="Calibri" w:eastAsia="Calibri" w:hAnsi="Calibri" w:cs="Times New Roman"/>
          <w:i/>
          <w:sz w:val="20"/>
          <w:szCs w:val="20"/>
        </w:rPr>
        <w:t>Rivista di Politica</w:t>
      </w:r>
      <w:r w:rsidRPr="008029AF">
        <w:rPr>
          <w:rFonts w:ascii="Calibri" w:eastAsia="Calibri" w:hAnsi="Calibri" w:cs="Times New Roman"/>
          <w:sz w:val="20"/>
          <w:szCs w:val="20"/>
        </w:rPr>
        <w:t>, numero 4, ottobre – dicembre 2013, pp. 5-9: pp. 5-6.</w:t>
      </w:r>
    </w:p>
    <w:p w14:paraId="20AD7742" w14:textId="5045ECBE" w:rsidR="008029AF" w:rsidRDefault="008029AF">
      <w:pPr>
        <w:pStyle w:val="Testonotaapidipagina"/>
      </w:pPr>
    </w:p>
  </w:footnote>
  <w:footnote w:id="49">
    <w:p w14:paraId="0DE35D60" w14:textId="6C39901E" w:rsidR="003F136F" w:rsidRDefault="003F136F" w:rsidP="00FB68D6">
      <w:pPr>
        <w:pStyle w:val="Testonotaapidipagina"/>
        <w:jc w:val="both"/>
      </w:pPr>
      <w:r>
        <w:rPr>
          <w:rStyle w:val="Rimandonotaapidipagina"/>
        </w:rPr>
        <w:footnoteRef/>
      </w:r>
      <w:r>
        <w:t xml:space="preserve"> </w:t>
      </w:r>
      <w:r w:rsidRPr="00A10005">
        <w:t xml:space="preserve">Come è noto, «fédéralisme» è un marcatore politico usato dai montagnardi per delegittimare i girondini. Nella retorica </w:t>
      </w:r>
      <w:r w:rsidR="00FB68D6">
        <w:t xml:space="preserve">montagnarda e sanculotta </w:t>
      </w:r>
      <w:r w:rsidRPr="00A10005">
        <w:t xml:space="preserve">dell’anno secondo diventa sinonimo di «contre-révolutionnaire». Cfr in particolare J.-Cl., Martin, </w:t>
      </w:r>
      <w:r w:rsidRPr="00A10005">
        <w:rPr>
          <w:i/>
        </w:rPr>
        <w:t>Nouvelle histoire</w:t>
      </w:r>
      <w:r w:rsidRPr="00A10005">
        <w:t>, cit., pp. 367 -</w:t>
      </w:r>
      <w:r w:rsidR="00FB68D6">
        <w:t xml:space="preserve"> </w:t>
      </w:r>
      <w:r w:rsidRPr="00A10005">
        <w:t xml:space="preserve">370. Manca tuttora uno studio lessicologico e lessicometrico della stringa féd* nel lessico della rivoluzione francese: cfr. in particolare A. De Francesco, «La felicità è un’idea nuova in Europa. Contributo al lessico della rivoluzione francese», tomo II, a cura di C. Vetter e M. Marin, Trieste, Edizioni Università di Trieste, 2013, </w:t>
      </w:r>
      <w:r w:rsidRPr="00A10005">
        <w:rPr>
          <w:i/>
        </w:rPr>
        <w:t>Cromohs - Cyber Review of Modern Historiography</w:t>
      </w:r>
      <w:r w:rsidRPr="00A10005">
        <w:t xml:space="preserve">, 18 (2013), pp. 141-144: p. 143: </w:t>
      </w:r>
      <w:hyperlink r:id="rId18" w:history="1">
        <w:r w:rsidRPr="00A10005">
          <w:rPr>
            <w:rStyle w:val="Collegamentoipertestuale"/>
          </w:rPr>
          <w:t>https://doi.org/10.13128/Cromohs-14129</w:t>
        </w:r>
      </w:hyperlink>
    </w:p>
  </w:footnote>
  <w:footnote w:id="50">
    <w:p w14:paraId="7D6871AB" w14:textId="77777777" w:rsidR="00E819A6" w:rsidRPr="009C3E9E" w:rsidRDefault="00E819A6" w:rsidP="00E819A6">
      <w:pPr>
        <w:jc w:val="both"/>
        <w:rPr>
          <w:sz w:val="20"/>
          <w:szCs w:val="20"/>
          <w:lang w:val="fr-FR"/>
        </w:rPr>
      </w:pPr>
      <w:r>
        <w:rPr>
          <w:rStyle w:val="Rimandonotaapidipagina"/>
        </w:rPr>
        <w:footnoteRef/>
      </w:r>
      <w:r w:rsidRPr="00E819A6">
        <w:rPr>
          <w:lang w:val="fr-FR"/>
        </w:rPr>
        <w:t xml:space="preserve"> </w:t>
      </w:r>
      <w:r w:rsidRPr="009C3E9E">
        <w:rPr>
          <w:i/>
          <w:sz w:val="20"/>
          <w:szCs w:val="20"/>
          <w:lang w:val="fr-FR"/>
        </w:rPr>
        <w:t>Archives parlementaires</w:t>
      </w:r>
      <w:r w:rsidRPr="009C3E9E">
        <w:rPr>
          <w:sz w:val="20"/>
          <w:szCs w:val="20"/>
          <w:lang w:val="fr-FR"/>
        </w:rPr>
        <w:t>, vol. 79, pp. 77 – 78 : p. 77.</w:t>
      </w:r>
    </w:p>
    <w:p w14:paraId="005C66F6" w14:textId="72D5A5B7" w:rsidR="00E819A6" w:rsidRPr="00E819A6" w:rsidRDefault="00E819A6">
      <w:pPr>
        <w:pStyle w:val="Testonotaapidipagina"/>
        <w:rPr>
          <w:lang w:val="fr-FR"/>
        </w:rPr>
      </w:pPr>
    </w:p>
  </w:footnote>
  <w:footnote w:id="51">
    <w:p w14:paraId="55590B63" w14:textId="77777777" w:rsidR="007848C1" w:rsidRPr="001E01B6" w:rsidRDefault="007848C1" w:rsidP="007848C1">
      <w:pPr>
        <w:jc w:val="both"/>
        <w:rPr>
          <w:sz w:val="20"/>
          <w:szCs w:val="20"/>
          <w:lang w:val="fr-FR"/>
        </w:rPr>
      </w:pPr>
      <w:r>
        <w:rPr>
          <w:rStyle w:val="Rimandonotaapidipagina"/>
        </w:rPr>
        <w:footnoteRef/>
      </w:r>
      <w:r w:rsidRPr="007848C1">
        <w:rPr>
          <w:lang w:val="fr-FR"/>
        </w:rPr>
        <w:t xml:space="preserve"> </w:t>
      </w:r>
      <w:r w:rsidRPr="001E01B6">
        <w:rPr>
          <w:i/>
          <w:sz w:val="20"/>
          <w:szCs w:val="20"/>
          <w:lang w:val="fr-FR"/>
        </w:rPr>
        <w:t>Archives parlementaires</w:t>
      </w:r>
      <w:r w:rsidRPr="001E01B6">
        <w:rPr>
          <w:sz w:val="20"/>
          <w:szCs w:val="20"/>
          <w:lang w:val="fr-FR"/>
        </w:rPr>
        <w:t xml:space="preserve">, vol. 74, pp.  47 – 52 : </w:t>
      </w:r>
      <w:r w:rsidRPr="001E01B6">
        <w:rPr>
          <w:i/>
          <w:sz w:val="20"/>
          <w:szCs w:val="20"/>
          <w:lang w:val="fr-FR"/>
        </w:rPr>
        <w:t>Procès-verbal des monuments, de la marche et des discours de la fête consacrée à l’inauguration de la Constitution de la République française, le 10 août 1793</w:t>
      </w:r>
      <w:r w:rsidRPr="001E01B6">
        <w:rPr>
          <w:sz w:val="20"/>
          <w:szCs w:val="20"/>
          <w:lang w:val="fr-FR"/>
        </w:rPr>
        <w:t>, p. 51 : « On eût dit que le ciel et la terre répondaient à cette proclamation de la seule Constitution, depuis qu'il existe des peuples, qui ait donné à un grand Empire une liberté fondée sur l'égalité, et qui ait fait de la fraternité un dogme politique».</w:t>
      </w:r>
    </w:p>
    <w:p w14:paraId="011E8056" w14:textId="23FC9019" w:rsidR="007848C1" w:rsidRPr="007848C1" w:rsidRDefault="007848C1">
      <w:pPr>
        <w:pStyle w:val="Testonotaapidipagina"/>
        <w:rPr>
          <w:lang w:val="fr-FR"/>
        </w:rPr>
      </w:pPr>
    </w:p>
  </w:footnote>
  <w:footnote w:id="52">
    <w:p w14:paraId="784EB8E9" w14:textId="77777777" w:rsidR="00DB5DF7" w:rsidRPr="008D182D" w:rsidRDefault="00337443" w:rsidP="00DB5DF7">
      <w:pPr>
        <w:jc w:val="both"/>
        <w:rPr>
          <w:sz w:val="20"/>
          <w:szCs w:val="20"/>
        </w:rPr>
      </w:pPr>
      <w:r>
        <w:rPr>
          <w:rStyle w:val="Rimandonotaapidipagina"/>
        </w:rPr>
        <w:footnoteRef/>
      </w:r>
      <w:r w:rsidRPr="00337443">
        <w:t xml:space="preserve"> </w:t>
      </w:r>
      <w:r w:rsidRPr="00E9428A">
        <w:rPr>
          <w:rFonts w:cstheme="minorHAnsi"/>
          <w:sz w:val="20"/>
          <w:szCs w:val="20"/>
        </w:rPr>
        <w:t xml:space="preserve">Manca tuttora uno studio lessicologico e lessicometrico esauriente sulla stringa modér* nel lessico della rivoluzione. Le parole «modération», «modéré» subiscono man mano uno slittamento semantico verso una connotazione negativa. </w:t>
      </w:r>
      <w:r w:rsidRPr="00E9428A">
        <w:rPr>
          <w:rFonts w:cstheme="minorHAnsi"/>
          <w:sz w:val="20"/>
          <w:szCs w:val="20"/>
          <w:lang w:val="fr-FR"/>
        </w:rPr>
        <w:t xml:space="preserve">In prima approssimazione si può osservare che, dopo il 10 agosto 1792, «modéré» tende progressivamente a configurarsi come antonimo di «républicain» (cfr, per esempio, L. M. Prudhomme, </w:t>
      </w:r>
      <w:r w:rsidRPr="00E9428A">
        <w:rPr>
          <w:rFonts w:cstheme="minorHAnsi"/>
          <w:i/>
          <w:sz w:val="20"/>
          <w:szCs w:val="20"/>
          <w:lang w:val="fr-FR"/>
        </w:rPr>
        <w:t>Révolutions de Paris : dédiées à la nation et au district des Petits Augustins</w:t>
      </w:r>
      <w:r w:rsidRPr="00E9428A">
        <w:rPr>
          <w:rFonts w:cstheme="minorHAnsi"/>
          <w:sz w:val="20"/>
          <w:szCs w:val="20"/>
          <w:lang w:val="fr-FR"/>
        </w:rPr>
        <w:t>, vol, 16, n. 206, 15 -22 juin 1793, p. 545 ; M. A. Jullien</w:t>
      </w:r>
      <w:r w:rsidRPr="00E9428A">
        <w:rPr>
          <w:rFonts w:cstheme="minorHAnsi"/>
          <w:i/>
          <w:sz w:val="20"/>
          <w:szCs w:val="20"/>
          <w:lang w:val="fr-FR"/>
        </w:rPr>
        <w:t>, Discours sur les dangers de la contagion du modérantisme, et les moyens de former la conscience publique</w:t>
      </w:r>
      <w:r w:rsidRPr="00E9428A">
        <w:rPr>
          <w:rFonts w:cstheme="minorHAnsi"/>
          <w:sz w:val="20"/>
          <w:szCs w:val="20"/>
          <w:lang w:val="fr-FR"/>
        </w:rPr>
        <w:t xml:space="preserve">, Bordeaux, 1794, p. 9 ). </w:t>
      </w:r>
      <w:r w:rsidRPr="00E9428A">
        <w:rPr>
          <w:rFonts w:cstheme="minorHAnsi"/>
          <w:sz w:val="20"/>
          <w:szCs w:val="20"/>
        </w:rPr>
        <w:t>Si afferma inoltre progressivamente il sintagma «modérantisme», la cui prima attestazione – allo stato attuale</w:t>
      </w:r>
      <w:r>
        <w:rPr>
          <w:rFonts w:cstheme="minorHAnsi"/>
          <w:sz w:val="20"/>
          <w:szCs w:val="20"/>
        </w:rPr>
        <w:t xml:space="preserve"> della documentazione disponibile</w:t>
      </w:r>
      <w:r w:rsidRPr="00E9428A">
        <w:rPr>
          <w:rFonts w:cstheme="minorHAnsi"/>
          <w:sz w:val="20"/>
          <w:szCs w:val="20"/>
        </w:rPr>
        <w:t xml:space="preserve"> -  </w:t>
      </w:r>
      <w:r w:rsidRPr="00E9428A">
        <w:rPr>
          <w:sz w:val="20"/>
          <w:szCs w:val="20"/>
        </w:rPr>
        <w:t xml:space="preserve">si trova in una lettera di M.-J. Chénier del 20 aprile 1792, pubblicata sul </w:t>
      </w:r>
      <w:r w:rsidRPr="00E9428A">
        <w:rPr>
          <w:i/>
          <w:sz w:val="20"/>
          <w:szCs w:val="20"/>
        </w:rPr>
        <w:t>Moniteur</w:t>
      </w:r>
      <w:r w:rsidRPr="00E9428A">
        <w:rPr>
          <w:sz w:val="20"/>
          <w:szCs w:val="20"/>
        </w:rPr>
        <w:t xml:space="preserve"> del 19 giugno 1792 (</w:t>
      </w:r>
      <w:r w:rsidRPr="00E9428A">
        <w:rPr>
          <w:i/>
          <w:sz w:val="20"/>
          <w:szCs w:val="20"/>
        </w:rPr>
        <w:t>Nouvelles réflexions sur les sociétés patriotiques</w:t>
      </w:r>
      <w:r w:rsidRPr="00E9428A">
        <w:rPr>
          <w:sz w:val="20"/>
          <w:szCs w:val="20"/>
        </w:rPr>
        <w:t>).</w:t>
      </w:r>
      <w:r w:rsidRPr="00E9428A">
        <w:rPr>
          <w:rFonts w:cstheme="minorHAnsi"/>
          <w:sz w:val="20"/>
          <w:szCs w:val="20"/>
        </w:rPr>
        <w:t xml:space="preserve"> </w:t>
      </w:r>
      <w:r w:rsidRPr="00E9428A">
        <w:rPr>
          <w:rFonts w:cstheme="minorHAnsi"/>
          <w:sz w:val="20"/>
          <w:szCs w:val="20"/>
          <w:lang w:val="fr-FR"/>
        </w:rPr>
        <w:t>Per Robespierre, come è noto, «le modérantisme […] est à la modération ce que l'impuissance est à la chasteté» (</w:t>
      </w:r>
      <w:r w:rsidRPr="00E9428A">
        <w:rPr>
          <w:rFonts w:cstheme="minorHAnsi"/>
          <w:i/>
          <w:sz w:val="20"/>
          <w:szCs w:val="20"/>
          <w:lang w:val="fr-FR"/>
        </w:rPr>
        <w:t>Rapport sur les principes du gouvernement révolutionnaire</w:t>
      </w:r>
      <w:r w:rsidRPr="00E9428A">
        <w:rPr>
          <w:rFonts w:cstheme="minorHAnsi"/>
          <w:sz w:val="20"/>
          <w:szCs w:val="20"/>
          <w:lang w:val="fr-FR"/>
        </w:rPr>
        <w:t xml:space="preserve">, 25 décembre 1793 : </w:t>
      </w:r>
      <w:r w:rsidRPr="00E9428A">
        <w:rPr>
          <w:rFonts w:cstheme="minorHAnsi"/>
          <w:i/>
          <w:sz w:val="20"/>
          <w:szCs w:val="20"/>
          <w:lang w:val="fr-FR"/>
        </w:rPr>
        <w:t>Archives parlementaires</w:t>
      </w:r>
      <w:r w:rsidRPr="00E9428A">
        <w:rPr>
          <w:rFonts w:cstheme="minorHAnsi"/>
          <w:sz w:val="20"/>
          <w:szCs w:val="20"/>
          <w:lang w:val="fr-FR"/>
        </w:rPr>
        <w:t>,</w:t>
      </w:r>
      <w:r>
        <w:rPr>
          <w:rFonts w:cstheme="minorHAnsi"/>
          <w:sz w:val="20"/>
          <w:szCs w:val="20"/>
          <w:lang w:val="fr-FR"/>
        </w:rPr>
        <w:t xml:space="preserve"> vol. 82,</w:t>
      </w:r>
      <w:r w:rsidRPr="00E9428A">
        <w:rPr>
          <w:rFonts w:cstheme="minorHAnsi"/>
          <w:sz w:val="20"/>
          <w:szCs w:val="20"/>
          <w:lang w:val="fr-FR"/>
        </w:rPr>
        <w:t xml:space="preserve"> pp. 300 – 302 : p. 300)</w:t>
      </w:r>
      <w:r w:rsidR="00DB5DF7">
        <w:rPr>
          <w:rFonts w:cstheme="minorHAnsi"/>
          <w:sz w:val="20"/>
          <w:szCs w:val="20"/>
          <w:lang w:val="fr-FR"/>
        </w:rPr>
        <w:t xml:space="preserve">. </w:t>
      </w:r>
      <w:r w:rsidR="00DB5DF7" w:rsidRPr="008D182D">
        <w:rPr>
          <w:sz w:val="20"/>
          <w:szCs w:val="20"/>
        </w:rPr>
        <w:t xml:space="preserve">Nelle </w:t>
      </w:r>
      <w:r w:rsidR="00DB5DF7" w:rsidRPr="008D182D">
        <w:rPr>
          <w:i/>
          <w:sz w:val="20"/>
          <w:szCs w:val="20"/>
        </w:rPr>
        <w:t>Archives parlementaires</w:t>
      </w:r>
      <w:r w:rsidR="00DB5DF7" w:rsidRPr="008D182D">
        <w:rPr>
          <w:sz w:val="20"/>
          <w:szCs w:val="20"/>
        </w:rPr>
        <w:t xml:space="preserve"> risultano 9 occorrenze di «modérantistes», di cui 7 cooccorrenze con «fédéralistes». Risultano inoltre due occorrenze di «modérantiste», la cui prima attestazione è del 16 settembre 1792 (vol. 50, p. 45).</w:t>
      </w:r>
    </w:p>
    <w:p w14:paraId="7180465C" w14:textId="1BB75599" w:rsidR="00337443" w:rsidRPr="00DB5DF7" w:rsidRDefault="00337443" w:rsidP="00337443">
      <w:pPr>
        <w:jc w:val="both"/>
        <w:rPr>
          <w:rFonts w:cstheme="minorHAnsi"/>
          <w:sz w:val="20"/>
          <w:szCs w:val="20"/>
        </w:rPr>
      </w:pPr>
    </w:p>
    <w:p w14:paraId="65E66870" w14:textId="1301C7CA" w:rsidR="00337443" w:rsidRPr="00DB5DF7" w:rsidRDefault="00337443">
      <w:pPr>
        <w:pStyle w:val="Testonotaapidipagina"/>
      </w:pPr>
    </w:p>
  </w:footnote>
  <w:footnote w:id="53">
    <w:p w14:paraId="41CE1EBE" w14:textId="77777777" w:rsidR="007848C1" w:rsidRPr="001E01B6" w:rsidRDefault="007848C1" w:rsidP="007848C1">
      <w:pPr>
        <w:jc w:val="both"/>
        <w:rPr>
          <w:sz w:val="20"/>
          <w:szCs w:val="20"/>
          <w:lang w:val="fr-FR"/>
        </w:rPr>
      </w:pPr>
      <w:r>
        <w:rPr>
          <w:rStyle w:val="Rimandonotaapidipagina"/>
        </w:rPr>
        <w:footnoteRef/>
      </w:r>
      <w:r w:rsidRPr="007848C1">
        <w:rPr>
          <w:lang w:val="fr-FR"/>
        </w:rPr>
        <w:t xml:space="preserve"> </w:t>
      </w:r>
      <w:r w:rsidRPr="001E01B6">
        <w:rPr>
          <w:i/>
          <w:sz w:val="20"/>
          <w:szCs w:val="20"/>
          <w:lang w:val="fr-FR"/>
        </w:rPr>
        <w:t>Archives parlementaires</w:t>
      </w:r>
      <w:r w:rsidRPr="001E01B6">
        <w:rPr>
          <w:sz w:val="20"/>
          <w:szCs w:val="20"/>
          <w:lang w:val="fr-FR"/>
        </w:rPr>
        <w:t xml:space="preserve">, vol. 79, p. 207 : </w:t>
      </w:r>
      <w:r w:rsidRPr="001E01B6">
        <w:rPr>
          <w:i/>
          <w:sz w:val="20"/>
          <w:szCs w:val="20"/>
          <w:lang w:val="fr-FR"/>
        </w:rPr>
        <w:t>Pétition de la Société populaire de la commune d'Evry-sur-Seine, district de Corbeil, département de Seine-et-Oise</w:t>
      </w:r>
      <w:r w:rsidRPr="001E01B6">
        <w:rPr>
          <w:sz w:val="20"/>
          <w:szCs w:val="20"/>
          <w:lang w:val="fr-FR"/>
        </w:rPr>
        <w:t xml:space="preserve"> (23 brumaire, 2e année de la République française, une et indivisible : 13 novembre 1793).</w:t>
      </w:r>
    </w:p>
    <w:p w14:paraId="5C9F73A5" w14:textId="4E6A2666" w:rsidR="007848C1" w:rsidRPr="007848C1" w:rsidRDefault="007848C1">
      <w:pPr>
        <w:pStyle w:val="Testonotaapidipagina"/>
        <w:rPr>
          <w:lang w:val="fr-FR"/>
        </w:rPr>
      </w:pPr>
    </w:p>
  </w:footnote>
  <w:footnote w:id="54">
    <w:p w14:paraId="6DD41A0D" w14:textId="0DE3D667" w:rsidR="00902202" w:rsidRPr="00EF69A3" w:rsidRDefault="00D32D72" w:rsidP="00902202">
      <w:pPr>
        <w:jc w:val="both"/>
        <w:rPr>
          <w:sz w:val="20"/>
          <w:szCs w:val="20"/>
          <w:lang w:val="fr-FR"/>
        </w:rPr>
      </w:pPr>
      <w:r>
        <w:rPr>
          <w:rStyle w:val="Rimandonotaapidipagina"/>
        </w:rPr>
        <w:footnoteRef/>
      </w:r>
      <w:r w:rsidRPr="007F0668">
        <w:rPr>
          <w:lang w:val="fr-FR"/>
        </w:rPr>
        <w:t xml:space="preserve"> </w:t>
      </w:r>
      <w:r w:rsidR="00902202" w:rsidRPr="00EF69A3">
        <w:rPr>
          <w:sz w:val="20"/>
          <w:szCs w:val="20"/>
          <w:lang w:val="fr-FR"/>
        </w:rPr>
        <w:t>F. H. Lanthenas,</w:t>
      </w:r>
      <w:r w:rsidR="003C218B">
        <w:rPr>
          <w:sz w:val="20"/>
          <w:szCs w:val="20"/>
          <w:lang w:val="fr-FR"/>
        </w:rPr>
        <w:t xml:space="preserve"> </w:t>
      </w:r>
      <w:r w:rsidR="003C218B" w:rsidRPr="009E4C14">
        <w:rPr>
          <w:i/>
          <w:sz w:val="20"/>
          <w:szCs w:val="20"/>
          <w:lang w:val="fr-FR"/>
        </w:rPr>
        <w:t>Motifs de faire du 10 août un jubilé fraternel, une époque solennelle de réconciliation générale entre tous les Républicains, en consacrant une déclaration des devoirs de l'homme, des principes &amp; maximes de la morale universelle</w:t>
      </w:r>
      <w:r w:rsidR="003C218B">
        <w:rPr>
          <w:sz w:val="20"/>
          <w:szCs w:val="20"/>
          <w:lang w:val="fr-FR"/>
        </w:rPr>
        <w:t xml:space="preserve">, </w:t>
      </w:r>
      <w:r w:rsidR="00902202">
        <w:rPr>
          <w:sz w:val="20"/>
          <w:szCs w:val="20"/>
          <w:lang w:val="fr-FR"/>
        </w:rPr>
        <w:t>Paris,</w:t>
      </w:r>
      <w:r w:rsidR="00902202" w:rsidRPr="00EF69A3">
        <w:rPr>
          <w:sz w:val="20"/>
          <w:szCs w:val="20"/>
          <w:lang w:val="fr-FR"/>
        </w:rPr>
        <w:t xml:space="preserve"> 1793 :</w:t>
      </w:r>
      <w:r w:rsidR="00902202">
        <w:rPr>
          <w:sz w:val="20"/>
          <w:szCs w:val="20"/>
          <w:lang w:val="fr-FR"/>
        </w:rPr>
        <w:t xml:space="preserve"> cfr. </w:t>
      </w:r>
      <w:r w:rsidR="00902202" w:rsidRPr="00EF69A3">
        <w:rPr>
          <w:sz w:val="20"/>
          <w:szCs w:val="20"/>
          <w:lang w:val="fr-FR"/>
        </w:rPr>
        <w:t xml:space="preserve"> </w:t>
      </w:r>
      <w:r w:rsidR="00902202" w:rsidRPr="00EF69A3">
        <w:rPr>
          <w:i/>
          <w:sz w:val="20"/>
          <w:szCs w:val="20"/>
          <w:lang w:val="fr-FR"/>
        </w:rPr>
        <w:t>Archives parlementaires</w:t>
      </w:r>
      <w:r w:rsidR="00902202" w:rsidRPr="00EF69A3">
        <w:rPr>
          <w:sz w:val="20"/>
          <w:szCs w:val="20"/>
          <w:lang w:val="fr-FR"/>
        </w:rPr>
        <w:t xml:space="preserve">, vol. 70, </w:t>
      </w:r>
      <w:r w:rsidR="00902202" w:rsidRPr="00EF69A3">
        <w:rPr>
          <w:i/>
          <w:sz w:val="20"/>
          <w:szCs w:val="20"/>
          <w:lang w:val="fr-FR"/>
        </w:rPr>
        <w:t>Deuxième annexe à la séance de la Convention nationale du vendredi 9</w:t>
      </w:r>
      <w:r w:rsidR="00902202" w:rsidRPr="00EF69A3">
        <w:rPr>
          <w:sz w:val="20"/>
          <w:szCs w:val="20"/>
          <w:lang w:val="fr-FR"/>
        </w:rPr>
        <w:t xml:space="preserve"> </w:t>
      </w:r>
      <w:r w:rsidR="00902202" w:rsidRPr="00EF69A3">
        <w:rPr>
          <w:i/>
          <w:sz w:val="20"/>
          <w:szCs w:val="20"/>
          <w:lang w:val="fr-FR"/>
        </w:rPr>
        <w:t>août 1793</w:t>
      </w:r>
      <w:r w:rsidR="00BA4739">
        <w:rPr>
          <w:sz w:val="20"/>
          <w:szCs w:val="20"/>
          <w:lang w:val="fr-FR"/>
        </w:rPr>
        <w:t>, pp. 602 - 619</w:t>
      </w:r>
      <w:r w:rsidR="00902202" w:rsidRPr="00EF69A3">
        <w:rPr>
          <w:sz w:val="20"/>
          <w:szCs w:val="20"/>
          <w:lang w:val="fr-FR"/>
        </w:rPr>
        <w:t> : p. 607. </w:t>
      </w:r>
    </w:p>
    <w:p w14:paraId="34196CAA" w14:textId="6B373B03" w:rsidR="00D32D72" w:rsidRDefault="00D32D72" w:rsidP="00D32D72">
      <w:pPr>
        <w:jc w:val="both"/>
        <w:rPr>
          <w:rFonts w:cstheme="minorHAnsi"/>
          <w:sz w:val="20"/>
          <w:szCs w:val="20"/>
          <w:lang w:val="fr-FR"/>
        </w:rPr>
      </w:pPr>
    </w:p>
    <w:p w14:paraId="4E6A8A5A" w14:textId="77777777" w:rsidR="00D32D72" w:rsidRPr="007F0668" w:rsidRDefault="00D32D72" w:rsidP="00D32D72">
      <w:pPr>
        <w:jc w:val="both"/>
        <w:rPr>
          <w:rFonts w:cstheme="minorHAnsi"/>
          <w:lang w:val="fr-FR"/>
        </w:rPr>
      </w:pPr>
    </w:p>
    <w:p w14:paraId="47C0C333" w14:textId="20E6D96F" w:rsidR="00D32D72" w:rsidRPr="007F0668" w:rsidRDefault="00D32D72">
      <w:pPr>
        <w:pStyle w:val="Testonotaapidipagina"/>
        <w:rPr>
          <w:lang w:val="fr-FR"/>
        </w:rPr>
      </w:pPr>
    </w:p>
  </w:footnote>
  <w:footnote w:id="55">
    <w:p w14:paraId="6FFCE19C" w14:textId="77777777" w:rsidR="00E93A26" w:rsidRPr="00AA3787" w:rsidRDefault="00E93A26" w:rsidP="00E93A26">
      <w:pPr>
        <w:jc w:val="both"/>
        <w:rPr>
          <w:sz w:val="20"/>
          <w:szCs w:val="20"/>
        </w:rPr>
      </w:pPr>
      <w:r>
        <w:rPr>
          <w:rStyle w:val="Rimandonotaapidipagina"/>
        </w:rPr>
        <w:footnoteRef/>
      </w:r>
      <w:r>
        <w:t xml:space="preserve"> </w:t>
      </w:r>
      <w:r w:rsidRPr="00AA3787">
        <w:rPr>
          <w:sz w:val="20"/>
          <w:szCs w:val="20"/>
        </w:rPr>
        <w:t xml:space="preserve">Seduta del Club dei giacobini dell’11 fruttidoro anno secondo (28 agosto 1794): cfr. </w:t>
      </w:r>
      <w:r w:rsidRPr="00AA3787">
        <w:rPr>
          <w:i/>
          <w:sz w:val="20"/>
          <w:szCs w:val="20"/>
        </w:rPr>
        <w:t>Réimpression de l'Ancien Moniteur</w:t>
      </w:r>
      <w:r w:rsidRPr="00AA3787">
        <w:rPr>
          <w:sz w:val="20"/>
          <w:szCs w:val="20"/>
        </w:rPr>
        <w:t>, tome XXI, cit., pp. 650 – 652: p. 651.</w:t>
      </w:r>
    </w:p>
    <w:p w14:paraId="6B2EC80A" w14:textId="7F3B13A9" w:rsidR="00E93A26" w:rsidRDefault="00E93A26">
      <w:pPr>
        <w:pStyle w:val="Testonotaapidipagina"/>
      </w:pPr>
    </w:p>
  </w:footnote>
  <w:footnote w:id="56">
    <w:p w14:paraId="30408882" w14:textId="54FC147D" w:rsidR="00A713AD" w:rsidRPr="00004B47" w:rsidRDefault="000E02EF" w:rsidP="00A713AD">
      <w:pPr>
        <w:jc w:val="both"/>
        <w:rPr>
          <w:sz w:val="20"/>
          <w:szCs w:val="20"/>
          <w:lang w:val="fr-FR"/>
        </w:rPr>
      </w:pPr>
      <w:r>
        <w:rPr>
          <w:rStyle w:val="Rimandonotaapidipagina"/>
        </w:rPr>
        <w:footnoteRef/>
      </w:r>
      <w:r w:rsidRPr="000E02EF">
        <w:rPr>
          <w:lang w:val="fr-FR"/>
        </w:rPr>
        <w:t xml:space="preserve"> </w:t>
      </w:r>
      <w:r w:rsidRPr="00EA722E">
        <w:rPr>
          <w:sz w:val="20"/>
          <w:szCs w:val="20"/>
          <w:lang w:val="fr-FR"/>
        </w:rPr>
        <w:t xml:space="preserve">Cfr., per esempio, </w:t>
      </w:r>
      <w:r w:rsidRPr="00EA722E">
        <w:rPr>
          <w:i/>
          <w:sz w:val="20"/>
          <w:szCs w:val="20"/>
          <w:lang w:val="fr-FR"/>
        </w:rPr>
        <w:t>Discours prononcé par le représentant du peuple J. B. Louvet dans la séance du 14 Prairial, an III</w:t>
      </w:r>
      <w:r w:rsidRPr="00EA722E">
        <w:rPr>
          <w:sz w:val="20"/>
          <w:szCs w:val="20"/>
          <w:lang w:val="fr-FR"/>
        </w:rPr>
        <w:t xml:space="preserve"> (2 juin 1795), Paris, Imprimerie de la République, Prairial, an III, p. 12 : « Douce fraternité, paix charmante, accord de tous les citoyens entr'eux, quand donc reviendrez-vous consoler ces régions désolées ! »</w:t>
      </w:r>
      <w:r w:rsidR="00A713AD">
        <w:rPr>
          <w:sz w:val="20"/>
          <w:szCs w:val="20"/>
          <w:lang w:val="fr-FR"/>
        </w:rPr>
        <w:t xml:space="preserve"> </w:t>
      </w:r>
      <w:r w:rsidR="00A713AD" w:rsidRPr="00004B47">
        <w:rPr>
          <w:sz w:val="20"/>
          <w:szCs w:val="20"/>
          <w:lang w:val="fr-FR"/>
        </w:rPr>
        <w:t xml:space="preserve">Per la versione del </w:t>
      </w:r>
      <w:r w:rsidR="00A713AD" w:rsidRPr="00A713AD">
        <w:rPr>
          <w:i/>
          <w:sz w:val="20"/>
          <w:szCs w:val="20"/>
          <w:lang w:val="fr-FR"/>
        </w:rPr>
        <w:t>Moniteur</w:t>
      </w:r>
      <w:r w:rsidR="00A713AD" w:rsidRPr="00004B47">
        <w:rPr>
          <w:i/>
          <w:sz w:val="20"/>
          <w:szCs w:val="20"/>
          <w:lang w:val="fr-FR"/>
        </w:rPr>
        <w:t xml:space="preserve"> </w:t>
      </w:r>
      <w:r w:rsidR="00A713AD" w:rsidRPr="00004B47">
        <w:rPr>
          <w:sz w:val="20"/>
          <w:szCs w:val="20"/>
          <w:lang w:val="fr-FR"/>
        </w:rPr>
        <w:t xml:space="preserve">cfr. </w:t>
      </w:r>
      <w:r w:rsidR="00A713AD" w:rsidRPr="00AA3BB6">
        <w:rPr>
          <w:i/>
          <w:sz w:val="20"/>
          <w:szCs w:val="20"/>
          <w:lang w:val="fr-FR"/>
        </w:rPr>
        <w:t>Réimpression de l'Ancien Moniteur</w:t>
      </w:r>
      <w:r w:rsidR="00A713AD" w:rsidRPr="00AA3BB6">
        <w:rPr>
          <w:sz w:val="20"/>
          <w:szCs w:val="20"/>
          <w:lang w:val="fr-FR"/>
        </w:rPr>
        <w:t>, tome XXIV</w:t>
      </w:r>
      <w:r w:rsidR="00A713AD">
        <w:rPr>
          <w:sz w:val="20"/>
          <w:szCs w:val="20"/>
          <w:lang w:val="fr-FR"/>
        </w:rPr>
        <w:t xml:space="preserve">, Paris, </w:t>
      </w:r>
      <w:r w:rsidR="00A713AD" w:rsidRPr="00AA3BB6">
        <w:rPr>
          <w:sz w:val="20"/>
          <w:szCs w:val="20"/>
          <w:lang w:val="fr-FR"/>
        </w:rPr>
        <w:t>Plon</w:t>
      </w:r>
      <w:r w:rsidR="00A713AD">
        <w:rPr>
          <w:sz w:val="20"/>
          <w:szCs w:val="20"/>
          <w:lang w:val="fr-FR"/>
        </w:rPr>
        <w:t xml:space="preserve"> Frères</w:t>
      </w:r>
      <w:r w:rsidR="00A713AD" w:rsidRPr="00AA3BB6">
        <w:rPr>
          <w:sz w:val="20"/>
          <w:szCs w:val="20"/>
          <w:lang w:val="fr-FR"/>
        </w:rPr>
        <w:t>, 1854, pp. 607 – 612 : p. 610.</w:t>
      </w:r>
    </w:p>
    <w:p w14:paraId="25232C29" w14:textId="33721085" w:rsidR="000E02EF" w:rsidRPr="00EA722E" w:rsidRDefault="000E02EF" w:rsidP="000E02EF">
      <w:pPr>
        <w:jc w:val="both"/>
        <w:rPr>
          <w:sz w:val="20"/>
          <w:szCs w:val="20"/>
          <w:lang w:val="fr-FR"/>
        </w:rPr>
      </w:pPr>
    </w:p>
    <w:p w14:paraId="09F435C6" w14:textId="6A376A6D" w:rsidR="000E02EF" w:rsidRPr="000E02EF" w:rsidRDefault="000E02EF">
      <w:pPr>
        <w:pStyle w:val="Testonotaapidipagina"/>
        <w:rPr>
          <w:lang w:val="fr-FR"/>
        </w:rPr>
      </w:pPr>
    </w:p>
  </w:footnote>
  <w:footnote w:id="57">
    <w:p w14:paraId="4B41385A" w14:textId="5F362D55" w:rsidR="00570278" w:rsidRDefault="00570278" w:rsidP="00570278">
      <w:pPr>
        <w:jc w:val="both"/>
        <w:rPr>
          <w:sz w:val="20"/>
          <w:szCs w:val="20"/>
          <w:lang w:val="fr-FR"/>
        </w:rPr>
      </w:pPr>
      <w:r>
        <w:rPr>
          <w:rStyle w:val="Rimandonotaapidipagina"/>
        </w:rPr>
        <w:footnoteRef/>
      </w:r>
      <w:r w:rsidRPr="00570278">
        <w:rPr>
          <w:lang w:val="fr-FR"/>
        </w:rPr>
        <w:t xml:space="preserve"> </w:t>
      </w:r>
      <w:r w:rsidRPr="00A80DF3">
        <w:rPr>
          <w:sz w:val="20"/>
          <w:szCs w:val="20"/>
          <w:lang w:val="fr-FR"/>
        </w:rPr>
        <w:t xml:space="preserve">Sull’interpretazione della formula «fraternité ou la mort» cfr.  M. David, </w:t>
      </w:r>
      <w:r w:rsidRPr="00A80DF3">
        <w:rPr>
          <w:i/>
          <w:sz w:val="20"/>
          <w:szCs w:val="20"/>
          <w:lang w:val="fr-FR"/>
        </w:rPr>
        <w:t>Fraternité et Révolution française</w:t>
      </w:r>
      <w:r w:rsidRPr="00A80DF3">
        <w:rPr>
          <w:sz w:val="20"/>
          <w:szCs w:val="20"/>
          <w:lang w:val="fr-FR"/>
        </w:rPr>
        <w:t xml:space="preserve">, Paris, Aubier, 1987, pp. 166-197 ; A. Simonin, </w:t>
      </w:r>
      <w:r w:rsidRPr="00A80DF3">
        <w:rPr>
          <w:i/>
          <w:sz w:val="20"/>
          <w:szCs w:val="20"/>
          <w:lang w:val="fr-FR"/>
        </w:rPr>
        <w:t>Le déshonneur dans la république. Une histoire de l’indignité 1791-1958</w:t>
      </w:r>
      <w:r w:rsidRPr="00A80DF3">
        <w:rPr>
          <w:sz w:val="20"/>
          <w:szCs w:val="20"/>
          <w:lang w:val="fr-FR"/>
        </w:rPr>
        <w:t xml:space="preserve">, Paris, Grasset, 2008, pp. 37, 222-226 ; M. Biard, </w:t>
      </w:r>
      <w:r w:rsidRPr="00A80DF3">
        <w:rPr>
          <w:i/>
          <w:sz w:val="20"/>
          <w:szCs w:val="20"/>
          <w:lang w:val="fr-FR"/>
        </w:rPr>
        <w:t xml:space="preserve">La liberté ou la mort. </w:t>
      </w:r>
      <w:r w:rsidRPr="00A80DF3">
        <w:rPr>
          <w:i/>
          <w:sz w:val="20"/>
          <w:szCs w:val="20"/>
        </w:rPr>
        <w:t>Mourir en député</w:t>
      </w:r>
      <w:r w:rsidRPr="00A80DF3">
        <w:rPr>
          <w:sz w:val="20"/>
          <w:szCs w:val="20"/>
        </w:rPr>
        <w:t>, Paris, Tallandier, 2015, p. 261: note 13. La manipolazione termidoriana del significato di «ou la mort», come morte da infliggere agli altri (suggerita sembra per la prima volta da Chamfort) può essere smontata con l’indagine lessicometrica, cercando nei corpora digitalizzati le cooccorrenze di «fraternité» e</w:t>
      </w:r>
      <w:r w:rsidR="00373105">
        <w:rPr>
          <w:sz w:val="20"/>
          <w:szCs w:val="20"/>
        </w:rPr>
        <w:t xml:space="preserve"> la stringa della famiglia lessicale di «mort</w:t>
      </w:r>
      <w:r w:rsidRPr="00A80DF3">
        <w:rPr>
          <w:sz w:val="20"/>
          <w:szCs w:val="20"/>
        </w:rPr>
        <w:t xml:space="preserve">». </w:t>
      </w:r>
      <w:r w:rsidRPr="00A80DF3">
        <w:rPr>
          <w:sz w:val="20"/>
          <w:szCs w:val="20"/>
          <w:lang w:val="fr-FR"/>
        </w:rPr>
        <w:t xml:space="preserve">Cfr., per esempio, </w:t>
      </w:r>
      <w:r w:rsidRPr="00A80DF3">
        <w:rPr>
          <w:i/>
          <w:sz w:val="20"/>
          <w:szCs w:val="20"/>
          <w:lang w:val="fr-FR"/>
        </w:rPr>
        <w:t>Archives parlementaires</w:t>
      </w:r>
      <w:r w:rsidRPr="00A80DF3">
        <w:rPr>
          <w:sz w:val="20"/>
          <w:szCs w:val="20"/>
          <w:lang w:val="fr-FR"/>
        </w:rPr>
        <w:t xml:space="preserve">, vol. 77, p. 698 (Séance du 7 brumaire an </w:t>
      </w:r>
      <w:r w:rsidR="00373105" w:rsidRPr="00A80DF3">
        <w:rPr>
          <w:sz w:val="20"/>
          <w:szCs w:val="20"/>
          <w:lang w:val="fr-FR"/>
        </w:rPr>
        <w:t>II :</w:t>
      </w:r>
      <w:r w:rsidRPr="00A80DF3">
        <w:rPr>
          <w:sz w:val="20"/>
          <w:szCs w:val="20"/>
          <w:lang w:val="fr-FR"/>
        </w:rPr>
        <w:t xml:space="preserve"> 28 octobre 1793</w:t>
      </w:r>
      <w:r w:rsidR="00373105" w:rsidRPr="00A80DF3">
        <w:rPr>
          <w:sz w:val="20"/>
          <w:szCs w:val="20"/>
          <w:lang w:val="fr-FR"/>
        </w:rPr>
        <w:t>) :</w:t>
      </w:r>
      <w:r w:rsidRPr="00A80DF3">
        <w:rPr>
          <w:sz w:val="20"/>
          <w:szCs w:val="20"/>
          <w:lang w:val="fr-FR"/>
        </w:rPr>
        <w:t xml:space="preserve"> «La commune de Montoire a accepté avec joie cette Constitution, et renouvelle le serment de fidélité à la République une et indivisible et de maintenir de tout son pouvoir la liberté, l'égalité, la fraternité ou de mourir en les défendant». Non mi risultano riscontri testuali di un possibile terzo</w:t>
      </w:r>
      <w:r>
        <w:rPr>
          <w:sz w:val="20"/>
          <w:szCs w:val="20"/>
          <w:lang w:val="fr-FR"/>
        </w:rPr>
        <w:t xml:space="preserve"> significato (oltre a quelli di subire o di dare la morte) </w:t>
      </w:r>
      <w:r w:rsidRPr="00A80DF3">
        <w:rPr>
          <w:sz w:val="20"/>
          <w:szCs w:val="20"/>
          <w:lang w:val="fr-FR"/>
        </w:rPr>
        <w:t xml:space="preserve">dell’associazione tra «fraternité» e «mort» (sois mon frère que je te tue) : cfr. J. André, </w:t>
      </w:r>
      <w:r w:rsidRPr="00A80DF3">
        <w:rPr>
          <w:i/>
          <w:sz w:val="20"/>
          <w:szCs w:val="20"/>
          <w:lang w:val="fr-FR"/>
        </w:rPr>
        <w:t>La révolution fratricide : Essai de psychanalyse du lien social</w:t>
      </w:r>
      <w:r w:rsidRPr="00A80DF3">
        <w:rPr>
          <w:sz w:val="20"/>
          <w:szCs w:val="20"/>
          <w:lang w:val="fr-FR"/>
        </w:rPr>
        <w:t xml:space="preserve">, Paris, PUF, 1993, p. 182. </w:t>
      </w:r>
    </w:p>
    <w:p w14:paraId="04D2BB07" w14:textId="5A6F573D" w:rsidR="00570278" w:rsidRPr="00570278" w:rsidRDefault="00570278">
      <w:pPr>
        <w:pStyle w:val="Testonotaapidipagina"/>
        <w:rPr>
          <w:lang w:val="fr-FR"/>
        </w:rPr>
      </w:pPr>
    </w:p>
  </w:footnote>
  <w:footnote w:id="58">
    <w:p w14:paraId="63857C5A" w14:textId="77777777" w:rsidR="00570278" w:rsidRPr="00A80DF3" w:rsidRDefault="00570278" w:rsidP="00570278">
      <w:pPr>
        <w:jc w:val="both"/>
        <w:rPr>
          <w:sz w:val="20"/>
          <w:szCs w:val="20"/>
          <w:lang w:val="fr-FR"/>
        </w:rPr>
      </w:pPr>
      <w:r>
        <w:rPr>
          <w:rStyle w:val="Rimandonotaapidipagina"/>
        </w:rPr>
        <w:footnoteRef/>
      </w:r>
      <w:r w:rsidRPr="00570278">
        <w:rPr>
          <w:lang w:val="fr-FR"/>
        </w:rPr>
        <w:t xml:space="preserve"> </w:t>
      </w:r>
      <w:r w:rsidRPr="00836AAB">
        <w:rPr>
          <w:sz w:val="20"/>
          <w:szCs w:val="20"/>
          <w:lang w:val="fr-FR"/>
        </w:rPr>
        <w:t>Cfr. C. Vetter,</w:t>
      </w:r>
      <w:r>
        <w:rPr>
          <w:sz w:val="20"/>
          <w:szCs w:val="20"/>
          <w:lang w:val="fr-FR"/>
        </w:rPr>
        <w:t xml:space="preserve"> </w:t>
      </w:r>
      <w:r w:rsidRPr="00A80DF3">
        <w:rPr>
          <w:sz w:val="20"/>
          <w:szCs w:val="20"/>
          <w:lang w:val="fr-FR"/>
        </w:rPr>
        <w:t>« “Système de terreur” et “système de la terreur” dans le lexique de la Révolution française », Révolution-française.net, octobre 2014, URL : &lt;http://revolution-francaise.net/2014/10/23/594-systeme-de-terreur-et-systeme-de-laterreur-dans-le-lexique-de-la-revolution-francaise&gt;</w:t>
      </w:r>
    </w:p>
    <w:p w14:paraId="788D722A" w14:textId="71A63429" w:rsidR="00570278" w:rsidRPr="00570278" w:rsidRDefault="00570278">
      <w:pPr>
        <w:pStyle w:val="Testonotaapidipagina"/>
        <w:rPr>
          <w:lang w:val="fr-FR"/>
        </w:rPr>
      </w:pPr>
    </w:p>
  </w:footnote>
  <w:footnote w:id="59">
    <w:p w14:paraId="515506EF" w14:textId="77777777" w:rsidR="00A02FAA" w:rsidRPr="006706A4" w:rsidRDefault="008D3335" w:rsidP="00A02FAA">
      <w:pPr>
        <w:jc w:val="both"/>
        <w:rPr>
          <w:sz w:val="20"/>
          <w:szCs w:val="20"/>
        </w:rPr>
      </w:pPr>
      <w:r>
        <w:rPr>
          <w:rStyle w:val="Rimandonotaapidipagina"/>
        </w:rPr>
        <w:footnoteRef/>
      </w:r>
      <w:r>
        <w:t xml:space="preserve"> </w:t>
      </w:r>
      <w:r w:rsidRPr="008D3335">
        <w:rPr>
          <w:rFonts w:ascii="Times New Roman" w:hAnsi="Times New Roman" w:cs="Times New Roman"/>
          <w:sz w:val="20"/>
          <w:szCs w:val="20"/>
        </w:rPr>
        <w:t xml:space="preserve">Utili spunti per una messa in prospettiva dell’evoluzione del concetto di fraternità nel lungo periodo in </w:t>
      </w:r>
      <w:r w:rsidRPr="008D3335">
        <w:rPr>
          <w:rFonts w:ascii="Times New Roman" w:hAnsi="Times New Roman" w:cs="Times New Roman"/>
          <w:color w:val="333333"/>
          <w:sz w:val="20"/>
          <w:szCs w:val="20"/>
        </w:rPr>
        <w:t xml:space="preserve">G. Bertrand, C. Brice, G. Montègre (sous la direction de), </w:t>
      </w:r>
      <w:r w:rsidRPr="008D3335">
        <w:rPr>
          <w:rFonts w:ascii="Times New Roman" w:hAnsi="Times New Roman" w:cs="Times New Roman"/>
          <w:i/>
          <w:color w:val="333333"/>
          <w:sz w:val="20"/>
          <w:szCs w:val="20"/>
        </w:rPr>
        <w:t xml:space="preserve">Fraternité. </w:t>
      </w:r>
      <w:r w:rsidRPr="008D3335">
        <w:rPr>
          <w:rFonts w:ascii="Times New Roman" w:hAnsi="Times New Roman" w:cs="Times New Roman"/>
          <w:i/>
          <w:color w:val="333333"/>
          <w:sz w:val="20"/>
          <w:szCs w:val="20"/>
          <w:lang w:val="fr-FR"/>
        </w:rPr>
        <w:t>Pour une histoire du concept</w:t>
      </w:r>
      <w:r w:rsidRPr="008D3335">
        <w:rPr>
          <w:rFonts w:ascii="Times New Roman" w:hAnsi="Times New Roman" w:cs="Times New Roman"/>
          <w:color w:val="333333"/>
          <w:sz w:val="20"/>
          <w:szCs w:val="20"/>
          <w:lang w:val="fr-FR"/>
        </w:rPr>
        <w:t>, Grenoble, Les Cahiers du CRHIPA, 2012.</w:t>
      </w:r>
      <w:r w:rsidR="00A02FAA">
        <w:rPr>
          <w:rFonts w:ascii="Times New Roman" w:hAnsi="Times New Roman" w:cs="Times New Roman"/>
          <w:color w:val="333333"/>
          <w:sz w:val="20"/>
          <w:szCs w:val="20"/>
          <w:lang w:val="fr-FR"/>
        </w:rPr>
        <w:t xml:space="preserve"> </w:t>
      </w:r>
      <w:r w:rsidR="00A02FAA" w:rsidRPr="006706A4">
        <w:rPr>
          <w:sz w:val="20"/>
          <w:szCs w:val="20"/>
        </w:rPr>
        <w:t>Cfr. inoltre G. Panella, «</w:t>
      </w:r>
      <w:r w:rsidR="00A02FAA" w:rsidRPr="006706A4">
        <w:rPr>
          <w:iCs/>
          <w:sz w:val="20"/>
          <w:szCs w:val="20"/>
        </w:rPr>
        <w:t>Fraternité. Semantica di un concetto</w:t>
      </w:r>
      <w:r w:rsidR="00A02FAA" w:rsidRPr="006706A4">
        <w:rPr>
          <w:sz w:val="20"/>
          <w:szCs w:val="20"/>
        </w:rPr>
        <w:t xml:space="preserve">», </w:t>
      </w:r>
      <w:r w:rsidR="00A02FAA" w:rsidRPr="006706A4">
        <w:rPr>
          <w:i/>
          <w:sz w:val="20"/>
          <w:szCs w:val="20"/>
        </w:rPr>
        <w:t>Teoria politica</w:t>
      </w:r>
      <w:r w:rsidR="00A02FAA" w:rsidRPr="006706A4">
        <w:rPr>
          <w:sz w:val="20"/>
          <w:szCs w:val="20"/>
        </w:rPr>
        <w:t>, 2 -3, 1989, pp. 143-166.</w:t>
      </w:r>
    </w:p>
    <w:p w14:paraId="49F71FDF" w14:textId="3EC1C7C5" w:rsidR="008D3335" w:rsidRPr="00A02FAA" w:rsidRDefault="008D3335" w:rsidP="008D3335">
      <w:pPr>
        <w:jc w:val="both"/>
        <w:rPr>
          <w:rFonts w:ascii="Times New Roman" w:hAnsi="Times New Roman" w:cs="Times New Roman"/>
          <w:sz w:val="20"/>
          <w:szCs w:val="20"/>
        </w:rPr>
      </w:pPr>
    </w:p>
    <w:p w14:paraId="4D964CC2" w14:textId="4853D345" w:rsidR="008D3335" w:rsidRPr="00A02FAA" w:rsidRDefault="008D3335">
      <w:pPr>
        <w:pStyle w:val="Testonotaapidipagina"/>
      </w:pPr>
    </w:p>
  </w:footnote>
  <w:footnote w:id="60">
    <w:p w14:paraId="5A1BD208" w14:textId="77777777" w:rsidR="008D3335" w:rsidRPr="008D3335" w:rsidRDefault="008D3335" w:rsidP="008D3335">
      <w:pPr>
        <w:jc w:val="both"/>
        <w:rPr>
          <w:rFonts w:ascii="Times New Roman" w:hAnsi="Times New Roman" w:cs="Times New Roman"/>
          <w:sz w:val="20"/>
          <w:szCs w:val="20"/>
          <w:lang w:val="fr-FR"/>
        </w:rPr>
      </w:pPr>
      <w:r>
        <w:rPr>
          <w:rStyle w:val="Rimandonotaapidipagina"/>
        </w:rPr>
        <w:footnoteRef/>
      </w:r>
      <w:r w:rsidRPr="008D3335">
        <w:rPr>
          <w:lang w:val="fr-FR"/>
        </w:rPr>
        <w:t xml:space="preserve"> </w:t>
      </w:r>
      <w:r w:rsidRPr="008D3335">
        <w:rPr>
          <w:rFonts w:ascii="Times New Roman" w:hAnsi="Times New Roman" w:cs="Times New Roman"/>
          <w:sz w:val="20"/>
          <w:szCs w:val="20"/>
          <w:lang w:val="fr-FR"/>
        </w:rPr>
        <w:t xml:space="preserve">Cfr. F. Brahami, O. Roynette, </w:t>
      </w:r>
      <w:r w:rsidRPr="008D3335">
        <w:rPr>
          <w:rFonts w:ascii="Times New Roman" w:hAnsi="Times New Roman" w:cs="Times New Roman"/>
          <w:i/>
          <w:sz w:val="20"/>
          <w:szCs w:val="20"/>
          <w:lang w:val="fr-FR"/>
        </w:rPr>
        <w:t>Introduction</w:t>
      </w:r>
      <w:r w:rsidRPr="008D3335">
        <w:rPr>
          <w:rFonts w:ascii="Times New Roman" w:hAnsi="Times New Roman" w:cs="Times New Roman"/>
          <w:sz w:val="20"/>
          <w:szCs w:val="20"/>
          <w:lang w:val="fr-FR"/>
        </w:rPr>
        <w:t xml:space="preserve">, in F. Brahami, O. Roynette (sous la direction), </w:t>
      </w:r>
      <w:r w:rsidRPr="008D3335">
        <w:rPr>
          <w:rFonts w:ascii="Times New Roman" w:hAnsi="Times New Roman" w:cs="Times New Roman"/>
          <w:i/>
          <w:sz w:val="20"/>
          <w:szCs w:val="20"/>
          <w:lang w:val="fr-FR"/>
        </w:rPr>
        <w:t>Fraternité : Regards croisés</w:t>
      </w:r>
      <w:r w:rsidRPr="008D3335">
        <w:rPr>
          <w:rFonts w:ascii="Times New Roman" w:hAnsi="Times New Roman" w:cs="Times New Roman"/>
          <w:sz w:val="20"/>
          <w:szCs w:val="20"/>
          <w:lang w:val="fr-FR"/>
        </w:rPr>
        <w:t>, Besançon, Presses universitaires de Franche-Comté, 2010, pp. 7-10.</w:t>
      </w:r>
    </w:p>
    <w:p w14:paraId="7C596046" w14:textId="2EC63053" w:rsidR="008D3335" w:rsidRPr="008D3335" w:rsidRDefault="008D3335">
      <w:pPr>
        <w:pStyle w:val="Testonotaapidipagina"/>
        <w:rPr>
          <w:lang w:val="fr-FR"/>
        </w:rPr>
      </w:pPr>
    </w:p>
  </w:footnote>
  <w:footnote w:id="61">
    <w:p w14:paraId="325AD48C" w14:textId="77777777" w:rsidR="00457F95" w:rsidRPr="001C6857" w:rsidRDefault="00457F95" w:rsidP="00457F95">
      <w:pPr>
        <w:jc w:val="both"/>
        <w:rPr>
          <w:sz w:val="20"/>
          <w:szCs w:val="20"/>
          <w:lang w:val="fr-FR"/>
        </w:rPr>
      </w:pPr>
      <w:r>
        <w:rPr>
          <w:rStyle w:val="Rimandonotaapidipagina"/>
        </w:rPr>
        <w:footnoteRef/>
      </w:r>
      <w:r w:rsidRPr="00457F95">
        <w:rPr>
          <w:lang w:val="fr-FR"/>
        </w:rPr>
        <w:t xml:space="preserve"> </w:t>
      </w:r>
      <w:r w:rsidRPr="001C6857">
        <w:rPr>
          <w:sz w:val="20"/>
          <w:szCs w:val="20"/>
          <w:lang w:val="fr-FR"/>
        </w:rPr>
        <w:t xml:space="preserve">Sulle capacità performative di «fraternité» insiste M. Hunyadi, </w:t>
      </w:r>
      <w:r w:rsidRPr="001C6857">
        <w:rPr>
          <w:i/>
          <w:sz w:val="20"/>
          <w:szCs w:val="20"/>
          <w:lang w:val="fr-FR"/>
        </w:rPr>
        <w:t>Dangereuse fraternité?</w:t>
      </w:r>
      <w:r w:rsidRPr="001C6857">
        <w:rPr>
          <w:sz w:val="20"/>
          <w:szCs w:val="20"/>
          <w:lang w:val="fr-FR"/>
        </w:rPr>
        <w:t xml:space="preserve">, in O. Inkova (sous la direction), </w:t>
      </w:r>
      <w:r w:rsidRPr="001C6857">
        <w:rPr>
          <w:i/>
          <w:sz w:val="20"/>
          <w:szCs w:val="20"/>
          <w:lang w:val="fr-FR"/>
        </w:rPr>
        <w:t>Justice, liberté, égalité, fraternité </w:t>
      </w:r>
      <w:r w:rsidRPr="001C6857">
        <w:rPr>
          <w:sz w:val="20"/>
          <w:szCs w:val="20"/>
          <w:lang w:val="fr-FR"/>
        </w:rPr>
        <w:t xml:space="preserve">: </w:t>
      </w:r>
      <w:r w:rsidRPr="001C6857">
        <w:rPr>
          <w:i/>
          <w:sz w:val="20"/>
          <w:szCs w:val="20"/>
          <w:lang w:val="fr-FR"/>
        </w:rPr>
        <w:t>sur quelques valeurs fondamentales de la démocratie européenne</w:t>
      </w:r>
      <w:r w:rsidRPr="001C6857">
        <w:rPr>
          <w:sz w:val="20"/>
          <w:szCs w:val="20"/>
          <w:lang w:val="fr-FR"/>
        </w:rPr>
        <w:t xml:space="preserve">, Genève, Institut européen de l’Université de Genève, 2006, pp. 153-172. Cfr. inoltre J.-P. Rosa, </w:t>
      </w:r>
      <w:r w:rsidRPr="001C6857">
        <w:rPr>
          <w:i/>
          <w:sz w:val="20"/>
          <w:szCs w:val="20"/>
          <w:lang w:val="fr-FR"/>
        </w:rPr>
        <w:t>La dynamique de la fraternité. Une fraternité sans père ?</w:t>
      </w:r>
      <w:r w:rsidRPr="001C6857">
        <w:rPr>
          <w:sz w:val="20"/>
          <w:szCs w:val="20"/>
          <w:lang w:val="fr-FR"/>
        </w:rPr>
        <w:t xml:space="preserve">, in M. –Jo Thiel, M. Feix (éditeurs), </w:t>
      </w:r>
      <w:r w:rsidRPr="001C6857">
        <w:rPr>
          <w:i/>
          <w:sz w:val="20"/>
          <w:szCs w:val="20"/>
          <w:lang w:val="fr-FR"/>
        </w:rPr>
        <w:t>Le défi de la fraternité</w:t>
      </w:r>
      <w:r w:rsidRPr="001C6857">
        <w:rPr>
          <w:sz w:val="20"/>
          <w:szCs w:val="20"/>
          <w:lang w:val="fr-FR"/>
        </w:rPr>
        <w:t>, Zürich, Lit Verlag, 2018, pp. 45 – 57.</w:t>
      </w:r>
    </w:p>
    <w:p w14:paraId="6198CB96" w14:textId="77777777" w:rsidR="00457F95" w:rsidRPr="001C6857" w:rsidRDefault="00457F95" w:rsidP="00457F95">
      <w:pPr>
        <w:rPr>
          <w:sz w:val="20"/>
          <w:szCs w:val="20"/>
          <w:lang w:val="fr-FR"/>
        </w:rPr>
      </w:pPr>
    </w:p>
    <w:p w14:paraId="6775CCB5" w14:textId="53C2DFD3" w:rsidR="00457F95" w:rsidRPr="00457F95" w:rsidRDefault="00457F95">
      <w:pPr>
        <w:pStyle w:val="Testonotaapidipagina"/>
        <w:rPr>
          <w:lang w:val="fr-FR"/>
        </w:rPr>
      </w:pPr>
    </w:p>
  </w:footnote>
  <w:footnote w:id="62">
    <w:p w14:paraId="29B7E969" w14:textId="77777777" w:rsidR="002915AE" w:rsidRPr="002915AE" w:rsidRDefault="002915AE" w:rsidP="002915AE">
      <w:pPr>
        <w:jc w:val="both"/>
        <w:rPr>
          <w:rFonts w:ascii="Times New Roman" w:hAnsi="Times New Roman" w:cs="Times New Roman"/>
          <w:sz w:val="20"/>
          <w:szCs w:val="20"/>
          <w:lang w:val="en-US"/>
        </w:rPr>
      </w:pPr>
      <w:r>
        <w:rPr>
          <w:rStyle w:val="Rimandonotaapidipagina"/>
        </w:rPr>
        <w:footnoteRef/>
      </w:r>
      <w:r w:rsidRPr="002915AE">
        <w:rPr>
          <w:lang w:val="en-US"/>
        </w:rPr>
        <w:t xml:space="preserve"> </w:t>
      </w:r>
      <w:r w:rsidRPr="002915AE">
        <w:rPr>
          <w:rFonts w:ascii="Times New Roman" w:hAnsi="Times New Roman" w:cs="Times New Roman"/>
          <w:sz w:val="20"/>
          <w:szCs w:val="20"/>
          <w:lang w:val="en-US"/>
        </w:rPr>
        <w:t>Sulla nozione di significante vuoto cfr. E. Laclau, «Why do Empty Signifiers Matter to Politics?»,</w:t>
      </w:r>
      <w:r w:rsidRPr="002915AE">
        <w:rPr>
          <w:rFonts w:ascii="Times New Roman" w:hAnsi="Times New Roman" w:cs="Times New Roman"/>
          <w:i/>
          <w:sz w:val="20"/>
          <w:szCs w:val="20"/>
          <w:lang w:val="en-US"/>
        </w:rPr>
        <w:t xml:space="preserve"> </w:t>
      </w:r>
      <w:r w:rsidRPr="002915AE">
        <w:rPr>
          <w:rFonts w:ascii="Times New Roman" w:hAnsi="Times New Roman" w:cs="Times New Roman"/>
          <w:sz w:val="20"/>
          <w:szCs w:val="20"/>
          <w:lang w:val="en-US"/>
        </w:rPr>
        <w:t xml:space="preserve">in </w:t>
      </w:r>
      <w:r w:rsidRPr="002915AE">
        <w:rPr>
          <w:rFonts w:ascii="Times New Roman" w:hAnsi="Times New Roman" w:cs="Times New Roman"/>
          <w:i/>
          <w:sz w:val="20"/>
          <w:szCs w:val="20"/>
          <w:lang w:val="en-US"/>
        </w:rPr>
        <w:t>Emancipation(s)</w:t>
      </w:r>
      <w:r w:rsidRPr="002915AE">
        <w:rPr>
          <w:rFonts w:ascii="Times New Roman" w:hAnsi="Times New Roman" w:cs="Times New Roman"/>
          <w:sz w:val="20"/>
          <w:szCs w:val="20"/>
          <w:lang w:val="en-US"/>
        </w:rPr>
        <w:t xml:space="preserve">, London- New York, Verso, 1996, pp. 36-46; Idem, «Populism: What’s in a Name?», in F. Panizza (edited by),  </w:t>
      </w:r>
      <w:r w:rsidRPr="002915AE">
        <w:rPr>
          <w:rFonts w:ascii="Times New Roman" w:hAnsi="Times New Roman" w:cs="Times New Roman"/>
          <w:i/>
          <w:sz w:val="20"/>
          <w:szCs w:val="20"/>
          <w:lang w:val="en-US"/>
        </w:rPr>
        <w:t>Populism and the Mirror of Democracy</w:t>
      </w:r>
      <w:r w:rsidRPr="002915AE">
        <w:rPr>
          <w:rFonts w:ascii="Times New Roman" w:hAnsi="Times New Roman" w:cs="Times New Roman"/>
          <w:sz w:val="20"/>
          <w:szCs w:val="20"/>
          <w:lang w:val="en-US"/>
        </w:rPr>
        <w:t xml:space="preserve">, London-New York, Verso, 2005, pp. 32-49; Idem, « Why Constructing a People is the Main Task of Radical Politics », </w:t>
      </w:r>
      <w:r w:rsidRPr="002915AE">
        <w:rPr>
          <w:rFonts w:ascii="Times New Roman" w:hAnsi="Times New Roman" w:cs="Times New Roman"/>
          <w:i/>
          <w:sz w:val="20"/>
          <w:szCs w:val="20"/>
          <w:lang w:val="en-US"/>
        </w:rPr>
        <w:t>Critical Inquiry</w:t>
      </w:r>
      <w:r w:rsidRPr="002915AE">
        <w:rPr>
          <w:rFonts w:ascii="Times New Roman" w:hAnsi="Times New Roman" w:cs="Times New Roman"/>
          <w:sz w:val="20"/>
          <w:szCs w:val="20"/>
          <w:lang w:val="en-US"/>
        </w:rPr>
        <w:t xml:space="preserve">, Vol. 32, No. 4 (Summer 2006), pp. 646-680. </w:t>
      </w:r>
      <w:r w:rsidRPr="002915AE">
        <w:rPr>
          <w:rFonts w:ascii="Times New Roman" w:hAnsi="Times New Roman" w:cs="Times New Roman"/>
          <w:sz w:val="20"/>
          <w:szCs w:val="20"/>
        </w:rPr>
        <w:t xml:space="preserve">Per la distinzione introdotta successivamente da Laclau tra significanti vuoti e significanti fluttuanti cfr. E. Laclau, </w:t>
      </w:r>
      <w:r w:rsidRPr="002915AE">
        <w:rPr>
          <w:rFonts w:ascii="Times New Roman" w:hAnsi="Times New Roman" w:cs="Times New Roman"/>
          <w:i/>
          <w:sz w:val="20"/>
          <w:szCs w:val="20"/>
        </w:rPr>
        <w:t>On Populist Reason</w:t>
      </w:r>
      <w:r w:rsidRPr="002915AE">
        <w:rPr>
          <w:rFonts w:ascii="Times New Roman" w:hAnsi="Times New Roman" w:cs="Times New Roman"/>
          <w:sz w:val="20"/>
          <w:szCs w:val="20"/>
        </w:rPr>
        <w:t xml:space="preserve">, London- New York, Verso, 2005, pp. 129 ss.; Idem, </w:t>
      </w:r>
      <w:r w:rsidRPr="002915AE">
        <w:rPr>
          <w:rFonts w:ascii="Times New Roman" w:hAnsi="Times New Roman" w:cs="Times New Roman"/>
          <w:i/>
          <w:sz w:val="20"/>
          <w:szCs w:val="20"/>
        </w:rPr>
        <w:t>The Rhetorical Foundations of Society</w:t>
      </w:r>
      <w:r w:rsidRPr="002915AE">
        <w:rPr>
          <w:rFonts w:ascii="Times New Roman" w:hAnsi="Times New Roman" w:cs="Times New Roman"/>
          <w:sz w:val="20"/>
          <w:szCs w:val="20"/>
        </w:rPr>
        <w:t xml:space="preserve">, London- New York, Verso, 2014. </w:t>
      </w:r>
      <w:r w:rsidRPr="002915AE">
        <w:rPr>
          <w:rFonts w:ascii="Times New Roman" w:hAnsi="Times New Roman" w:cs="Times New Roman"/>
          <w:sz w:val="20"/>
          <w:szCs w:val="20"/>
          <w:lang w:val="en-US"/>
        </w:rPr>
        <w:t xml:space="preserve">Cfr.inoltre Ch. Kølvraa, «The discourse theory of Ernesto Laclau »in R. Wodak, B. Forchtner (edited by), </w:t>
      </w:r>
      <w:r w:rsidRPr="002915AE">
        <w:rPr>
          <w:rFonts w:ascii="Times New Roman" w:hAnsi="Times New Roman" w:cs="Times New Roman"/>
          <w:i/>
          <w:sz w:val="20"/>
          <w:szCs w:val="20"/>
          <w:lang w:val="en-US"/>
        </w:rPr>
        <w:t>The Routledge Handbook of Language and Politics</w:t>
      </w:r>
      <w:r w:rsidRPr="002915AE">
        <w:rPr>
          <w:rFonts w:ascii="Times New Roman" w:hAnsi="Times New Roman" w:cs="Times New Roman"/>
          <w:sz w:val="20"/>
          <w:szCs w:val="20"/>
          <w:lang w:val="en-US"/>
        </w:rPr>
        <w:t>, London-New York, Routledge, 2018, pp. 96-108.</w:t>
      </w:r>
    </w:p>
    <w:p w14:paraId="12A7E73E" w14:textId="2AA77077" w:rsidR="002915AE" w:rsidRPr="002915AE" w:rsidRDefault="002915AE">
      <w:pPr>
        <w:pStyle w:val="Testonotaapidipagina"/>
        <w:rPr>
          <w:lang w:val="en-US"/>
        </w:rPr>
      </w:pPr>
    </w:p>
  </w:footnote>
  <w:footnote w:id="63">
    <w:p w14:paraId="2BEE58F9" w14:textId="045DAEFC" w:rsidR="009269AE" w:rsidRPr="001465FC" w:rsidRDefault="009269AE" w:rsidP="009269AE">
      <w:pPr>
        <w:jc w:val="both"/>
        <w:rPr>
          <w:sz w:val="20"/>
          <w:szCs w:val="20"/>
          <w:lang w:val="fr-FR"/>
        </w:rPr>
      </w:pPr>
      <w:r>
        <w:rPr>
          <w:rStyle w:val="Rimandonotaapidipagina"/>
        </w:rPr>
        <w:footnoteRef/>
      </w:r>
      <w:r>
        <w:t xml:space="preserve"> </w:t>
      </w:r>
      <w:r w:rsidRPr="002D79E9">
        <w:rPr>
          <w:sz w:val="20"/>
          <w:szCs w:val="20"/>
        </w:rPr>
        <w:t>Per un primo orientamento sulla fraternità nella forma conflittuale dei fratelli nemici cfr. in particolare R. Girard</w:t>
      </w:r>
      <w:r w:rsidRPr="002D79E9">
        <w:rPr>
          <w:i/>
          <w:sz w:val="20"/>
          <w:szCs w:val="20"/>
        </w:rPr>
        <w:t>, La Violence et le sacré</w:t>
      </w:r>
      <w:r w:rsidRPr="002D79E9">
        <w:rPr>
          <w:sz w:val="20"/>
          <w:szCs w:val="20"/>
        </w:rPr>
        <w:t xml:space="preserve">, Paris, Grasset, 1972, </w:t>
      </w:r>
      <w:r w:rsidRPr="002D79E9">
        <w:rPr>
          <w:i/>
          <w:sz w:val="20"/>
          <w:szCs w:val="20"/>
        </w:rPr>
        <w:t>passim</w:t>
      </w:r>
      <w:r w:rsidRPr="002D79E9">
        <w:rPr>
          <w:sz w:val="20"/>
          <w:szCs w:val="20"/>
        </w:rPr>
        <w:t xml:space="preserve">. </w:t>
      </w:r>
      <w:r w:rsidRPr="001465FC">
        <w:rPr>
          <w:sz w:val="20"/>
          <w:szCs w:val="20"/>
          <w:lang w:val="fr-FR"/>
        </w:rPr>
        <w:t>Cfr. inoltre</w:t>
      </w:r>
      <w:r w:rsidR="001465FC">
        <w:rPr>
          <w:sz w:val="20"/>
          <w:szCs w:val="20"/>
          <w:lang w:val="fr-FR"/>
        </w:rPr>
        <w:t xml:space="preserve"> </w:t>
      </w:r>
      <w:bookmarkStart w:id="6" w:name="_GoBack"/>
      <w:bookmarkEnd w:id="6"/>
      <w:r w:rsidR="001465FC" w:rsidRPr="001465FC">
        <w:rPr>
          <w:sz w:val="20"/>
          <w:szCs w:val="20"/>
          <w:lang w:val="fr-FR"/>
        </w:rPr>
        <w:t xml:space="preserve"> </w:t>
      </w:r>
      <w:r w:rsidR="001465FC" w:rsidRPr="00F80A14">
        <w:rPr>
          <w:sz w:val="20"/>
          <w:szCs w:val="20"/>
          <w:lang w:val="fr-FR"/>
        </w:rPr>
        <w:t xml:space="preserve">J. Le Goff, «Le frère-ennemi ou le </w:t>
      </w:r>
      <w:r w:rsidR="001465FC">
        <w:rPr>
          <w:sz w:val="20"/>
          <w:szCs w:val="20"/>
          <w:lang w:val="fr-FR"/>
        </w:rPr>
        <w:t>tragique de la fraternité</w:t>
      </w:r>
      <w:r w:rsidR="001465FC" w:rsidRPr="00F80A14">
        <w:rPr>
          <w:sz w:val="20"/>
          <w:szCs w:val="20"/>
          <w:lang w:val="fr-FR"/>
        </w:rPr>
        <w:t xml:space="preserve">», in </w:t>
      </w:r>
      <w:r w:rsidR="001465FC" w:rsidRPr="00F80A14">
        <w:rPr>
          <w:i/>
          <w:sz w:val="20"/>
          <w:szCs w:val="20"/>
          <w:lang w:val="fr-FR"/>
        </w:rPr>
        <w:t>Les droits de l’homme à l’aube du XIXe siècle</w:t>
      </w:r>
      <w:r w:rsidR="001465FC" w:rsidRPr="00F80A14">
        <w:rPr>
          <w:sz w:val="20"/>
          <w:szCs w:val="20"/>
          <w:lang w:val="fr-FR"/>
        </w:rPr>
        <w:t xml:space="preserve">, Bruxelles, Bruylant, 1999, pp. 1041 </w:t>
      </w:r>
      <w:r w:rsidR="001465FC">
        <w:rPr>
          <w:sz w:val="20"/>
          <w:szCs w:val="20"/>
          <w:lang w:val="fr-FR"/>
        </w:rPr>
        <w:t>–</w:t>
      </w:r>
      <w:r w:rsidR="001465FC" w:rsidRPr="00F80A14">
        <w:rPr>
          <w:sz w:val="20"/>
          <w:szCs w:val="20"/>
          <w:lang w:val="fr-FR"/>
        </w:rPr>
        <w:t xml:space="preserve"> 1058</w:t>
      </w:r>
      <w:r w:rsidR="001465FC">
        <w:rPr>
          <w:sz w:val="20"/>
          <w:szCs w:val="20"/>
          <w:lang w:val="fr-FR"/>
        </w:rPr>
        <w:t xml:space="preserve"> ; </w:t>
      </w:r>
      <w:r w:rsidR="001465FC" w:rsidRPr="001465FC">
        <w:rPr>
          <w:sz w:val="20"/>
          <w:szCs w:val="20"/>
          <w:lang w:val="fr-FR"/>
        </w:rPr>
        <w:t>A</w:t>
      </w:r>
      <w:r w:rsidRPr="001465FC">
        <w:rPr>
          <w:sz w:val="20"/>
          <w:szCs w:val="20"/>
          <w:lang w:val="fr-FR"/>
        </w:rPr>
        <w:t xml:space="preserve">. M. Baggio, </w:t>
      </w:r>
      <w:r w:rsidRPr="001465FC">
        <w:rPr>
          <w:i/>
          <w:sz w:val="20"/>
          <w:szCs w:val="20"/>
          <w:lang w:val="fr-FR"/>
        </w:rPr>
        <w:t xml:space="preserve">Introduzione alla dottrina della fraternità. </w:t>
      </w:r>
      <w:r w:rsidRPr="002D79E9">
        <w:rPr>
          <w:i/>
          <w:sz w:val="20"/>
          <w:szCs w:val="20"/>
        </w:rPr>
        <w:t>Dispense</w:t>
      </w:r>
      <w:r w:rsidRPr="002D79E9">
        <w:rPr>
          <w:sz w:val="20"/>
          <w:szCs w:val="20"/>
        </w:rPr>
        <w:t>, Roma, 2003, pp. 42 – 45 (</w:t>
      </w:r>
      <w:r w:rsidRPr="002D79E9">
        <w:rPr>
          <w:i/>
          <w:sz w:val="20"/>
          <w:szCs w:val="20"/>
        </w:rPr>
        <w:t>Lezione 4. La fraternità difficile</w:t>
      </w:r>
      <w:r w:rsidRPr="002D79E9">
        <w:rPr>
          <w:sz w:val="20"/>
          <w:szCs w:val="20"/>
        </w:rPr>
        <w:t xml:space="preserve">); </w:t>
      </w:r>
      <w:r w:rsidR="00CD3CDB">
        <w:rPr>
          <w:sz w:val="20"/>
          <w:szCs w:val="20"/>
        </w:rPr>
        <w:t>Idem</w:t>
      </w:r>
      <w:r w:rsidR="00CD3CDB" w:rsidRPr="00436251">
        <w:rPr>
          <w:sz w:val="20"/>
          <w:szCs w:val="20"/>
        </w:rPr>
        <w:t xml:space="preserve">, «La fraternità antagonista. L’interpretazione freudiana e la fondazione della società egualitaria e conflittuale», in A. M. Baggio (a cura), </w:t>
      </w:r>
      <w:r w:rsidR="00CD3CDB" w:rsidRPr="00436251">
        <w:rPr>
          <w:i/>
          <w:sz w:val="20"/>
          <w:szCs w:val="20"/>
        </w:rPr>
        <w:t>Caino e i suoi fratelli (il fondamento relazionale nella politica e nel diritto)</w:t>
      </w:r>
      <w:r w:rsidR="00CD3CDB" w:rsidRPr="00436251">
        <w:rPr>
          <w:sz w:val="20"/>
          <w:szCs w:val="20"/>
        </w:rPr>
        <w:t>, Roma, Città Nuova Editrice, 2012, pp. 19 -75: pp. 21 –</w:t>
      </w:r>
      <w:r w:rsidR="00CD3CDB">
        <w:rPr>
          <w:sz w:val="20"/>
          <w:szCs w:val="20"/>
        </w:rPr>
        <w:t xml:space="preserve"> 27; </w:t>
      </w:r>
      <w:r w:rsidRPr="002D79E9">
        <w:rPr>
          <w:sz w:val="20"/>
          <w:szCs w:val="20"/>
        </w:rPr>
        <w:t xml:space="preserve">Idem, «La sfida della fraternità», </w:t>
      </w:r>
      <w:r w:rsidRPr="002D79E9">
        <w:rPr>
          <w:i/>
          <w:sz w:val="20"/>
          <w:szCs w:val="20"/>
        </w:rPr>
        <w:t>L’Osservatore Romano</w:t>
      </w:r>
      <w:r w:rsidRPr="002D79E9">
        <w:rPr>
          <w:sz w:val="20"/>
          <w:szCs w:val="20"/>
        </w:rPr>
        <w:t>, 15 gennaio 2019.</w:t>
      </w:r>
    </w:p>
    <w:p w14:paraId="04FA947A" w14:textId="60666129" w:rsidR="009269AE" w:rsidRDefault="009269AE">
      <w:pPr>
        <w:pStyle w:val="Testonotaapidipagina"/>
      </w:pPr>
    </w:p>
  </w:footnote>
  <w:footnote w:id="64">
    <w:p w14:paraId="130E8E52" w14:textId="77777777" w:rsidR="00987ED1" w:rsidRPr="009269AE" w:rsidRDefault="00987ED1" w:rsidP="00754A9D">
      <w:pPr>
        <w:jc w:val="both"/>
        <w:rPr>
          <w:sz w:val="20"/>
          <w:szCs w:val="20"/>
        </w:rPr>
      </w:pPr>
      <w:r>
        <w:rPr>
          <w:rStyle w:val="Rimandonotaapidipagina"/>
        </w:rPr>
        <w:footnoteRef/>
      </w:r>
      <w:r w:rsidRPr="009269AE">
        <w:t xml:space="preserve"> </w:t>
      </w:r>
      <w:r w:rsidRPr="009269AE">
        <w:rPr>
          <w:sz w:val="20"/>
          <w:szCs w:val="20"/>
        </w:rPr>
        <w:t xml:space="preserve">Per un primo orientamento sui recenti studi sull’aggressività umana (distinta in reattiva e proattiva) cfr. in particolare R. Wrangham, </w:t>
      </w:r>
      <w:r w:rsidRPr="009269AE">
        <w:rPr>
          <w:i/>
          <w:sz w:val="20"/>
          <w:szCs w:val="20"/>
        </w:rPr>
        <w:t>The Goodness Paradox: The Strange Relationship between Virtue and Violence in Human Evolution</w:t>
      </w:r>
      <w:r w:rsidRPr="009269AE">
        <w:rPr>
          <w:sz w:val="20"/>
          <w:szCs w:val="20"/>
        </w:rPr>
        <w:t xml:space="preserve">, New York, Pantheon, 2019. </w:t>
      </w:r>
    </w:p>
    <w:p w14:paraId="43BA2E69" w14:textId="24A621EE" w:rsidR="00987ED1" w:rsidRPr="009269AE" w:rsidRDefault="00987ED1">
      <w:pPr>
        <w:pStyle w:val="Testonotaapidipagina"/>
      </w:pPr>
    </w:p>
  </w:footnote>
  <w:footnote w:id="65">
    <w:p w14:paraId="2A322A9E" w14:textId="77777777" w:rsidR="00CA4BC5" w:rsidRPr="00CA4BC5" w:rsidRDefault="00CA4BC5" w:rsidP="002A624F">
      <w:pPr>
        <w:pStyle w:val="Testonotaapidipagina"/>
        <w:jc w:val="both"/>
        <w:rPr>
          <w:lang w:val="fr-FR"/>
        </w:rPr>
      </w:pPr>
      <w:r>
        <w:rPr>
          <w:rStyle w:val="Rimandonotaapidipagina"/>
        </w:rPr>
        <w:footnoteRef/>
      </w:r>
      <w:r w:rsidRPr="00CA4BC5">
        <w:rPr>
          <w:lang w:val="fr-FR"/>
        </w:rPr>
        <w:t xml:space="preserve"> Cfr. J.-P. Gross, </w:t>
      </w:r>
      <w:r w:rsidRPr="00CA4BC5">
        <w:rPr>
          <w:i/>
          <w:lang w:val="fr-FR"/>
        </w:rPr>
        <w:t>Égalitarisme jacobin et droits de l’homme. 1793-1794 (La Grande famille et la Terreur)</w:t>
      </w:r>
      <w:r w:rsidRPr="00CA4BC5">
        <w:rPr>
          <w:lang w:val="fr-FR"/>
        </w:rPr>
        <w:t xml:space="preserve"> (1997), Paris, Arcantères, 2000, p. 102.</w:t>
      </w:r>
    </w:p>
    <w:p w14:paraId="6199C809" w14:textId="77777777" w:rsidR="00CA4BC5" w:rsidRPr="00CA4BC5" w:rsidRDefault="00CA4BC5">
      <w:pPr>
        <w:pStyle w:val="Testonotaapidipagina"/>
        <w:rPr>
          <w:lang w:val="fr-FR"/>
        </w:rPr>
      </w:pPr>
    </w:p>
  </w:footnote>
  <w:footnote w:id="66">
    <w:p w14:paraId="639BFCE6" w14:textId="77777777" w:rsidR="00CA4BC5" w:rsidRPr="00CA4BC5" w:rsidRDefault="00CA4BC5" w:rsidP="002A624F">
      <w:pPr>
        <w:pStyle w:val="Testonotaapidipagina"/>
        <w:jc w:val="both"/>
        <w:rPr>
          <w:lang w:val="fr-FR"/>
        </w:rPr>
      </w:pPr>
      <w:r>
        <w:rPr>
          <w:rStyle w:val="Rimandonotaapidipagina"/>
        </w:rPr>
        <w:footnoteRef/>
      </w:r>
      <w:r w:rsidRPr="00CA4BC5">
        <w:rPr>
          <w:lang w:val="fr-FR"/>
        </w:rPr>
        <w:t xml:space="preserve"> F. Furet, </w:t>
      </w:r>
      <w:r w:rsidRPr="00CA4BC5">
        <w:rPr>
          <w:i/>
          <w:lang w:val="fr-FR"/>
        </w:rPr>
        <w:t>Penser la Révolution française</w:t>
      </w:r>
      <w:r w:rsidRPr="00CA4BC5">
        <w:rPr>
          <w:lang w:val="fr-FR"/>
        </w:rPr>
        <w:t>, Paris, Gallimard, 1978, p.84.</w:t>
      </w:r>
    </w:p>
    <w:p w14:paraId="7241F884" w14:textId="77777777" w:rsidR="00CA4BC5" w:rsidRPr="00CA4BC5" w:rsidRDefault="00CA4BC5">
      <w:pPr>
        <w:pStyle w:val="Testonotaapidipagina"/>
        <w:rPr>
          <w:lang w:val="fr-FR"/>
        </w:rPr>
      </w:pPr>
    </w:p>
  </w:footnote>
  <w:footnote w:id="67">
    <w:p w14:paraId="67E7CE8C" w14:textId="77777777" w:rsidR="00CA4BC5" w:rsidRPr="00CA4BC5" w:rsidRDefault="00CA4BC5" w:rsidP="002A624F">
      <w:pPr>
        <w:pStyle w:val="Testonotaapidipagina"/>
        <w:jc w:val="both"/>
      </w:pPr>
      <w:r w:rsidRPr="00CA4BC5">
        <w:rPr>
          <w:vertAlign w:val="superscript"/>
        </w:rPr>
        <w:footnoteRef/>
      </w:r>
      <w:r w:rsidRPr="00CA4BC5">
        <w:t xml:space="preserve"> Sulla «radicalisation cumulative du discours» - con riferimento non solo alla rivoluzione francese ma alla logica delle rivoluzioni in quanto tali – cfr. P. Guennifey, </w:t>
      </w:r>
      <w:r w:rsidRPr="00CA4BC5">
        <w:rPr>
          <w:i/>
        </w:rPr>
        <w:t>La politique de la Terreur. Essai sur la violence révolutionnaire (1789-1794)</w:t>
      </w:r>
      <w:r w:rsidRPr="00CA4BC5">
        <w:t>, Paris, Fayard, 2000, p. 230. La nozione era stata usata da Hans Mommsen nei suoi studi sul nazionalsocialismo.</w:t>
      </w:r>
    </w:p>
    <w:p w14:paraId="42EBAE98" w14:textId="77777777" w:rsidR="00CA4BC5" w:rsidRPr="00CA4BC5" w:rsidRDefault="00CA4BC5" w:rsidP="002A624F">
      <w:pPr>
        <w:pStyle w:val="Testonotaapidipagina"/>
        <w:jc w:val="both"/>
      </w:pPr>
    </w:p>
  </w:footnote>
  <w:footnote w:id="68">
    <w:p w14:paraId="1FCADB84" w14:textId="44541EF6" w:rsidR="00AD7EE3" w:rsidRPr="00487F59" w:rsidRDefault="00AD7EE3" w:rsidP="00AD7EE3">
      <w:pPr>
        <w:jc w:val="both"/>
        <w:rPr>
          <w:sz w:val="20"/>
          <w:szCs w:val="20"/>
        </w:rPr>
      </w:pPr>
      <w:r>
        <w:rPr>
          <w:rStyle w:val="Rimandonotaapidipagina"/>
        </w:rPr>
        <w:footnoteRef/>
      </w:r>
      <w:r w:rsidRPr="00AD7EE3">
        <w:t xml:space="preserve"> </w:t>
      </w:r>
      <w:r w:rsidRPr="00487F59">
        <w:rPr>
          <w:sz w:val="20"/>
          <w:szCs w:val="20"/>
        </w:rPr>
        <w:t xml:space="preserve">Per le pulsioni timotiche cfr. in particolare P. Sloterdijk, </w:t>
      </w:r>
      <w:r w:rsidRPr="00487F59">
        <w:rPr>
          <w:i/>
          <w:sz w:val="20"/>
          <w:szCs w:val="20"/>
        </w:rPr>
        <w:t>Ira e tempo</w:t>
      </w:r>
      <w:r w:rsidRPr="00487F59">
        <w:rPr>
          <w:sz w:val="20"/>
          <w:szCs w:val="20"/>
        </w:rPr>
        <w:t xml:space="preserve"> (2006), Venezia, Marsilio, 2019. Per il ruolo della vendetta nelle dinamiche storiche e per i cicli di vendetta</w:t>
      </w:r>
      <w:r>
        <w:rPr>
          <w:sz w:val="20"/>
          <w:szCs w:val="20"/>
        </w:rPr>
        <w:t xml:space="preserve"> nella</w:t>
      </w:r>
      <w:r w:rsidRPr="00487F59">
        <w:rPr>
          <w:sz w:val="20"/>
          <w:szCs w:val="20"/>
        </w:rPr>
        <w:t xml:space="preserve"> rivoluzione francese e</w:t>
      </w:r>
      <w:r>
        <w:rPr>
          <w:sz w:val="20"/>
          <w:szCs w:val="20"/>
        </w:rPr>
        <w:t xml:space="preserve"> nella</w:t>
      </w:r>
      <w:r w:rsidRPr="00487F59">
        <w:rPr>
          <w:sz w:val="20"/>
          <w:szCs w:val="20"/>
        </w:rPr>
        <w:t xml:space="preserve"> rivoluzione russa, cfr.</w:t>
      </w:r>
      <w:r>
        <w:rPr>
          <w:sz w:val="20"/>
          <w:szCs w:val="20"/>
        </w:rPr>
        <w:t xml:space="preserve"> </w:t>
      </w:r>
      <w:r w:rsidRPr="00487F59">
        <w:rPr>
          <w:sz w:val="20"/>
          <w:szCs w:val="20"/>
        </w:rPr>
        <w:t xml:space="preserve">A. J. Mayer, </w:t>
      </w:r>
      <w:r w:rsidRPr="00487F59">
        <w:rPr>
          <w:i/>
          <w:sz w:val="20"/>
          <w:szCs w:val="20"/>
        </w:rPr>
        <w:t xml:space="preserve">The Furies : Violence and Terror in the French and Russian Revolutions, </w:t>
      </w:r>
      <w:r w:rsidRPr="00B9257D">
        <w:rPr>
          <w:sz w:val="20"/>
          <w:szCs w:val="20"/>
        </w:rPr>
        <w:t>Princeton, University</w:t>
      </w:r>
      <w:r w:rsidRPr="00487F59">
        <w:rPr>
          <w:i/>
          <w:sz w:val="20"/>
          <w:szCs w:val="20"/>
        </w:rPr>
        <w:t xml:space="preserve"> </w:t>
      </w:r>
      <w:r w:rsidRPr="00487F59">
        <w:rPr>
          <w:sz w:val="20"/>
          <w:szCs w:val="20"/>
        </w:rPr>
        <w:t>Press</w:t>
      </w:r>
      <w:r w:rsidRPr="00487F59">
        <w:rPr>
          <w:i/>
          <w:sz w:val="20"/>
          <w:szCs w:val="20"/>
        </w:rPr>
        <w:t xml:space="preserve">, </w:t>
      </w:r>
      <w:r w:rsidRPr="00B9257D">
        <w:rPr>
          <w:sz w:val="20"/>
          <w:szCs w:val="20"/>
        </w:rPr>
        <w:t>2000</w:t>
      </w:r>
      <w:r>
        <w:rPr>
          <w:sz w:val="20"/>
          <w:szCs w:val="20"/>
        </w:rPr>
        <w:t>.</w:t>
      </w:r>
    </w:p>
    <w:p w14:paraId="63A7D2D5" w14:textId="753BE84B" w:rsidR="00AD7EE3" w:rsidRPr="00AD7EE3" w:rsidRDefault="00AD7EE3">
      <w:pPr>
        <w:pStyle w:val="Testonotaapidipagina"/>
      </w:pPr>
    </w:p>
  </w:footnote>
  <w:footnote w:id="69">
    <w:p w14:paraId="0B76E34E" w14:textId="77777777" w:rsidR="006F04A6" w:rsidRPr="00273FC1" w:rsidRDefault="006F04A6" w:rsidP="006F04A6">
      <w:pPr>
        <w:jc w:val="both"/>
        <w:rPr>
          <w:i/>
          <w:sz w:val="20"/>
          <w:szCs w:val="20"/>
        </w:rPr>
      </w:pPr>
      <w:r>
        <w:rPr>
          <w:rStyle w:val="Rimandonotaapidipagina"/>
        </w:rPr>
        <w:footnoteRef/>
      </w:r>
      <w:r w:rsidRPr="006F04A6">
        <w:t xml:space="preserve"> </w:t>
      </w:r>
      <w:r w:rsidRPr="00273FC1">
        <w:rPr>
          <w:sz w:val="20"/>
          <w:szCs w:val="20"/>
        </w:rPr>
        <w:t xml:space="preserve">Sulla secolarizzazione massonica della nozione di fraternità cfr. M. Borgetto, </w:t>
      </w:r>
      <w:r w:rsidRPr="00273FC1">
        <w:rPr>
          <w:i/>
          <w:sz w:val="20"/>
          <w:szCs w:val="20"/>
        </w:rPr>
        <w:t>La Notion de fraternité en droit public français</w:t>
      </w:r>
      <w:r w:rsidRPr="00273FC1">
        <w:rPr>
          <w:sz w:val="20"/>
          <w:szCs w:val="20"/>
        </w:rPr>
        <w:t xml:space="preserve">, cit., pp. 22-28; Idem, </w:t>
      </w:r>
      <w:r w:rsidRPr="00273FC1">
        <w:rPr>
          <w:i/>
          <w:sz w:val="20"/>
          <w:szCs w:val="20"/>
        </w:rPr>
        <w:t>La devise</w:t>
      </w:r>
      <w:r w:rsidRPr="00273FC1">
        <w:rPr>
          <w:sz w:val="20"/>
          <w:szCs w:val="20"/>
        </w:rPr>
        <w:t>, cit., pp. 14-17.</w:t>
      </w:r>
    </w:p>
    <w:p w14:paraId="720C18B9" w14:textId="62D45AA6" w:rsidR="006F04A6" w:rsidRPr="006F04A6" w:rsidRDefault="006F04A6">
      <w:pPr>
        <w:pStyle w:val="Testonotaapidipagina"/>
      </w:pPr>
    </w:p>
  </w:footnote>
  <w:footnote w:id="70">
    <w:p w14:paraId="631B1119" w14:textId="77777777" w:rsidR="006F04A6" w:rsidRPr="00273FC1" w:rsidRDefault="006F04A6" w:rsidP="006F04A6">
      <w:pPr>
        <w:rPr>
          <w:sz w:val="20"/>
          <w:szCs w:val="20"/>
        </w:rPr>
      </w:pPr>
      <w:r>
        <w:rPr>
          <w:rStyle w:val="Rimandonotaapidipagina"/>
        </w:rPr>
        <w:footnoteRef/>
      </w:r>
      <w:r w:rsidRPr="006F04A6">
        <w:t xml:space="preserve"> </w:t>
      </w:r>
      <w:r w:rsidRPr="00273FC1">
        <w:rPr>
          <w:sz w:val="20"/>
          <w:szCs w:val="20"/>
        </w:rPr>
        <w:t xml:space="preserve">A. M. Baggio, </w:t>
      </w:r>
      <w:r w:rsidRPr="00273FC1">
        <w:rPr>
          <w:i/>
          <w:sz w:val="20"/>
          <w:szCs w:val="20"/>
        </w:rPr>
        <w:t>Introduzione alla dottrina della fraternità</w:t>
      </w:r>
      <w:r w:rsidRPr="00273FC1">
        <w:rPr>
          <w:sz w:val="20"/>
          <w:szCs w:val="20"/>
        </w:rPr>
        <w:t>, cit., p. 15.</w:t>
      </w:r>
    </w:p>
    <w:p w14:paraId="3EF2206E" w14:textId="5EF87673" w:rsidR="006F04A6" w:rsidRPr="006F04A6" w:rsidRDefault="006F04A6">
      <w:pPr>
        <w:pStyle w:val="Testonotaapidipagina"/>
      </w:pPr>
    </w:p>
  </w:footnote>
  <w:footnote w:id="71">
    <w:p w14:paraId="6695DFF9" w14:textId="77777777" w:rsidR="005B7D3F" w:rsidRPr="005B7D3F" w:rsidRDefault="005B7D3F" w:rsidP="002A624F">
      <w:pPr>
        <w:pStyle w:val="Testonotaapidipagina"/>
        <w:jc w:val="both"/>
        <w:rPr>
          <w:lang w:val="fr-FR"/>
        </w:rPr>
      </w:pPr>
      <w:r>
        <w:rPr>
          <w:rStyle w:val="Rimandonotaapidipagina"/>
        </w:rPr>
        <w:footnoteRef/>
      </w:r>
      <w:r w:rsidRPr="005B7D3F">
        <w:rPr>
          <w:lang w:val="fr-FR"/>
        </w:rPr>
        <w:t xml:space="preserve"> Cfr. J.-J. Rousseau, </w:t>
      </w:r>
      <w:r w:rsidRPr="005B7D3F">
        <w:rPr>
          <w:i/>
          <w:lang w:val="fr-FR"/>
        </w:rPr>
        <w:t>Œuvres complètes</w:t>
      </w:r>
      <w:r w:rsidRPr="005B7D3F">
        <w:rPr>
          <w:lang w:val="fr-FR"/>
        </w:rPr>
        <w:t>, édition publiée sous la direction de B. Gagnebin et M. Raymond, avec la collaboration de F. Bouchardy, J.-D. Candaux, R. Derarthé, J. Fabre, J. Starobinski et S. Stelling-Michaud, 5 vol., Paris, Gallimard, 1959-1995 : vol III, p. 287 ; vol III, p. 763 ; vol. V, p. 121.</w:t>
      </w:r>
    </w:p>
    <w:p w14:paraId="1EBE3CBC" w14:textId="77777777" w:rsidR="005B7D3F" w:rsidRPr="00CA4BC5" w:rsidRDefault="005B7D3F">
      <w:pPr>
        <w:pStyle w:val="Testonotaapidipagina"/>
        <w:rPr>
          <w:lang w:val="fr-FR"/>
        </w:rPr>
      </w:pPr>
    </w:p>
  </w:footnote>
  <w:footnote w:id="72">
    <w:p w14:paraId="5EB3010B" w14:textId="77777777" w:rsidR="00426AC7" w:rsidRPr="007F0668" w:rsidRDefault="00426AC7" w:rsidP="00426AC7">
      <w:pPr>
        <w:rPr>
          <w:rFonts w:ascii="Calibri" w:eastAsia="Calibri" w:hAnsi="Calibri" w:cs="Calibri"/>
          <w:sz w:val="20"/>
          <w:szCs w:val="20"/>
          <w:lang w:val="fr-FR"/>
        </w:rPr>
      </w:pPr>
      <w:r>
        <w:rPr>
          <w:rStyle w:val="Rimandonotaapidipagina"/>
        </w:rPr>
        <w:footnoteRef/>
      </w:r>
      <w:r w:rsidRPr="007F0668">
        <w:rPr>
          <w:lang w:val="fr-FR"/>
        </w:rPr>
        <w:t xml:space="preserve"> </w:t>
      </w:r>
      <w:r w:rsidRPr="00426AC7">
        <w:rPr>
          <w:rFonts w:ascii="Calibri" w:eastAsia="Calibri" w:hAnsi="Calibri" w:cs="Calibri"/>
          <w:sz w:val="20"/>
          <w:szCs w:val="20"/>
          <w:lang w:val="fr-FR"/>
        </w:rPr>
        <w:t xml:space="preserve">Cfr. M. Borgetto, </w:t>
      </w:r>
      <w:r w:rsidRPr="00426AC7">
        <w:rPr>
          <w:rFonts w:ascii="Calibri" w:eastAsia="Calibri" w:hAnsi="Calibri" w:cs="Calibri"/>
          <w:i/>
          <w:sz w:val="20"/>
          <w:szCs w:val="20"/>
          <w:lang w:val="fr-FR"/>
        </w:rPr>
        <w:t>La Notion de fraternité</w:t>
      </w:r>
      <w:r w:rsidRPr="00426AC7">
        <w:rPr>
          <w:rFonts w:ascii="Calibri" w:eastAsia="Calibri" w:hAnsi="Calibri" w:cs="Calibri"/>
          <w:sz w:val="20"/>
          <w:szCs w:val="20"/>
          <w:lang w:val="fr-FR"/>
        </w:rPr>
        <w:t>, cit., pp. 26 ss..</w:t>
      </w:r>
    </w:p>
    <w:p w14:paraId="657C40A4" w14:textId="34775C95" w:rsidR="00426AC7" w:rsidRPr="007F0668" w:rsidRDefault="00426AC7">
      <w:pPr>
        <w:pStyle w:val="Testonotaapidipagina"/>
        <w:rPr>
          <w:lang w:val="fr-FR"/>
        </w:rPr>
      </w:pPr>
    </w:p>
  </w:footnote>
  <w:footnote w:id="73">
    <w:p w14:paraId="7CFFD19A" w14:textId="43E332C2" w:rsidR="005933B5" w:rsidRPr="007F0668" w:rsidRDefault="005933B5" w:rsidP="0077009F">
      <w:pPr>
        <w:jc w:val="both"/>
        <w:rPr>
          <w:rFonts w:ascii="Calibri" w:eastAsia="Calibri" w:hAnsi="Calibri" w:cs="Times New Roman"/>
          <w:sz w:val="20"/>
          <w:szCs w:val="20"/>
          <w:lang w:val="fr-FR"/>
        </w:rPr>
      </w:pPr>
      <w:r w:rsidRPr="0077009F">
        <w:rPr>
          <w:rStyle w:val="Rimandonotaapidipagina"/>
          <w:sz w:val="20"/>
          <w:szCs w:val="20"/>
        </w:rPr>
        <w:footnoteRef/>
      </w:r>
      <w:r w:rsidRPr="007F0668">
        <w:rPr>
          <w:sz w:val="20"/>
          <w:szCs w:val="20"/>
          <w:lang w:val="fr-FR"/>
        </w:rPr>
        <w:t xml:space="preserve"> </w:t>
      </w:r>
      <w:r w:rsidRPr="007F0668">
        <w:rPr>
          <w:rFonts w:ascii="Calibri" w:eastAsia="Calibri" w:hAnsi="Calibri" w:cs="Times New Roman"/>
          <w:sz w:val="20"/>
          <w:szCs w:val="20"/>
          <w:lang w:val="fr-FR"/>
        </w:rPr>
        <w:t>Cfr. in particolare</w:t>
      </w:r>
      <w:r w:rsidR="0077009F" w:rsidRPr="007F0668">
        <w:rPr>
          <w:rFonts w:ascii="Calibri" w:eastAsia="Calibri" w:hAnsi="Calibri" w:cs="Times New Roman"/>
          <w:sz w:val="20"/>
          <w:szCs w:val="20"/>
          <w:lang w:val="fr-FR"/>
        </w:rPr>
        <w:t xml:space="preserve"> S. Wahnich, </w:t>
      </w:r>
      <w:r w:rsidR="0077009F" w:rsidRPr="007F0668">
        <w:rPr>
          <w:rFonts w:ascii="Calibri" w:eastAsia="Calibri" w:hAnsi="Calibri" w:cs="Times New Roman"/>
          <w:i/>
          <w:iCs/>
          <w:sz w:val="20"/>
          <w:szCs w:val="20"/>
          <w:lang w:val="fr-FR"/>
        </w:rPr>
        <w:t>L'impossible citoyen. L'étranger dans le discours de la Révolution française</w:t>
      </w:r>
      <w:r w:rsidR="0077009F" w:rsidRPr="007F0668">
        <w:rPr>
          <w:rFonts w:ascii="Calibri" w:eastAsia="Calibri" w:hAnsi="Calibri" w:cs="Times New Roman"/>
          <w:sz w:val="20"/>
          <w:szCs w:val="20"/>
          <w:lang w:val="fr-FR"/>
        </w:rPr>
        <w:t>, Paris, Albin Michel, 1997;</w:t>
      </w:r>
      <w:r w:rsidRPr="007F0668">
        <w:rPr>
          <w:rFonts w:ascii="Calibri" w:eastAsia="Calibri" w:hAnsi="Calibri" w:cs="Times New Roman"/>
          <w:sz w:val="20"/>
          <w:szCs w:val="20"/>
          <w:lang w:val="fr-FR"/>
        </w:rPr>
        <w:t xml:space="preserve"> M. Belissa, </w:t>
      </w:r>
      <w:r w:rsidRPr="007F0668">
        <w:rPr>
          <w:rFonts w:ascii="Calibri" w:eastAsia="Calibri" w:hAnsi="Calibri" w:cs="Times New Roman"/>
          <w:i/>
          <w:sz w:val="20"/>
          <w:szCs w:val="20"/>
          <w:lang w:val="fr-FR"/>
        </w:rPr>
        <w:t>Fraternité universelle et intérêt national (1713-1795)</w:t>
      </w:r>
      <w:r w:rsidRPr="007F0668">
        <w:rPr>
          <w:rFonts w:ascii="Calibri" w:eastAsia="Calibri" w:hAnsi="Calibri" w:cs="Times New Roman"/>
          <w:sz w:val="20"/>
          <w:szCs w:val="20"/>
          <w:lang w:val="fr-FR"/>
        </w:rPr>
        <w:t>, Paris, Kimé, 1998, pp. 253-433.</w:t>
      </w:r>
    </w:p>
    <w:p w14:paraId="7D18E9FE" w14:textId="77777777" w:rsidR="005933B5" w:rsidRPr="007F0668" w:rsidRDefault="005933B5" w:rsidP="005933B5">
      <w:pPr>
        <w:spacing w:line="256" w:lineRule="auto"/>
        <w:rPr>
          <w:rFonts w:ascii="Calibri" w:eastAsia="Calibri" w:hAnsi="Calibri" w:cs="Times New Roman"/>
          <w:lang w:val="fr-FR"/>
        </w:rPr>
      </w:pPr>
    </w:p>
    <w:p w14:paraId="45B373F7" w14:textId="632865BF" w:rsidR="005933B5" w:rsidRPr="007F0668" w:rsidRDefault="005933B5">
      <w:pPr>
        <w:pStyle w:val="Testonotaapidipagina"/>
        <w:rPr>
          <w:lang w:val="fr-FR"/>
        </w:rPr>
      </w:pPr>
    </w:p>
  </w:footnote>
  <w:footnote w:id="74">
    <w:p w14:paraId="57B5EBC8" w14:textId="2801BE47" w:rsidR="0019680B" w:rsidRPr="00B87BD7" w:rsidRDefault="003222A2" w:rsidP="0019680B">
      <w:pPr>
        <w:jc w:val="both"/>
        <w:rPr>
          <w:sz w:val="20"/>
          <w:szCs w:val="20"/>
        </w:rPr>
      </w:pPr>
      <w:r>
        <w:rPr>
          <w:rStyle w:val="Rimandonotaapidipagina"/>
        </w:rPr>
        <w:footnoteRef/>
      </w:r>
      <w:r>
        <w:t xml:space="preserve"> </w:t>
      </w:r>
      <w:r w:rsidRPr="00AB5550">
        <w:rPr>
          <w:sz w:val="20"/>
          <w:szCs w:val="20"/>
        </w:rPr>
        <w:t>Antonio Maria Baggio vede questo percorso già presente nell’</w:t>
      </w:r>
      <w:r w:rsidRPr="00AB5550">
        <w:rPr>
          <w:i/>
          <w:sz w:val="20"/>
          <w:szCs w:val="20"/>
        </w:rPr>
        <w:t>Antico Testamento</w:t>
      </w:r>
      <w:r w:rsidRPr="00AB5550">
        <w:rPr>
          <w:sz w:val="20"/>
          <w:szCs w:val="20"/>
        </w:rPr>
        <w:t xml:space="preserve"> e indica in Isaia (</w:t>
      </w:r>
      <w:r w:rsidRPr="00B77053">
        <w:rPr>
          <w:i/>
          <w:sz w:val="20"/>
          <w:szCs w:val="20"/>
        </w:rPr>
        <w:t>Is</w:t>
      </w:r>
      <w:r w:rsidRPr="00AB5550">
        <w:rPr>
          <w:sz w:val="20"/>
          <w:szCs w:val="20"/>
        </w:rPr>
        <w:t xml:space="preserve"> 2, 1 – 4) la prima attestazione di una prospettiva di «fraternità universale». Cfr. A. M. Baggio, </w:t>
      </w:r>
      <w:r w:rsidRPr="00AB5550">
        <w:rPr>
          <w:i/>
          <w:sz w:val="20"/>
          <w:szCs w:val="20"/>
        </w:rPr>
        <w:t>Introduzione alla dottrina della fraternità</w:t>
      </w:r>
      <w:r w:rsidRPr="00AB5550">
        <w:rPr>
          <w:sz w:val="20"/>
          <w:szCs w:val="20"/>
        </w:rPr>
        <w:t>, cit., pp. 46 – 47: p. 47.</w:t>
      </w:r>
      <w:r w:rsidR="000374B2">
        <w:rPr>
          <w:sz w:val="20"/>
          <w:szCs w:val="20"/>
        </w:rPr>
        <w:t xml:space="preserve"> </w:t>
      </w:r>
      <w:r w:rsidR="000374B2" w:rsidRPr="00442166">
        <w:rPr>
          <w:sz w:val="20"/>
          <w:szCs w:val="20"/>
        </w:rPr>
        <w:t xml:space="preserve">Altri autori indicano la presenza della «fraternité universelle» nel </w:t>
      </w:r>
      <w:r w:rsidR="000374B2" w:rsidRPr="00442166">
        <w:rPr>
          <w:i/>
          <w:sz w:val="20"/>
          <w:szCs w:val="20"/>
        </w:rPr>
        <w:t>Levitico</w:t>
      </w:r>
      <w:r w:rsidR="000374B2" w:rsidRPr="00442166">
        <w:rPr>
          <w:sz w:val="20"/>
          <w:szCs w:val="20"/>
        </w:rPr>
        <w:t xml:space="preserve"> (19:18 e 19:34) e nel </w:t>
      </w:r>
      <w:r w:rsidR="000374B2" w:rsidRPr="00442166">
        <w:rPr>
          <w:i/>
          <w:sz w:val="20"/>
          <w:szCs w:val="20"/>
        </w:rPr>
        <w:t>Deuteronomio</w:t>
      </w:r>
      <w:r w:rsidR="000374B2" w:rsidRPr="00442166">
        <w:rPr>
          <w:sz w:val="20"/>
          <w:szCs w:val="20"/>
        </w:rPr>
        <w:t xml:space="preserve"> (10:19): cfr. A. Séguy - Duclot, </w:t>
      </w:r>
      <w:r w:rsidR="000374B2" w:rsidRPr="00442166">
        <w:rPr>
          <w:i/>
          <w:sz w:val="20"/>
          <w:szCs w:val="20"/>
        </w:rPr>
        <w:t>Éthique</w:t>
      </w:r>
      <w:r w:rsidR="000374B2" w:rsidRPr="00442166">
        <w:rPr>
          <w:sz w:val="20"/>
          <w:szCs w:val="20"/>
        </w:rPr>
        <w:t>, Zürich – New York, Georg Olms Verlag, 2014, p. 189: note 317. La questione che resta aperta – e che non è nelle mie competenze culturali e linguistiche poter affrontare – è che in tutti gli esempi sopracitati non compare il sostantivo «fraternità». In una famiglia lessicale il passaggio da</w:t>
      </w:r>
      <w:r w:rsidR="0019680B">
        <w:rPr>
          <w:sz w:val="20"/>
          <w:szCs w:val="20"/>
        </w:rPr>
        <w:t xml:space="preserve"> una forma grammaticale ad un’altra</w:t>
      </w:r>
      <w:r w:rsidR="000374B2" w:rsidRPr="00442166">
        <w:rPr>
          <w:sz w:val="20"/>
          <w:szCs w:val="20"/>
        </w:rPr>
        <w:t xml:space="preserve"> </w:t>
      </w:r>
      <w:r w:rsidR="0019680B">
        <w:rPr>
          <w:sz w:val="20"/>
          <w:szCs w:val="20"/>
        </w:rPr>
        <w:t xml:space="preserve">comporta </w:t>
      </w:r>
      <w:r w:rsidR="00563AF4">
        <w:rPr>
          <w:sz w:val="20"/>
          <w:szCs w:val="20"/>
        </w:rPr>
        <w:t>una discontinuità nel processo di semantizzazione e</w:t>
      </w:r>
      <w:r w:rsidR="000374B2" w:rsidRPr="00442166">
        <w:rPr>
          <w:sz w:val="20"/>
          <w:szCs w:val="20"/>
        </w:rPr>
        <w:t xml:space="preserve"> </w:t>
      </w:r>
      <w:r w:rsidR="0019680B">
        <w:rPr>
          <w:sz w:val="20"/>
          <w:szCs w:val="20"/>
        </w:rPr>
        <w:t xml:space="preserve">il passaggio da </w:t>
      </w:r>
      <w:r w:rsidR="0019680B" w:rsidRPr="00442166">
        <w:rPr>
          <w:sz w:val="20"/>
          <w:szCs w:val="20"/>
        </w:rPr>
        <w:t>un sostantivo concreto (in questo caso fratello) a un sostantivo astratto (nel caso specifico: fraternità)</w:t>
      </w:r>
      <w:r w:rsidR="0019680B">
        <w:rPr>
          <w:sz w:val="20"/>
          <w:szCs w:val="20"/>
        </w:rPr>
        <w:t xml:space="preserve"> implica </w:t>
      </w:r>
      <w:r w:rsidR="000374B2" w:rsidRPr="00442166">
        <w:rPr>
          <w:sz w:val="20"/>
          <w:szCs w:val="20"/>
        </w:rPr>
        <w:t>un salto di qualità nella concettualizzazione.</w:t>
      </w:r>
      <w:r w:rsidR="0019680B">
        <w:rPr>
          <w:sz w:val="20"/>
          <w:szCs w:val="20"/>
        </w:rPr>
        <w:t xml:space="preserve"> </w:t>
      </w:r>
      <w:r w:rsidR="0019680B" w:rsidRPr="00B87BD7">
        <w:rPr>
          <w:sz w:val="20"/>
          <w:szCs w:val="20"/>
        </w:rPr>
        <w:t xml:space="preserve">Sui processi di semantizzazione con riferimento alla distinzione tra verbi, aggettivi e sostantivi cfr. in particolare A. Wierzbicka, </w:t>
      </w:r>
      <w:r w:rsidR="0019680B" w:rsidRPr="00B87BD7">
        <w:rPr>
          <w:i/>
          <w:sz w:val="20"/>
          <w:szCs w:val="20"/>
        </w:rPr>
        <w:t>The Semantics of Grammar</w:t>
      </w:r>
      <w:r w:rsidR="0019680B" w:rsidRPr="00B87BD7">
        <w:rPr>
          <w:sz w:val="20"/>
          <w:szCs w:val="20"/>
        </w:rPr>
        <w:t>, Amsterdam, John Benjamins Publishing Company, 1988.</w:t>
      </w:r>
    </w:p>
    <w:p w14:paraId="386B74B4" w14:textId="51D73CDB" w:rsidR="000374B2" w:rsidRPr="00442166" w:rsidRDefault="000374B2" w:rsidP="000374B2">
      <w:pPr>
        <w:jc w:val="both"/>
        <w:rPr>
          <w:sz w:val="20"/>
          <w:szCs w:val="20"/>
        </w:rPr>
      </w:pPr>
      <w:r w:rsidRPr="00442166">
        <w:rPr>
          <w:sz w:val="20"/>
          <w:szCs w:val="20"/>
        </w:rPr>
        <w:t xml:space="preserve"> </w:t>
      </w:r>
    </w:p>
    <w:p w14:paraId="0D68E8EC" w14:textId="77777777" w:rsidR="000374B2" w:rsidRPr="00442166" w:rsidRDefault="000374B2" w:rsidP="000374B2">
      <w:pPr>
        <w:jc w:val="both"/>
        <w:rPr>
          <w:sz w:val="20"/>
          <w:szCs w:val="20"/>
        </w:rPr>
      </w:pPr>
    </w:p>
    <w:p w14:paraId="3736267F" w14:textId="71CDC0C5" w:rsidR="003222A2" w:rsidRPr="00AB5550" w:rsidRDefault="003222A2" w:rsidP="003222A2">
      <w:pPr>
        <w:jc w:val="both"/>
        <w:rPr>
          <w:sz w:val="20"/>
          <w:szCs w:val="20"/>
        </w:rPr>
      </w:pPr>
    </w:p>
    <w:p w14:paraId="52A16462" w14:textId="316CC248" w:rsidR="003222A2" w:rsidRDefault="003222A2">
      <w:pPr>
        <w:pStyle w:val="Testonotaapidipagina"/>
      </w:pPr>
    </w:p>
  </w:footnote>
  <w:footnote w:id="75">
    <w:p w14:paraId="34BB7848" w14:textId="77777777" w:rsidR="002F50F5" w:rsidRPr="00824FEA" w:rsidRDefault="002F50F5" w:rsidP="002F50F5">
      <w:pPr>
        <w:jc w:val="both"/>
        <w:rPr>
          <w:rFonts w:cstheme="minorHAnsi"/>
          <w:sz w:val="20"/>
          <w:szCs w:val="20"/>
        </w:rPr>
      </w:pPr>
      <w:r>
        <w:rPr>
          <w:rStyle w:val="Rimandonotaapidipagina"/>
        </w:rPr>
        <w:footnoteRef/>
      </w:r>
      <w:r>
        <w:t xml:space="preserve"> </w:t>
      </w:r>
      <w:r w:rsidRPr="00824FEA">
        <w:rPr>
          <w:rFonts w:cstheme="minorHAnsi"/>
          <w:sz w:val="20"/>
          <w:szCs w:val="20"/>
        </w:rPr>
        <w:t xml:space="preserve">Sulla distinzione tra «il politico» («the political») e «la politica («politics») cfr. Ch. Mouffe, </w:t>
      </w:r>
      <w:r w:rsidRPr="00824FEA">
        <w:rPr>
          <w:rFonts w:cstheme="minorHAnsi"/>
          <w:i/>
          <w:sz w:val="20"/>
          <w:szCs w:val="20"/>
        </w:rPr>
        <w:t>On the Political</w:t>
      </w:r>
      <w:r w:rsidRPr="00824FEA">
        <w:rPr>
          <w:rFonts w:cstheme="minorHAnsi"/>
          <w:sz w:val="20"/>
          <w:szCs w:val="20"/>
        </w:rPr>
        <w:t xml:space="preserve">, London, Routledge, 2005, pp. 8 - 9. </w:t>
      </w:r>
    </w:p>
    <w:p w14:paraId="7F3A57F7" w14:textId="46C060A0" w:rsidR="002F50F5" w:rsidRDefault="002F50F5">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86"/>
    <w:rsid w:val="0000051C"/>
    <w:rsid w:val="0000247C"/>
    <w:rsid w:val="00025DE8"/>
    <w:rsid w:val="000374B2"/>
    <w:rsid w:val="00040083"/>
    <w:rsid w:val="000440DF"/>
    <w:rsid w:val="000444A7"/>
    <w:rsid w:val="0006381A"/>
    <w:rsid w:val="00064E56"/>
    <w:rsid w:val="000724B8"/>
    <w:rsid w:val="00077223"/>
    <w:rsid w:val="00080FD5"/>
    <w:rsid w:val="000863AA"/>
    <w:rsid w:val="00091522"/>
    <w:rsid w:val="00092CAC"/>
    <w:rsid w:val="0009320A"/>
    <w:rsid w:val="00095F78"/>
    <w:rsid w:val="000A17CC"/>
    <w:rsid w:val="000B007C"/>
    <w:rsid w:val="000B26CA"/>
    <w:rsid w:val="000C7768"/>
    <w:rsid w:val="000E02EF"/>
    <w:rsid w:val="000F1467"/>
    <w:rsid w:val="000F4833"/>
    <w:rsid w:val="000F4C69"/>
    <w:rsid w:val="000F4FC1"/>
    <w:rsid w:val="000F7F32"/>
    <w:rsid w:val="00121D4D"/>
    <w:rsid w:val="001233C6"/>
    <w:rsid w:val="00123E6A"/>
    <w:rsid w:val="001309D6"/>
    <w:rsid w:val="00133ED1"/>
    <w:rsid w:val="001465FC"/>
    <w:rsid w:val="00152F8B"/>
    <w:rsid w:val="001553DE"/>
    <w:rsid w:val="00155541"/>
    <w:rsid w:val="00155AD7"/>
    <w:rsid w:val="001704EF"/>
    <w:rsid w:val="001769F4"/>
    <w:rsid w:val="001815DC"/>
    <w:rsid w:val="00181DB5"/>
    <w:rsid w:val="0019680B"/>
    <w:rsid w:val="001A0F0D"/>
    <w:rsid w:val="001A395F"/>
    <w:rsid w:val="001A6E3F"/>
    <w:rsid w:val="001B0EEB"/>
    <w:rsid w:val="001B2F20"/>
    <w:rsid w:val="001B6055"/>
    <w:rsid w:val="001D00C2"/>
    <w:rsid w:val="001D77D1"/>
    <w:rsid w:val="001E17D7"/>
    <w:rsid w:val="001F103A"/>
    <w:rsid w:val="001F5152"/>
    <w:rsid w:val="00202FF0"/>
    <w:rsid w:val="002032B3"/>
    <w:rsid w:val="00207078"/>
    <w:rsid w:val="002164AC"/>
    <w:rsid w:val="00221A93"/>
    <w:rsid w:val="00222069"/>
    <w:rsid w:val="0022563B"/>
    <w:rsid w:val="00226F0D"/>
    <w:rsid w:val="002304E5"/>
    <w:rsid w:val="00231067"/>
    <w:rsid w:val="00232223"/>
    <w:rsid w:val="00233896"/>
    <w:rsid w:val="00234177"/>
    <w:rsid w:val="002344AB"/>
    <w:rsid w:val="002423CB"/>
    <w:rsid w:val="00243865"/>
    <w:rsid w:val="00252BF5"/>
    <w:rsid w:val="00264A05"/>
    <w:rsid w:val="002660A6"/>
    <w:rsid w:val="00270467"/>
    <w:rsid w:val="0027296A"/>
    <w:rsid w:val="00290BE5"/>
    <w:rsid w:val="002915AE"/>
    <w:rsid w:val="002933C3"/>
    <w:rsid w:val="002A0CCF"/>
    <w:rsid w:val="002A624F"/>
    <w:rsid w:val="002A7FAD"/>
    <w:rsid w:val="002B74EC"/>
    <w:rsid w:val="002C34CC"/>
    <w:rsid w:val="002C6CD3"/>
    <w:rsid w:val="002D434D"/>
    <w:rsid w:val="002F1B89"/>
    <w:rsid w:val="002F50F5"/>
    <w:rsid w:val="00307015"/>
    <w:rsid w:val="00314274"/>
    <w:rsid w:val="00316988"/>
    <w:rsid w:val="003222A2"/>
    <w:rsid w:val="00335DEF"/>
    <w:rsid w:val="00337201"/>
    <w:rsid w:val="00337443"/>
    <w:rsid w:val="00341817"/>
    <w:rsid w:val="003528A7"/>
    <w:rsid w:val="003528EF"/>
    <w:rsid w:val="00360A86"/>
    <w:rsid w:val="00364292"/>
    <w:rsid w:val="00367290"/>
    <w:rsid w:val="003723E4"/>
    <w:rsid w:val="00373105"/>
    <w:rsid w:val="003770FA"/>
    <w:rsid w:val="00381629"/>
    <w:rsid w:val="00393826"/>
    <w:rsid w:val="00394395"/>
    <w:rsid w:val="00395F41"/>
    <w:rsid w:val="003C218B"/>
    <w:rsid w:val="003D477C"/>
    <w:rsid w:val="003E1043"/>
    <w:rsid w:val="003E3292"/>
    <w:rsid w:val="003E348E"/>
    <w:rsid w:val="003E71E9"/>
    <w:rsid w:val="003F136F"/>
    <w:rsid w:val="0040505F"/>
    <w:rsid w:val="00406920"/>
    <w:rsid w:val="00413F14"/>
    <w:rsid w:val="00426AC7"/>
    <w:rsid w:val="004437B4"/>
    <w:rsid w:val="00457F95"/>
    <w:rsid w:val="004676D1"/>
    <w:rsid w:val="0047568E"/>
    <w:rsid w:val="00476F22"/>
    <w:rsid w:val="004801FF"/>
    <w:rsid w:val="0049350E"/>
    <w:rsid w:val="004979AE"/>
    <w:rsid w:val="004A1360"/>
    <w:rsid w:val="004A5AEC"/>
    <w:rsid w:val="004B4A94"/>
    <w:rsid w:val="004B6091"/>
    <w:rsid w:val="004C0707"/>
    <w:rsid w:val="004C1A99"/>
    <w:rsid w:val="004C45D2"/>
    <w:rsid w:val="004D023F"/>
    <w:rsid w:val="004E7F5A"/>
    <w:rsid w:val="004F6F23"/>
    <w:rsid w:val="004F72AD"/>
    <w:rsid w:val="00500A07"/>
    <w:rsid w:val="005077CF"/>
    <w:rsid w:val="00507E4C"/>
    <w:rsid w:val="00524487"/>
    <w:rsid w:val="00531967"/>
    <w:rsid w:val="00533F6B"/>
    <w:rsid w:val="00536F8A"/>
    <w:rsid w:val="00537BD7"/>
    <w:rsid w:val="00542A0E"/>
    <w:rsid w:val="00544EBA"/>
    <w:rsid w:val="0054560D"/>
    <w:rsid w:val="00554F93"/>
    <w:rsid w:val="00557441"/>
    <w:rsid w:val="00560413"/>
    <w:rsid w:val="005627D0"/>
    <w:rsid w:val="00563AF4"/>
    <w:rsid w:val="00570278"/>
    <w:rsid w:val="00570895"/>
    <w:rsid w:val="00585545"/>
    <w:rsid w:val="005933B5"/>
    <w:rsid w:val="005A40FE"/>
    <w:rsid w:val="005B0069"/>
    <w:rsid w:val="005B223B"/>
    <w:rsid w:val="005B2CA5"/>
    <w:rsid w:val="005B3B21"/>
    <w:rsid w:val="005B57A1"/>
    <w:rsid w:val="005B74C5"/>
    <w:rsid w:val="005B7D3F"/>
    <w:rsid w:val="005C082B"/>
    <w:rsid w:val="005C4109"/>
    <w:rsid w:val="005C6549"/>
    <w:rsid w:val="005E49D0"/>
    <w:rsid w:val="005F0D90"/>
    <w:rsid w:val="005F5863"/>
    <w:rsid w:val="005F7FA1"/>
    <w:rsid w:val="00600B2B"/>
    <w:rsid w:val="00602AC7"/>
    <w:rsid w:val="00607966"/>
    <w:rsid w:val="00617477"/>
    <w:rsid w:val="0062722F"/>
    <w:rsid w:val="006308C1"/>
    <w:rsid w:val="006310FD"/>
    <w:rsid w:val="0063252B"/>
    <w:rsid w:val="006364FA"/>
    <w:rsid w:val="00643EE0"/>
    <w:rsid w:val="00646CC9"/>
    <w:rsid w:val="00647EF4"/>
    <w:rsid w:val="00653ED3"/>
    <w:rsid w:val="00673A9D"/>
    <w:rsid w:val="00682FB5"/>
    <w:rsid w:val="00692ED0"/>
    <w:rsid w:val="006939E9"/>
    <w:rsid w:val="006A3353"/>
    <w:rsid w:val="006B1972"/>
    <w:rsid w:val="006C5188"/>
    <w:rsid w:val="006D364B"/>
    <w:rsid w:val="006D425B"/>
    <w:rsid w:val="006E22F8"/>
    <w:rsid w:val="006F04A6"/>
    <w:rsid w:val="006F3778"/>
    <w:rsid w:val="007038F5"/>
    <w:rsid w:val="007064D4"/>
    <w:rsid w:val="007116F9"/>
    <w:rsid w:val="00725D8E"/>
    <w:rsid w:val="0072665E"/>
    <w:rsid w:val="00727314"/>
    <w:rsid w:val="007327E4"/>
    <w:rsid w:val="0074297A"/>
    <w:rsid w:val="00745784"/>
    <w:rsid w:val="00754A9D"/>
    <w:rsid w:val="00764154"/>
    <w:rsid w:val="0077009F"/>
    <w:rsid w:val="00775EA1"/>
    <w:rsid w:val="00781F64"/>
    <w:rsid w:val="00784259"/>
    <w:rsid w:val="007848C1"/>
    <w:rsid w:val="007962AB"/>
    <w:rsid w:val="007B512D"/>
    <w:rsid w:val="007C5DC7"/>
    <w:rsid w:val="007D1B05"/>
    <w:rsid w:val="007E05AE"/>
    <w:rsid w:val="007E0DBD"/>
    <w:rsid w:val="007E26F2"/>
    <w:rsid w:val="007F0668"/>
    <w:rsid w:val="008019F6"/>
    <w:rsid w:val="008029AF"/>
    <w:rsid w:val="00805AE5"/>
    <w:rsid w:val="00807E84"/>
    <w:rsid w:val="008205D1"/>
    <w:rsid w:val="0082077B"/>
    <w:rsid w:val="0082082F"/>
    <w:rsid w:val="00825084"/>
    <w:rsid w:val="00836E62"/>
    <w:rsid w:val="00840AAE"/>
    <w:rsid w:val="008445BF"/>
    <w:rsid w:val="00845915"/>
    <w:rsid w:val="008539D3"/>
    <w:rsid w:val="00861C26"/>
    <w:rsid w:val="00880675"/>
    <w:rsid w:val="008813BE"/>
    <w:rsid w:val="00883908"/>
    <w:rsid w:val="00891DFA"/>
    <w:rsid w:val="008A1582"/>
    <w:rsid w:val="008B5C6F"/>
    <w:rsid w:val="008D16F2"/>
    <w:rsid w:val="008D2C28"/>
    <w:rsid w:val="008D3335"/>
    <w:rsid w:val="008D36CB"/>
    <w:rsid w:val="008D3A0E"/>
    <w:rsid w:val="008D615A"/>
    <w:rsid w:val="008D6B08"/>
    <w:rsid w:val="008E1375"/>
    <w:rsid w:val="008E4946"/>
    <w:rsid w:val="00902202"/>
    <w:rsid w:val="00903BC0"/>
    <w:rsid w:val="00922170"/>
    <w:rsid w:val="00924712"/>
    <w:rsid w:val="009249D9"/>
    <w:rsid w:val="009269AE"/>
    <w:rsid w:val="009310F1"/>
    <w:rsid w:val="00934E2A"/>
    <w:rsid w:val="00937627"/>
    <w:rsid w:val="00937AFB"/>
    <w:rsid w:val="009429A9"/>
    <w:rsid w:val="00945D1C"/>
    <w:rsid w:val="00947457"/>
    <w:rsid w:val="009554E6"/>
    <w:rsid w:val="00957B69"/>
    <w:rsid w:val="0096005B"/>
    <w:rsid w:val="009620DE"/>
    <w:rsid w:val="00967612"/>
    <w:rsid w:val="00973F98"/>
    <w:rsid w:val="0098054E"/>
    <w:rsid w:val="00983522"/>
    <w:rsid w:val="00983DA6"/>
    <w:rsid w:val="00983FDF"/>
    <w:rsid w:val="00987ED1"/>
    <w:rsid w:val="00997C0B"/>
    <w:rsid w:val="009C0076"/>
    <w:rsid w:val="009C40E4"/>
    <w:rsid w:val="009D2C1B"/>
    <w:rsid w:val="009E00C6"/>
    <w:rsid w:val="009E3819"/>
    <w:rsid w:val="009F2AE4"/>
    <w:rsid w:val="009F3FE3"/>
    <w:rsid w:val="00A02FAA"/>
    <w:rsid w:val="00A03B24"/>
    <w:rsid w:val="00A059E8"/>
    <w:rsid w:val="00A07CD2"/>
    <w:rsid w:val="00A148B1"/>
    <w:rsid w:val="00A17E2A"/>
    <w:rsid w:val="00A21341"/>
    <w:rsid w:val="00A44F46"/>
    <w:rsid w:val="00A44F4A"/>
    <w:rsid w:val="00A44F99"/>
    <w:rsid w:val="00A5569A"/>
    <w:rsid w:val="00A570FE"/>
    <w:rsid w:val="00A62F61"/>
    <w:rsid w:val="00A713AD"/>
    <w:rsid w:val="00A741C9"/>
    <w:rsid w:val="00A813AB"/>
    <w:rsid w:val="00A82CF1"/>
    <w:rsid w:val="00A83570"/>
    <w:rsid w:val="00A95568"/>
    <w:rsid w:val="00AA1F5B"/>
    <w:rsid w:val="00AB1317"/>
    <w:rsid w:val="00AC369C"/>
    <w:rsid w:val="00AC42BC"/>
    <w:rsid w:val="00AD6587"/>
    <w:rsid w:val="00AD7EE3"/>
    <w:rsid w:val="00AE199D"/>
    <w:rsid w:val="00AF4B5E"/>
    <w:rsid w:val="00B103DA"/>
    <w:rsid w:val="00B118B4"/>
    <w:rsid w:val="00B137C0"/>
    <w:rsid w:val="00B15E19"/>
    <w:rsid w:val="00B2030C"/>
    <w:rsid w:val="00B25FF7"/>
    <w:rsid w:val="00B369E7"/>
    <w:rsid w:val="00B4249F"/>
    <w:rsid w:val="00B45B51"/>
    <w:rsid w:val="00B53F80"/>
    <w:rsid w:val="00B57D22"/>
    <w:rsid w:val="00B63C9E"/>
    <w:rsid w:val="00B77053"/>
    <w:rsid w:val="00B817F0"/>
    <w:rsid w:val="00B83059"/>
    <w:rsid w:val="00B87111"/>
    <w:rsid w:val="00B875C1"/>
    <w:rsid w:val="00B9257D"/>
    <w:rsid w:val="00BA4739"/>
    <w:rsid w:val="00BB0023"/>
    <w:rsid w:val="00BD400C"/>
    <w:rsid w:val="00BD5064"/>
    <w:rsid w:val="00BE231A"/>
    <w:rsid w:val="00BE7270"/>
    <w:rsid w:val="00C112CD"/>
    <w:rsid w:val="00C170EC"/>
    <w:rsid w:val="00C21229"/>
    <w:rsid w:val="00C23783"/>
    <w:rsid w:val="00C3073E"/>
    <w:rsid w:val="00C415EA"/>
    <w:rsid w:val="00C476AF"/>
    <w:rsid w:val="00C530CD"/>
    <w:rsid w:val="00C57978"/>
    <w:rsid w:val="00C666E2"/>
    <w:rsid w:val="00C66932"/>
    <w:rsid w:val="00C66E63"/>
    <w:rsid w:val="00C71029"/>
    <w:rsid w:val="00C73C52"/>
    <w:rsid w:val="00C944E5"/>
    <w:rsid w:val="00C95172"/>
    <w:rsid w:val="00C951B8"/>
    <w:rsid w:val="00CA0D4D"/>
    <w:rsid w:val="00CA1E86"/>
    <w:rsid w:val="00CA4BC5"/>
    <w:rsid w:val="00CA4CE7"/>
    <w:rsid w:val="00CC0B1C"/>
    <w:rsid w:val="00CC3DA0"/>
    <w:rsid w:val="00CC5C81"/>
    <w:rsid w:val="00CD3CDB"/>
    <w:rsid w:val="00CD58FD"/>
    <w:rsid w:val="00CD5AC1"/>
    <w:rsid w:val="00CD7F63"/>
    <w:rsid w:val="00CE1851"/>
    <w:rsid w:val="00CE78D2"/>
    <w:rsid w:val="00CF28F6"/>
    <w:rsid w:val="00CF4488"/>
    <w:rsid w:val="00CF6683"/>
    <w:rsid w:val="00D0337F"/>
    <w:rsid w:val="00D0638E"/>
    <w:rsid w:val="00D10349"/>
    <w:rsid w:val="00D10DBC"/>
    <w:rsid w:val="00D11B04"/>
    <w:rsid w:val="00D17520"/>
    <w:rsid w:val="00D26CA8"/>
    <w:rsid w:val="00D32D72"/>
    <w:rsid w:val="00D35257"/>
    <w:rsid w:val="00D442B1"/>
    <w:rsid w:val="00D4552D"/>
    <w:rsid w:val="00D5106C"/>
    <w:rsid w:val="00D6622B"/>
    <w:rsid w:val="00D7200D"/>
    <w:rsid w:val="00D761A7"/>
    <w:rsid w:val="00D76ECA"/>
    <w:rsid w:val="00D9246B"/>
    <w:rsid w:val="00D9774C"/>
    <w:rsid w:val="00DA03D9"/>
    <w:rsid w:val="00DA53DD"/>
    <w:rsid w:val="00DA6311"/>
    <w:rsid w:val="00DB5DF7"/>
    <w:rsid w:val="00DC0F1B"/>
    <w:rsid w:val="00DC1A7E"/>
    <w:rsid w:val="00DC286F"/>
    <w:rsid w:val="00DD3E6B"/>
    <w:rsid w:val="00DD61E9"/>
    <w:rsid w:val="00DD6FDD"/>
    <w:rsid w:val="00DE33EC"/>
    <w:rsid w:val="00DE69B4"/>
    <w:rsid w:val="00DF540B"/>
    <w:rsid w:val="00E10A93"/>
    <w:rsid w:val="00E151D4"/>
    <w:rsid w:val="00E20AE0"/>
    <w:rsid w:val="00E23CCA"/>
    <w:rsid w:val="00E30C1B"/>
    <w:rsid w:val="00E40ABF"/>
    <w:rsid w:val="00E422B5"/>
    <w:rsid w:val="00E437FE"/>
    <w:rsid w:val="00E44AF3"/>
    <w:rsid w:val="00E548D6"/>
    <w:rsid w:val="00E5651D"/>
    <w:rsid w:val="00E570E4"/>
    <w:rsid w:val="00E579D5"/>
    <w:rsid w:val="00E60464"/>
    <w:rsid w:val="00E7122C"/>
    <w:rsid w:val="00E7221C"/>
    <w:rsid w:val="00E819A6"/>
    <w:rsid w:val="00E9160C"/>
    <w:rsid w:val="00E93A26"/>
    <w:rsid w:val="00EA05BC"/>
    <w:rsid w:val="00EA1280"/>
    <w:rsid w:val="00EA2FD2"/>
    <w:rsid w:val="00EB1EB6"/>
    <w:rsid w:val="00EB7971"/>
    <w:rsid w:val="00EB7AE6"/>
    <w:rsid w:val="00EC12C2"/>
    <w:rsid w:val="00EC1475"/>
    <w:rsid w:val="00ED02A7"/>
    <w:rsid w:val="00ED47B0"/>
    <w:rsid w:val="00ED7EF1"/>
    <w:rsid w:val="00EE7E46"/>
    <w:rsid w:val="00F00B56"/>
    <w:rsid w:val="00F0140B"/>
    <w:rsid w:val="00F21D77"/>
    <w:rsid w:val="00F22D50"/>
    <w:rsid w:val="00F45E78"/>
    <w:rsid w:val="00F52386"/>
    <w:rsid w:val="00F74E3F"/>
    <w:rsid w:val="00F77260"/>
    <w:rsid w:val="00F8088A"/>
    <w:rsid w:val="00F93A4E"/>
    <w:rsid w:val="00FA0535"/>
    <w:rsid w:val="00FA3C75"/>
    <w:rsid w:val="00FA40AD"/>
    <w:rsid w:val="00FB687C"/>
    <w:rsid w:val="00FB68D6"/>
    <w:rsid w:val="00FD0A77"/>
    <w:rsid w:val="00FE410C"/>
    <w:rsid w:val="00FE4EA4"/>
    <w:rsid w:val="00FF3D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07DC"/>
  <w15:chartTrackingRefBased/>
  <w15:docId w15:val="{848A49B9-83E2-4364-AFA4-ED766FB6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22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2B5"/>
  </w:style>
  <w:style w:type="paragraph" w:styleId="Pidipagina">
    <w:name w:val="footer"/>
    <w:basedOn w:val="Normale"/>
    <w:link w:val="PidipaginaCarattere"/>
    <w:uiPriority w:val="99"/>
    <w:unhideWhenUsed/>
    <w:rsid w:val="00E422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2B5"/>
  </w:style>
  <w:style w:type="paragraph" w:styleId="Testonotaapidipagina">
    <w:name w:val="footnote text"/>
    <w:basedOn w:val="Normale"/>
    <w:link w:val="TestonotaapidipaginaCarattere"/>
    <w:uiPriority w:val="99"/>
    <w:unhideWhenUsed/>
    <w:rsid w:val="002A0C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A0CCF"/>
    <w:rPr>
      <w:sz w:val="20"/>
      <w:szCs w:val="20"/>
    </w:rPr>
  </w:style>
  <w:style w:type="character" w:styleId="Rimandonotaapidipagina">
    <w:name w:val="footnote reference"/>
    <w:basedOn w:val="Carpredefinitoparagrafo"/>
    <w:uiPriority w:val="99"/>
    <w:semiHidden/>
    <w:unhideWhenUsed/>
    <w:rsid w:val="002A0CCF"/>
    <w:rPr>
      <w:vertAlign w:val="superscript"/>
    </w:rPr>
  </w:style>
  <w:style w:type="character" w:styleId="Collegamentoipertestuale">
    <w:name w:val="Hyperlink"/>
    <w:basedOn w:val="Carpredefinitoparagrafo"/>
    <w:uiPriority w:val="99"/>
    <w:unhideWhenUsed/>
    <w:rsid w:val="004E7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372">
      <w:bodyDiv w:val="1"/>
      <w:marLeft w:val="0"/>
      <w:marRight w:val="0"/>
      <w:marTop w:val="0"/>
      <w:marBottom w:val="0"/>
      <w:divBdr>
        <w:top w:val="none" w:sz="0" w:space="0" w:color="auto"/>
        <w:left w:val="none" w:sz="0" w:space="0" w:color="auto"/>
        <w:bottom w:val="none" w:sz="0" w:space="0" w:color="auto"/>
        <w:right w:val="none" w:sz="0" w:space="0" w:color="auto"/>
      </w:divBdr>
    </w:div>
    <w:div w:id="684357925">
      <w:bodyDiv w:val="1"/>
      <w:marLeft w:val="0"/>
      <w:marRight w:val="0"/>
      <w:marTop w:val="0"/>
      <w:marBottom w:val="0"/>
      <w:divBdr>
        <w:top w:val="none" w:sz="0" w:space="0" w:color="auto"/>
        <w:left w:val="none" w:sz="0" w:space="0" w:color="auto"/>
        <w:bottom w:val="none" w:sz="0" w:space="0" w:color="auto"/>
        <w:right w:val="none" w:sz="0" w:space="0" w:color="auto"/>
      </w:divBdr>
    </w:div>
    <w:div w:id="903105671">
      <w:bodyDiv w:val="1"/>
      <w:marLeft w:val="0"/>
      <w:marRight w:val="0"/>
      <w:marTop w:val="0"/>
      <w:marBottom w:val="0"/>
      <w:divBdr>
        <w:top w:val="none" w:sz="0" w:space="0" w:color="auto"/>
        <w:left w:val="none" w:sz="0" w:space="0" w:color="auto"/>
        <w:bottom w:val="none" w:sz="0" w:space="0" w:color="auto"/>
        <w:right w:val="none" w:sz="0" w:space="0" w:color="auto"/>
      </w:divBdr>
    </w:div>
    <w:div w:id="934752928">
      <w:bodyDiv w:val="1"/>
      <w:marLeft w:val="0"/>
      <w:marRight w:val="0"/>
      <w:marTop w:val="0"/>
      <w:marBottom w:val="0"/>
      <w:divBdr>
        <w:top w:val="none" w:sz="0" w:space="0" w:color="auto"/>
        <w:left w:val="none" w:sz="0" w:space="0" w:color="auto"/>
        <w:bottom w:val="none" w:sz="0" w:space="0" w:color="auto"/>
        <w:right w:val="none" w:sz="0" w:space="0" w:color="auto"/>
      </w:divBdr>
    </w:div>
    <w:div w:id="1113867462">
      <w:bodyDiv w:val="1"/>
      <w:marLeft w:val="0"/>
      <w:marRight w:val="0"/>
      <w:marTop w:val="0"/>
      <w:marBottom w:val="0"/>
      <w:divBdr>
        <w:top w:val="none" w:sz="0" w:space="0" w:color="auto"/>
        <w:left w:val="none" w:sz="0" w:space="0" w:color="auto"/>
        <w:bottom w:val="none" w:sz="0" w:space="0" w:color="auto"/>
        <w:right w:val="none" w:sz="0" w:space="0" w:color="auto"/>
      </w:divBdr>
    </w:div>
    <w:div w:id="1420564113">
      <w:bodyDiv w:val="1"/>
      <w:marLeft w:val="0"/>
      <w:marRight w:val="0"/>
      <w:marTop w:val="0"/>
      <w:marBottom w:val="0"/>
      <w:divBdr>
        <w:top w:val="none" w:sz="0" w:space="0" w:color="auto"/>
        <w:left w:val="none" w:sz="0" w:space="0" w:color="auto"/>
        <w:bottom w:val="none" w:sz="0" w:space="0" w:color="auto"/>
        <w:right w:val="none" w:sz="0" w:space="0" w:color="auto"/>
      </w:divBdr>
    </w:div>
    <w:div w:id="1707681227">
      <w:bodyDiv w:val="1"/>
      <w:marLeft w:val="0"/>
      <w:marRight w:val="0"/>
      <w:marTop w:val="0"/>
      <w:marBottom w:val="0"/>
      <w:divBdr>
        <w:top w:val="none" w:sz="0" w:space="0" w:color="auto"/>
        <w:left w:val="none" w:sz="0" w:space="0" w:color="auto"/>
        <w:bottom w:val="none" w:sz="0" w:space="0" w:color="auto"/>
        <w:right w:val="none" w:sz="0" w:space="0" w:color="auto"/>
      </w:divBdr>
    </w:div>
    <w:div w:id="1851022988">
      <w:bodyDiv w:val="1"/>
      <w:marLeft w:val="0"/>
      <w:marRight w:val="0"/>
      <w:marTop w:val="0"/>
      <w:marBottom w:val="0"/>
      <w:divBdr>
        <w:top w:val="none" w:sz="0" w:space="0" w:color="auto"/>
        <w:left w:val="none" w:sz="0" w:space="0" w:color="auto"/>
        <w:bottom w:val="none" w:sz="0" w:space="0" w:color="auto"/>
        <w:right w:val="none" w:sz="0" w:space="0" w:color="auto"/>
      </w:divBdr>
    </w:div>
    <w:div w:id="2040472606">
      <w:bodyDiv w:val="1"/>
      <w:marLeft w:val="0"/>
      <w:marRight w:val="0"/>
      <w:marTop w:val="0"/>
      <w:marBottom w:val="0"/>
      <w:divBdr>
        <w:top w:val="none" w:sz="0" w:space="0" w:color="auto"/>
        <w:left w:val="none" w:sz="0" w:space="0" w:color="auto"/>
        <w:bottom w:val="none" w:sz="0" w:space="0" w:color="auto"/>
        <w:right w:val="none" w:sz="0" w:space="0" w:color="auto"/>
      </w:divBdr>
    </w:div>
    <w:div w:id="21273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h-france.net/forum/h-franceforumvol9.html" TargetMode="External"/><Relationship Id="rId13" Type="http://schemas.openxmlformats.org/officeDocument/2006/relationships/hyperlink" Target="https://www.persee.fr/collection/arcpa" TargetMode="External"/><Relationship Id="rId18" Type="http://schemas.openxmlformats.org/officeDocument/2006/relationships/hyperlink" Target="https://doi.org/10.13128/Cromohs-14129" TargetMode="External"/><Relationship Id="rId3" Type="http://schemas.openxmlformats.org/officeDocument/2006/relationships/hyperlink" Target="https://www.persee.fr/collection/arcpa" TargetMode="External"/><Relationship Id="rId7" Type="http://schemas.openxmlformats.org/officeDocument/2006/relationships/hyperlink" Target="https://www.frantext.fr/" TargetMode="External"/><Relationship Id="rId12" Type="http://schemas.openxmlformats.org/officeDocument/2006/relationships/hyperlink" Target="https://artfl-project.uchicago.edu/content/philologic4-databases" TargetMode="External"/><Relationship Id="rId17" Type="http://schemas.openxmlformats.org/officeDocument/2006/relationships/hyperlink" Target="https://www.persee.fr/collection/arcpa" TargetMode="External"/><Relationship Id="rId2" Type="http://schemas.openxmlformats.org/officeDocument/2006/relationships/hyperlink" Target="https://artfl-project.uchicago.edu/content/philologic4-databases" TargetMode="External"/><Relationship Id="rId16" Type="http://schemas.openxmlformats.org/officeDocument/2006/relationships/hyperlink" Target="https://artfl-project.uchicago.edu/content/philologic4-databases" TargetMode="External"/><Relationship Id="rId1" Type="http://schemas.openxmlformats.org/officeDocument/2006/relationships/hyperlink" Target="http://artfl-project.uchicago.edu/node/144" TargetMode="External"/><Relationship Id="rId6" Type="http://schemas.openxmlformats.org/officeDocument/2006/relationships/hyperlink" Target="http://artfl-project.uchicago.edu/node/144.Nel" TargetMode="External"/><Relationship Id="rId11" Type="http://schemas.openxmlformats.org/officeDocument/2006/relationships/hyperlink" Target="http://artfl-project.uchicago.edu/node/144" TargetMode="External"/><Relationship Id="rId5" Type="http://schemas.openxmlformats.org/officeDocument/2006/relationships/hyperlink" Target="http://gallica.bnf.fr/ark:/12148/bpt6k57093h" TargetMode="External"/><Relationship Id="rId15" Type="http://schemas.openxmlformats.org/officeDocument/2006/relationships/hyperlink" Target="http://artfl-project.uchicago.edu/node/144" TargetMode="External"/><Relationship Id="rId10" Type="http://schemas.openxmlformats.org/officeDocument/2006/relationships/hyperlink" Target="http://artflsrv02.uchicago.edu/cgi-bin/philologic/contextualize.pl?p.4.baudouin0314.56419" TargetMode="External"/><Relationship Id="rId4" Type="http://schemas.openxmlformats.org/officeDocument/2006/relationships/hyperlink" Target="http://revolution-francaise.net/2007/02/07/107-proposito-felicita-rivoluzione-francese-banche-linguistica-computazionale" TargetMode="External"/><Relationship Id="rId9" Type="http://schemas.openxmlformats.org/officeDocument/2006/relationships/hyperlink" Target="http://artflsrv02.uchicago.edu/cgi-bin/philologic/getobject.pl?c.29:310.baudouin0314.731330.731342" TargetMode="External"/><Relationship Id="rId14" Type="http://schemas.openxmlformats.org/officeDocument/2006/relationships/hyperlink" Target="https://collection-baudouin.univ-paris1.fr/decrets-lois/recherche-dans-le-tex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4773-41FA-41FF-9E5D-07EC1728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17</Pages>
  <Words>5275</Words>
  <Characters>30071</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286</cp:revision>
  <dcterms:created xsi:type="dcterms:W3CDTF">2019-09-14T10:28:00Z</dcterms:created>
  <dcterms:modified xsi:type="dcterms:W3CDTF">2020-01-31T13:21:00Z</dcterms:modified>
</cp:coreProperties>
</file>