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5FB9" w:rsidRDefault="00F55FB9" w:rsidP="00B5301E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Cesare Vetter</w:t>
      </w:r>
      <w:bookmarkStart w:id="0" w:name="_GoBack"/>
      <w:bookmarkEnd w:id="0"/>
    </w:p>
    <w:p w:rsidR="00B5301E" w:rsidRPr="00E746AB" w:rsidRDefault="00B5301E" w:rsidP="00B5301E">
      <w:pPr>
        <w:jc w:val="both"/>
        <w:rPr>
          <w:rFonts w:cstheme="minorHAnsi"/>
          <w:sz w:val="24"/>
          <w:szCs w:val="24"/>
        </w:rPr>
      </w:pPr>
      <w:r w:rsidRPr="00E746AB">
        <w:rPr>
          <w:rFonts w:cstheme="minorHAnsi"/>
          <w:sz w:val="24"/>
          <w:szCs w:val="24"/>
        </w:rPr>
        <w:t>Terrore e rivoluzione francese: interpretazioni a confronto.</w:t>
      </w:r>
    </w:p>
    <w:p w:rsidR="00B5301E" w:rsidRPr="00E746AB" w:rsidRDefault="00B5301E" w:rsidP="00B5301E">
      <w:pPr>
        <w:jc w:val="both"/>
        <w:rPr>
          <w:rFonts w:cstheme="minorHAnsi"/>
          <w:sz w:val="24"/>
          <w:szCs w:val="24"/>
        </w:rPr>
      </w:pPr>
      <w:r w:rsidRPr="00E746AB">
        <w:rPr>
          <w:rFonts w:cstheme="minorHAnsi"/>
          <w:sz w:val="24"/>
          <w:szCs w:val="24"/>
        </w:rPr>
        <w:t>Sul Terrore nella rivoluzione francese, si confrontano sostanzialmente due interpretazioni storiografiche:</w:t>
      </w:r>
    </w:p>
    <w:p w:rsidR="00B5301E" w:rsidRPr="00E746AB" w:rsidRDefault="00B5301E" w:rsidP="00B5301E">
      <w:pPr>
        <w:jc w:val="both"/>
        <w:rPr>
          <w:rFonts w:cstheme="minorHAnsi"/>
          <w:sz w:val="24"/>
          <w:szCs w:val="24"/>
        </w:rPr>
      </w:pPr>
      <w:r w:rsidRPr="00E746AB">
        <w:rPr>
          <w:rFonts w:cstheme="minorHAnsi"/>
          <w:sz w:val="24"/>
          <w:szCs w:val="24"/>
        </w:rPr>
        <w:t xml:space="preserve">a) Il Terrore come risposta contingente alle circostanze. È la tesi proposta dalla scuola «classica» o «progressista». La tradizione che va da J. </w:t>
      </w:r>
      <w:proofErr w:type="spellStart"/>
      <w:r w:rsidRPr="00E746AB">
        <w:rPr>
          <w:rFonts w:cstheme="minorHAnsi"/>
          <w:sz w:val="24"/>
          <w:szCs w:val="24"/>
        </w:rPr>
        <w:t>Michelet</w:t>
      </w:r>
      <w:proofErr w:type="spellEnd"/>
      <w:r w:rsidRPr="00E746AB">
        <w:rPr>
          <w:rFonts w:cstheme="minorHAnsi"/>
          <w:sz w:val="24"/>
          <w:szCs w:val="24"/>
        </w:rPr>
        <w:t xml:space="preserve"> (1798-1874) a </w:t>
      </w:r>
      <w:proofErr w:type="spellStart"/>
      <w:r w:rsidRPr="00E746AB">
        <w:rPr>
          <w:rFonts w:cstheme="minorHAnsi"/>
          <w:sz w:val="24"/>
          <w:szCs w:val="24"/>
        </w:rPr>
        <w:t>A</w:t>
      </w:r>
      <w:proofErr w:type="spellEnd"/>
      <w:r w:rsidRPr="00E746AB">
        <w:rPr>
          <w:rFonts w:cstheme="minorHAnsi"/>
          <w:sz w:val="24"/>
          <w:szCs w:val="24"/>
        </w:rPr>
        <w:t xml:space="preserve">. </w:t>
      </w:r>
      <w:proofErr w:type="spellStart"/>
      <w:r w:rsidRPr="00E746AB">
        <w:rPr>
          <w:rFonts w:cstheme="minorHAnsi"/>
          <w:sz w:val="24"/>
          <w:szCs w:val="24"/>
        </w:rPr>
        <w:t>Soboul</w:t>
      </w:r>
      <w:proofErr w:type="spellEnd"/>
      <w:r w:rsidRPr="00E746AB">
        <w:rPr>
          <w:rFonts w:cstheme="minorHAnsi"/>
          <w:sz w:val="24"/>
          <w:szCs w:val="24"/>
        </w:rPr>
        <w:t xml:space="preserve"> (1914-1982), che annovera tra i suoi esponenti più significativi J. </w:t>
      </w:r>
      <w:proofErr w:type="spellStart"/>
      <w:r w:rsidRPr="00E746AB">
        <w:rPr>
          <w:rFonts w:cstheme="minorHAnsi"/>
          <w:sz w:val="24"/>
          <w:szCs w:val="24"/>
        </w:rPr>
        <w:t>Jaurès</w:t>
      </w:r>
      <w:proofErr w:type="spellEnd"/>
      <w:r w:rsidRPr="00E746AB">
        <w:rPr>
          <w:rFonts w:cstheme="minorHAnsi"/>
          <w:sz w:val="24"/>
          <w:szCs w:val="24"/>
        </w:rPr>
        <w:t xml:space="preserve">, A. </w:t>
      </w:r>
      <w:proofErr w:type="spellStart"/>
      <w:r w:rsidRPr="00E746AB">
        <w:rPr>
          <w:rFonts w:cstheme="minorHAnsi"/>
          <w:sz w:val="24"/>
          <w:szCs w:val="24"/>
        </w:rPr>
        <w:t>Aulard</w:t>
      </w:r>
      <w:proofErr w:type="spellEnd"/>
      <w:r w:rsidRPr="00E746AB">
        <w:rPr>
          <w:rFonts w:cstheme="minorHAnsi"/>
          <w:sz w:val="24"/>
          <w:szCs w:val="24"/>
        </w:rPr>
        <w:t xml:space="preserve">, A. </w:t>
      </w:r>
      <w:proofErr w:type="spellStart"/>
      <w:r w:rsidRPr="00E746AB">
        <w:rPr>
          <w:rFonts w:cstheme="minorHAnsi"/>
          <w:sz w:val="24"/>
          <w:szCs w:val="24"/>
        </w:rPr>
        <w:t>Mathiez</w:t>
      </w:r>
      <w:proofErr w:type="spellEnd"/>
      <w:r w:rsidRPr="00E746AB">
        <w:rPr>
          <w:rFonts w:cstheme="minorHAnsi"/>
          <w:sz w:val="24"/>
          <w:szCs w:val="24"/>
        </w:rPr>
        <w:t xml:space="preserve"> e G. Lefebvre, M. Vovelle e nella quale, tra gli storici viventi, possiamo includere C. </w:t>
      </w:r>
      <w:proofErr w:type="spellStart"/>
      <w:r w:rsidRPr="00E746AB">
        <w:rPr>
          <w:rFonts w:cstheme="minorHAnsi"/>
          <w:sz w:val="24"/>
          <w:szCs w:val="24"/>
        </w:rPr>
        <w:t>Mazauric</w:t>
      </w:r>
      <w:proofErr w:type="spellEnd"/>
      <w:r w:rsidRPr="00E746AB">
        <w:rPr>
          <w:rFonts w:cstheme="minorHAnsi"/>
          <w:sz w:val="24"/>
          <w:szCs w:val="24"/>
        </w:rPr>
        <w:t xml:space="preserve">.  Alle «circostanze», come spiegazione del Terrore, fanno riferimento autori </w:t>
      </w:r>
      <w:proofErr w:type="spellStart"/>
      <w:r w:rsidRPr="00E746AB">
        <w:rPr>
          <w:rFonts w:cstheme="minorHAnsi"/>
          <w:sz w:val="24"/>
          <w:szCs w:val="24"/>
        </w:rPr>
        <w:t>neogiacobini</w:t>
      </w:r>
      <w:proofErr w:type="spellEnd"/>
      <w:r w:rsidRPr="00E746AB">
        <w:rPr>
          <w:rFonts w:cstheme="minorHAnsi"/>
          <w:sz w:val="24"/>
          <w:szCs w:val="24"/>
        </w:rPr>
        <w:t xml:space="preserve"> e socialisti dell’Ottocento, fra i quali L. </w:t>
      </w:r>
      <w:proofErr w:type="spellStart"/>
      <w:proofErr w:type="gramStart"/>
      <w:r w:rsidRPr="00E746AB">
        <w:rPr>
          <w:rFonts w:cstheme="minorHAnsi"/>
          <w:sz w:val="24"/>
          <w:szCs w:val="24"/>
        </w:rPr>
        <w:t>Blanc</w:t>
      </w:r>
      <w:proofErr w:type="spellEnd"/>
      <w:r w:rsidRPr="00E746AB">
        <w:rPr>
          <w:rFonts w:cstheme="minorHAnsi"/>
          <w:sz w:val="24"/>
          <w:szCs w:val="24"/>
        </w:rPr>
        <w:t xml:space="preserve">,  </w:t>
      </w:r>
      <w:proofErr w:type="spellStart"/>
      <w:r w:rsidRPr="00E746AB">
        <w:rPr>
          <w:rFonts w:cstheme="minorHAnsi"/>
          <w:sz w:val="24"/>
          <w:szCs w:val="24"/>
        </w:rPr>
        <w:t>Ph</w:t>
      </w:r>
      <w:proofErr w:type="spellEnd"/>
      <w:proofErr w:type="gramEnd"/>
      <w:r w:rsidRPr="00E746AB">
        <w:rPr>
          <w:rFonts w:cstheme="minorHAnsi"/>
          <w:sz w:val="24"/>
          <w:szCs w:val="24"/>
        </w:rPr>
        <w:t xml:space="preserve">. </w:t>
      </w:r>
      <w:proofErr w:type="spellStart"/>
      <w:r w:rsidRPr="00E746AB">
        <w:rPr>
          <w:rFonts w:cstheme="minorHAnsi"/>
          <w:sz w:val="24"/>
          <w:szCs w:val="24"/>
        </w:rPr>
        <w:t>Buchez</w:t>
      </w:r>
      <w:proofErr w:type="spellEnd"/>
      <w:r w:rsidRPr="00E746AB">
        <w:rPr>
          <w:rFonts w:cstheme="minorHAnsi"/>
          <w:sz w:val="24"/>
          <w:szCs w:val="24"/>
        </w:rPr>
        <w:t xml:space="preserve"> e P.-C. Roux, A. </w:t>
      </w:r>
      <w:proofErr w:type="spellStart"/>
      <w:r w:rsidRPr="00E746AB">
        <w:rPr>
          <w:rFonts w:cstheme="minorHAnsi"/>
          <w:sz w:val="24"/>
          <w:szCs w:val="24"/>
        </w:rPr>
        <w:t>Esquiros</w:t>
      </w:r>
      <w:proofErr w:type="spellEnd"/>
      <w:r w:rsidRPr="00E746AB">
        <w:rPr>
          <w:rFonts w:cstheme="minorHAnsi"/>
          <w:sz w:val="24"/>
          <w:szCs w:val="24"/>
        </w:rPr>
        <w:t xml:space="preserve"> e storici liberali della Restaurazione, come F. </w:t>
      </w:r>
      <w:proofErr w:type="spellStart"/>
      <w:r w:rsidRPr="00E746AB">
        <w:rPr>
          <w:rFonts w:cstheme="minorHAnsi"/>
          <w:sz w:val="24"/>
          <w:szCs w:val="24"/>
        </w:rPr>
        <w:t>Mignet</w:t>
      </w:r>
      <w:proofErr w:type="spellEnd"/>
      <w:r w:rsidRPr="00E746AB">
        <w:rPr>
          <w:rFonts w:cstheme="minorHAnsi"/>
          <w:sz w:val="24"/>
          <w:szCs w:val="24"/>
        </w:rPr>
        <w:t xml:space="preserve"> e A. </w:t>
      </w:r>
      <w:proofErr w:type="spellStart"/>
      <w:r w:rsidRPr="00E746AB">
        <w:rPr>
          <w:rFonts w:cstheme="minorHAnsi"/>
          <w:sz w:val="24"/>
          <w:szCs w:val="24"/>
        </w:rPr>
        <w:t>Thiers</w:t>
      </w:r>
      <w:proofErr w:type="spellEnd"/>
      <w:r w:rsidRPr="00E746AB">
        <w:rPr>
          <w:rFonts w:cstheme="minorHAnsi"/>
          <w:sz w:val="24"/>
          <w:szCs w:val="24"/>
        </w:rPr>
        <w:t xml:space="preserve">. </w:t>
      </w:r>
    </w:p>
    <w:p w:rsidR="00B5301E" w:rsidRPr="00E746AB" w:rsidRDefault="00B5301E" w:rsidP="00B5301E">
      <w:pPr>
        <w:jc w:val="both"/>
        <w:rPr>
          <w:rFonts w:cstheme="minorHAnsi"/>
          <w:sz w:val="24"/>
          <w:szCs w:val="24"/>
        </w:rPr>
      </w:pPr>
      <w:r w:rsidRPr="00E746AB">
        <w:rPr>
          <w:rFonts w:cstheme="minorHAnsi"/>
          <w:sz w:val="24"/>
          <w:szCs w:val="24"/>
        </w:rPr>
        <w:t xml:space="preserve">b) Il Terrore come conseguenza di un’impostazione ideologica e politica. È la tesi della scuola revisionista. Gli storici che si sono impegnati maggiormente in questa prospettiva d’analisi sono F. Furet (1927-1997) e M. </w:t>
      </w:r>
      <w:proofErr w:type="spellStart"/>
      <w:r w:rsidRPr="00E746AB">
        <w:rPr>
          <w:rFonts w:cstheme="minorHAnsi"/>
          <w:sz w:val="24"/>
          <w:szCs w:val="24"/>
        </w:rPr>
        <w:t>Ozouf</w:t>
      </w:r>
      <w:proofErr w:type="spellEnd"/>
      <w:r w:rsidRPr="00E746AB">
        <w:rPr>
          <w:rFonts w:cstheme="minorHAnsi"/>
          <w:sz w:val="24"/>
          <w:szCs w:val="24"/>
        </w:rPr>
        <w:t>.</w:t>
      </w:r>
    </w:p>
    <w:p w:rsidR="00A64CB8" w:rsidRPr="00E746AB" w:rsidRDefault="00B5301E" w:rsidP="00B5301E">
      <w:pPr>
        <w:jc w:val="both"/>
        <w:rPr>
          <w:rFonts w:cstheme="minorHAnsi"/>
          <w:sz w:val="24"/>
          <w:szCs w:val="24"/>
        </w:rPr>
      </w:pPr>
      <w:r w:rsidRPr="00E746AB">
        <w:rPr>
          <w:rFonts w:cstheme="minorHAnsi"/>
          <w:sz w:val="24"/>
          <w:szCs w:val="24"/>
        </w:rPr>
        <w:t xml:space="preserve">Precedentemente alla messa a punto revisionista, la spiegazione del Terrore in chiave di «circostanze» era stata messa in discussione da alcuni autori liberali, a cavallo tra il XVIII e il XIX secolo. I testi più significativi sono quelli di Madame de </w:t>
      </w:r>
      <w:proofErr w:type="spellStart"/>
      <w:r w:rsidRPr="00E746AB">
        <w:rPr>
          <w:rFonts w:cstheme="minorHAnsi"/>
          <w:sz w:val="24"/>
          <w:szCs w:val="24"/>
        </w:rPr>
        <w:t>Staël</w:t>
      </w:r>
      <w:proofErr w:type="spellEnd"/>
      <w:r w:rsidRPr="00E746AB">
        <w:rPr>
          <w:rFonts w:cstheme="minorHAnsi"/>
          <w:sz w:val="24"/>
          <w:szCs w:val="24"/>
        </w:rPr>
        <w:t xml:space="preserve"> e di B. </w:t>
      </w:r>
      <w:proofErr w:type="spellStart"/>
      <w:r w:rsidRPr="00E746AB">
        <w:rPr>
          <w:rFonts w:cstheme="minorHAnsi"/>
          <w:sz w:val="24"/>
          <w:szCs w:val="24"/>
        </w:rPr>
        <w:t>Constant</w:t>
      </w:r>
      <w:proofErr w:type="spellEnd"/>
      <w:r w:rsidRPr="00E746AB">
        <w:rPr>
          <w:rFonts w:cstheme="minorHAnsi"/>
          <w:sz w:val="24"/>
          <w:szCs w:val="24"/>
        </w:rPr>
        <w:t xml:space="preserve">.  Nel corso del XIX secolo la contestazione più decisa della «teoria delle circostanze» – in campo democratico – è sviluppata da E. </w:t>
      </w:r>
      <w:proofErr w:type="spellStart"/>
      <w:r w:rsidRPr="00E746AB">
        <w:rPr>
          <w:rFonts w:cstheme="minorHAnsi"/>
          <w:sz w:val="24"/>
          <w:szCs w:val="24"/>
        </w:rPr>
        <w:t>Quinet</w:t>
      </w:r>
      <w:proofErr w:type="spellEnd"/>
      <w:r w:rsidRPr="00E746AB">
        <w:rPr>
          <w:rFonts w:cstheme="minorHAnsi"/>
          <w:sz w:val="24"/>
          <w:szCs w:val="24"/>
        </w:rPr>
        <w:t xml:space="preserve">, in </w:t>
      </w:r>
      <w:r w:rsidRPr="00E746AB">
        <w:rPr>
          <w:rFonts w:cstheme="minorHAnsi"/>
          <w:i/>
          <w:sz w:val="24"/>
          <w:szCs w:val="24"/>
        </w:rPr>
        <w:t>La Révolution</w:t>
      </w:r>
      <w:r w:rsidRPr="00E746AB">
        <w:rPr>
          <w:rFonts w:cstheme="minorHAnsi"/>
          <w:sz w:val="24"/>
          <w:szCs w:val="24"/>
        </w:rPr>
        <w:t xml:space="preserve">(1865) La produzione storiografica – come è ovvio – registra prese di posizione articolate, non riconducibili ad appartenenze di scuola. Il caso di </w:t>
      </w:r>
      <w:proofErr w:type="spellStart"/>
      <w:r w:rsidRPr="00E746AB">
        <w:rPr>
          <w:rFonts w:cstheme="minorHAnsi"/>
          <w:sz w:val="24"/>
          <w:szCs w:val="24"/>
        </w:rPr>
        <w:t>Michelet</w:t>
      </w:r>
      <w:proofErr w:type="spellEnd"/>
      <w:r w:rsidRPr="00E746AB">
        <w:rPr>
          <w:rFonts w:cstheme="minorHAnsi"/>
          <w:sz w:val="24"/>
          <w:szCs w:val="24"/>
        </w:rPr>
        <w:t xml:space="preserve"> è controverso. La lettura del Terrore proposta da Lefebvre non può prescindere dalle acute – e per molti versi insuperate – notazioni sulla folla e la mentalità collettiva rivoluzionaria (speranza, paura, reazione difensiva, volontà punitiva). Per restare nell’ambito della produzione recente, non sarebbe corretto ingabbiare in rigide posizioni di scuola M. Vovelle, B. Baczko, P. </w:t>
      </w:r>
      <w:proofErr w:type="spellStart"/>
      <w:r w:rsidRPr="00E746AB">
        <w:rPr>
          <w:rFonts w:cstheme="minorHAnsi"/>
          <w:sz w:val="24"/>
          <w:szCs w:val="24"/>
        </w:rPr>
        <w:t>Gueniffey</w:t>
      </w:r>
      <w:proofErr w:type="spellEnd"/>
      <w:r w:rsidRPr="00E746AB">
        <w:rPr>
          <w:rFonts w:cstheme="minorHAnsi"/>
          <w:sz w:val="24"/>
          <w:szCs w:val="24"/>
        </w:rPr>
        <w:t>, S. Wahnich, M. Biard, J.- Cl. Martin.  Nella sostanza, in ogni caso, le due prospettive, che si confrontano, sono quelle che ho sommariamente delineato.</w:t>
      </w:r>
    </w:p>
    <w:p w:rsidR="00B5301E" w:rsidRDefault="00B5301E" w:rsidP="00B5301E">
      <w:pPr>
        <w:jc w:val="both"/>
        <w:rPr>
          <w:rFonts w:cstheme="minorHAnsi"/>
          <w:sz w:val="24"/>
          <w:szCs w:val="24"/>
          <w:lang w:val="fr-FR"/>
        </w:rPr>
      </w:pPr>
      <w:r w:rsidRPr="00E746AB">
        <w:rPr>
          <w:rFonts w:cstheme="minorHAnsi"/>
          <w:sz w:val="24"/>
          <w:szCs w:val="24"/>
        </w:rPr>
        <w:t>Per una messa a punto recente – anche sotto il profilo bibliografico – cfr.</w:t>
      </w:r>
      <w:r w:rsidR="00E746AB" w:rsidRPr="00E746AB">
        <w:rPr>
          <w:rFonts w:cstheme="minorHAnsi"/>
          <w:sz w:val="24"/>
          <w:szCs w:val="24"/>
        </w:rPr>
        <w:t xml:space="preserve"> in particolare </w:t>
      </w:r>
      <w:r w:rsidR="00E746AB" w:rsidRPr="00E746AB">
        <w:rPr>
          <w:rFonts w:cstheme="minorHAnsi"/>
          <w:color w:val="444444"/>
          <w:sz w:val="24"/>
          <w:szCs w:val="24"/>
          <w:shd w:val="clear" w:color="auto" w:fill="FFFFFF"/>
        </w:rPr>
        <w:t>Jean-</w:t>
      </w:r>
      <w:proofErr w:type="spellStart"/>
      <w:r w:rsidR="00E746AB" w:rsidRPr="00E746AB">
        <w:rPr>
          <w:rFonts w:cstheme="minorHAnsi"/>
          <w:color w:val="444444"/>
          <w:sz w:val="24"/>
          <w:szCs w:val="24"/>
          <w:shd w:val="clear" w:color="auto" w:fill="FFFFFF"/>
        </w:rPr>
        <w:t>Clément</w:t>
      </w:r>
      <w:proofErr w:type="spellEnd"/>
      <w:r w:rsidR="00E746AB" w:rsidRPr="00E746AB">
        <w:rPr>
          <w:rFonts w:cstheme="minorHAnsi"/>
          <w:color w:val="444444"/>
          <w:sz w:val="24"/>
          <w:szCs w:val="24"/>
          <w:shd w:val="clear" w:color="auto" w:fill="FFFFFF"/>
        </w:rPr>
        <w:t xml:space="preserve"> Martin, </w:t>
      </w:r>
      <w:r w:rsidR="00E746AB" w:rsidRPr="00E746AB">
        <w:rPr>
          <w:rFonts w:cstheme="minorHAnsi"/>
          <w:i/>
          <w:color w:val="444444"/>
          <w:sz w:val="24"/>
          <w:szCs w:val="24"/>
          <w:shd w:val="clear" w:color="auto" w:fill="FFFFFF"/>
        </w:rPr>
        <w:t xml:space="preserve">La Terreur. </w:t>
      </w:r>
      <w:r w:rsidR="00E746AB" w:rsidRPr="00E746AB">
        <w:rPr>
          <w:rFonts w:cstheme="minorHAnsi"/>
          <w:i/>
          <w:color w:val="444444"/>
          <w:sz w:val="24"/>
          <w:szCs w:val="24"/>
          <w:shd w:val="clear" w:color="auto" w:fill="FFFFFF"/>
          <w:lang w:val="fr-FR"/>
        </w:rPr>
        <w:t>Vérités et légendes</w:t>
      </w:r>
      <w:r w:rsidR="00E746AB" w:rsidRPr="00E746AB">
        <w:rPr>
          <w:rFonts w:cstheme="minorHAnsi"/>
          <w:color w:val="444444"/>
          <w:sz w:val="24"/>
          <w:szCs w:val="24"/>
          <w:shd w:val="clear" w:color="auto" w:fill="FFFFFF"/>
          <w:lang w:val="fr-FR"/>
        </w:rPr>
        <w:t>, Paris, Perrin, 2017 ;</w:t>
      </w:r>
      <w:r w:rsidR="00E746AB">
        <w:rPr>
          <w:rFonts w:cstheme="minorHAnsi"/>
          <w:color w:val="444444"/>
          <w:sz w:val="24"/>
          <w:szCs w:val="24"/>
          <w:shd w:val="clear" w:color="auto" w:fill="FFFFFF"/>
          <w:lang w:val="fr-FR"/>
        </w:rPr>
        <w:t xml:space="preserve"> Idem,</w:t>
      </w:r>
      <w:r w:rsidR="00E746AB" w:rsidRPr="00E746AB">
        <w:rPr>
          <w:rFonts w:cstheme="minorHAnsi"/>
          <w:i/>
          <w:sz w:val="24"/>
          <w:szCs w:val="24"/>
          <w:lang w:val="fr-FR"/>
        </w:rPr>
        <w:t xml:space="preserve"> Les Échos de la Terreur</w:t>
      </w:r>
      <w:r w:rsidR="00E746AB" w:rsidRPr="00E746AB">
        <w:rPr>
          <w:rFonts w:cstheme="minorHAnsi"/>
          <w:sz w:val="24"/>
          <w:szCs w:val="24"/>
          <w:lang w:val="fr-FR"/>
        </w:rPr>
        <w:t>, Paris, Belin, 2019.</w:t>
      </w:r>
    </w:p>
    <w:p w:rsidR="00FC0817" w:rsidRDefault="00E746AB" w:rsidP="00B5301E">
      <w:pPr>
        <w:jc w:val="both"/>
        <w:rPr>
          <w:rFonts w:cstheme="minorHAnsi"/>
          <w:sz w:val="24"/>
          <w:szCs w:val="24"/>
          <w:lang w:val="fr-FR"/>
        </w:rPr>
      </w:pPr>
      <w:proofErr w:type="spellStart"/>
      <w:r>
        <w:rPr>
          <w:rFonts w:cstheme="minorHAnsi"/>
          <w:sz w:val="24"/>
          <w:szCs w:val="24"/>
          <w:lang w:val="fr-FR"/>
        </w:rPr>
        <w:t>Cfr</w:t>
      </w:r>
      <w:proofErr w:type="spellEnd"/>
      <w:r>
        <w:rPr>
          <w:rFonts w:cstheme="minorHAnsi"/>
          <w:sz w:val="24"/>
          <w:szCs w:val="24"/>
          <w:lang w:val="fr-FR"/>
        </w:rPr>
        <w:t xml:space="preserve">. </w:t>
      </w:r>
      <w:proofErr w:type="spellStart"/>
      <w:r>
        <w:rPr>
          <w:rFonts w:cstheme="minorHAnsi"/>
          <w:sz w:val="24"/>
          <w:szCs w:val="24"/>
          <w:lang w:val="fr-FR"/>
        </w:rPr>
        <w:t>inoltre</w:t>
      </w:r>
      <w:proofErr w:type="spellEnd"/>
      <w:r>
        <w:rPr>
          <w:rFonts w:cstheme="minorHAnsi"/>
          <w:sz w:val="24"/>
          <w:szCs w:val="24"/>
          <w:lang w:val="fr-FR"/>
        </w:rPr>
        <w:t xml:space="preserve"> </w:t>
      </w:r>
      <w:r w:rsidR="00FC0817" w:rsidRPr="00FC0817">
        <w:rPr>
          <w:rFonts w:cstheme="minorHAnsi"/>
          <w:color w:val="444444"/>
          <w:sz w:val="24"/>
          <w:szCs w:val="24"/>
          <w:shd w:val="clear" w:color="auto" w:fill="FFFFFF"/>
          <w:lang w:val="fr-FR"/>
        </w:rPr>
        <w:t>Jean-Clément Martin</w:t>
      </w:r>
      <w:r w:rsidR="00FC0817">
        <w:rPr>
          <w:rFonts w:cstheme="minorHAnsi"/>
          <w:sz w:val="24"/>
          <w:szCs w:val="24"/>
          <w:lang w:val="fr-FR"/>
        </w:rPr>
        <w:t xml:space="preserve"> </w:t>
      </w:r>
      <w:r w:rsidR="00FC0817" w:rsidRPr="00FC0817">
        <w:rPr>
          <w:rFonts w:cstheme="minorHAnsi"/>
          <w:i/>
          <w:sz w:val="24"/>
          <w:szCs w:val="24"/>
          <w:lang w:val="fr-FR"/>
        </w:rPr>
        <w:t>Que faire de «la Terreur</w:t>
      </w:r>
      <w:proofErr w:type="gramStart"/>
      <w:r w:rsidR="00FC0817" w:rsidRPr="00FC0817">
        <w:rPr>
          <w:rFonts w:cstheme="minorHAnsi"/>
          <w:i/>
          <w:sz w:val="24"/>
          <w:szCs w:val="24"/>
          <w:lang w:val="fr-FR"/>
        </w:rPr>
        <w:t>»?</w:t>
      </w:r>
      <w:proofErr w:type="gramEnd"/>
      <w:r w:rsidR="00FC0817" w:rsidRPr="00FC0817">
        <w:rPr>
          <w:rFonts w:cstheme="minorHAnsi"/>
          <w:i/>
          <w:sz w:val="24"/>
          <w:szCs w:val="24"/>
          <w:lang w:val="fr-FR"/>
        </w:rPr>
        <w:t xml:space="preserve"> Pour se débarrasser de mauvaises habitudes</w:t>
      </w:r>
      <w:proofErr w:type="gramStart"/>
      <w:r w:rsidR="00FC0817">
        <w:rPr>
          <w:rFonts w:cstheme="minorHAnsi"/>
          <w:i/>
          <w:sz w:val="24"/>
          <w:szCs w:val="24"/>
          <w:lang w:val="fr-FR"/>
        </w:rPr>
        <w:t> </w:t>
      </w:r>
      <w:r w:rsidR="00FC0817">
        <w:rPr>
          <w:rFonts w:cstheme="minorHAnsi"/>
          <w:sz w:val="24"/>
          <w:szCs w:val="24"/>
          <w:lang w:val="fr-FR"/>
        </w:rPr>
        <w:t xml:space="preserve"> (</w:t>
      </w:r>
      <w:proofErr w:type="gramEnd"/>
      <w:r w:rsidR="00FC0817">
        <w:rPr>
          <w:rFonts w:cstheme="minorHAnsi"/>
          <w:sz w:val="24"/>
          <w:szCs w:val="24"/>
          <w:lang w:val="fr-FR"/>
        </w:rPr>
        <w:t xml:space="preserve">2 mars 2020) : </w:t>
      </w:r>
      <w:hyperlink r:id="rId4" w:history="1">
        <w:r w:rsidR="00FC0817" w:rsidRPr="00A0384F">
          <w:rPr>
            <w:rStyle w:val="Collegamentoipertestuale"/>
            <w:rFonts w:cstheme="minorHAnsi"/>
            <w:sz w:val="24"/>
            <w:szCs w:val="24"/>
            <w:lang w:val="fr-FR"/>
          </w:rPr>
          <w:t>https://blogs.mediapart.fr/jean-clement-martin/blog/020320/que-faire-de-la-terreur-pour-se-debarrasser-de-mauvaises-habitudes</w:t>
        </w:r>
      </w:hyperlink>
    </w:p>
    <w:p w:rsidR="00FC0817" w:rsidRPr="00FC0817" w:rsidRDefault="00FC0817" w:rsidP="00B5301E">
      <w:pPr>
        <w:jc w:val="both"/>
        <w:rPr>
          <w:rFonts w:cstheme="minorHAnsi"/>
          <w:sz w:val="24"/>
          <w:szCs w:val="24"/>
          <w:lang w:val="fr-FR"/>
        </w:rPr>
      </w:pPr>
      <w:r w:rsidRPr="00FC0817">
        <w:rPr>
          <w:rFonts w:cstheme="minorHAnsi"/>
          <w:sz w:val="24"/>
          <w:szCs w:val="24"/>
          <w:lang w:val="fr-FR"/>
        </w:rPr>
        <w:cr/>
      </w:r>
    </w:p>
    <w:sectPr w:rsidR="00FC0817" w:rsidRPr="00FC081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301E"/>
    <w:rsid w:val="00A64CB8"/>
    <w:rsid w:val="00B5301E"/>
    <w:rsid w:val="00E746AB"/>
    <w:rsid w:val="00F55FB9"/>
    <w:rsid w:val="00FC0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58D218-9FB8-4C66-8D46-ECEE6841B2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FC081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blogs.mediapart.fr/jean-clement-martin/blog/020320/que-faire-de-la-terreur-pour-se-debarrasser-de-mauvaises-habitudes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413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cesare vetter</dc:creator>
  <cp:keywords/>
  <dc:description/>
  <cp:lastModifiedBy>cesare vetter</cp:lastModifiedBy>
  <cp:revision>4</cp:revision>
  <dcterms:created xsi:type="dcterms:W3CDTF">2020-03-21T11:45:00Z</dcterms:created>
  <dcterms:modified xsi:type="dcterms:W3CDTF">2020-03-21T12:20:00Z</dcterms:modified>
</cp:coreProperties>
</file>