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F0" w:rsidRPr="00870F9D" w:rsidRDefault="001400F0" w:rsidP="001400F0">
      <w:pPr>
        <w:rPr>
          <w:b/>
          <w:sz w:val="24"/>
          <w:szCs w:val="24"/>
        </w:rPr>
      </w:pPr>
      <w:r w:rsidRPr="00870F9D">
        <w:rPr>
          <w:b/>
          <w:sz w:val="24"/>
          <w:szCs w:val="24"/>
        </w:rPr>
        <w:t>Repubblicanesimo e rivoluzione francese</w:t>
      </w:r>
      <w:r w:rsidR="00F970EF">
        <w:rPr>
          <w:b/>
          <w:sz w:val="24"/>
          <w:szCs w:val="24"/>
        </w:rPr>
        <w:t>.</w:t>
      </w:r>
    </w:p>
    <w:p w:rsidR="001400F0" w:rsidRPr="00870F9D" w:rsidRDefault="001400F0" w:rsidP="001400F0">
      <w:pPr>
        <w:rPr>
          <w:b/>
          <w:sz w:val="24"/>
          <w:szCs w:val="24"/>
        </w:rPr>
      </w:pPr>
      <w:r w:rsidRPr="00870F9D">
        <w:rPr>
          <w:b/>
          <w:sz w:val="24"/>
          <w:szCs w:val="24"/>
        </w:rPr>
        <w:t>Bibliografia  essenziale:</w:t>
      </w:r>
    </w:p>
    <w:p w:rsidR="001400F0" w:rsidRDefault="001400F0" w:rsidP="001400F0">
      <w:pPr>
        <w:jc w:val="both"/>
        <w:rPr>
          <w:rFonts w:ascii="Calibri" w:hAnsi="Calibri"/>
          <w:sz w:val="24"/>
          <w:szCs w:val="24"/>
        </w:rPr>
      </w:pPr>
      <w:r w:rsidRPr="002D3F8A">
        <w:rPr>
          <w:rFonts w:ascii="Calibri" w:hAnsi="Calibri"/>
          <w:sz w:val="24"/>
          <w:szCs w:val="24"/>
        </w:rPr>
        <w:t xml:space="preserve">Keith Michael Baker, </w:t>
      </w:r>
      <w:r w:rsidRPr="002D3F8A">
        <w:rPr>
          <w:rFonts w:ascii="Calibri" w:hAnsi="Calibri"/>
          <w:i/>
          <w:iCs/>
          <w:sz w:val="24"/>
          <w:szCs w:val="24"/>
        </w:rPr>
        <w:t>Le trasformazioni del repubblicanesimo classico nella Francia del Settecento</w:t>
      </w:r>
      <w:r w:rsidRPr="002D3F8A">
        <w:rPr>
          <w:rFonts w:ascii="Calibri" w:hAnsi="Calibri"/>
          <w:sz w:val="24"/>
          <w:szCs w:val="24"/>
        </w:rPr>
        <w:t xml:space="preserve">, in </w:t>
      </w:r>
      <w:r w:rsidRPr="002D3F8A">
        <w:rPr>
          <w:rFonts w:ascii="Calibri" w:hAnsi="Calibri"/>
          <w:i/>
          <w:iCs/>
          <w:sz w:val="24"/>
          <w:szCs w:val="24"/>
        </w:rPr>
        <w:t>Libertà politica e virtù civile. Significati e percorsi del repubblicanesimo classico</w:t>
      </w:r>
      <w:r w:rsidRPr="002D3F8A">
        <w:rPr>
          <w:rFonts w:ascii="Calibri" w:hAnsi="Calibri"/>
          <w:sz w:val="24"/>
          <w:szCs w:val="24"/>
        </w:rPr>
        <w:t xml:space="preserve">, a cura di Maurizio </w:t>
      </w:r>
      <w:proofErr w:type="spellStart"/>
      <w:r w:rsidRPr="002D3F8A">
        <w:rPr>
          <w:rFonts w:ascii="Calibri" w:hAnsi="Calibri"/>
          <w:sz w:val="24"/>
          <w:szCs w:val="24"/>
        </w:rPr>
        <w:t>Viroli</w:t>
      </w:r>
      <w:proofErr w:type="spellEnd"/>
      <w:r w:rsidRPr="002D3F8A">
        <w:rPr>
          <w:rFonts w:ascii="Calibri" w:hAnsi="Calibri"/>
          <w:sz w:val="24"/>
          <w:szCs w:val="24"/>
        </w:rPr>
        <w:t>,  Edizioni Fondazione Giovanni Agnelli, Torino, 2004, pp. 149-175 ( analizza Robespierre alle pp. 168-173).</w:t>
      </w:r>
    </w:p>
    <w:p w:rsidR="00011314" w:rsidRDefault="00F63EAF" w:rsidP="0001131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Raymonde Monnier « Républicanisme, libéralisme et Révolution française », </w:t>
      </w:r>
      <w:r>
        <w:rPr>
          <w:rStyle w:val="Enfasicorsivo"/>
          <w:sz w:val="24"/>
          <w:szCs w:val="24"/>
          <w:lang w:val="fr-FR"/>
        </w:rPr>
        <w:t>Actuel Marx</w:t>
      </w:r>
      <w:r>
        <w:rPr>
          <w:sz w:val="24"/>
          <w:szCs w:val="24"/>
          <w:lang w:val="fr-FR"/>
        </w:rPr>
        <w:t xml:space="preserve"> 2/2002 (n° 32), pp. 83-108.</w:t>
      </w:r>
    </w:p>
    <w:p w:rsidR="00011314" w:rsidRPr="00011314" w:rsidRDefault="00011314" w:rsidP="00011314">
      <w:pPr>
        <w:rPr>
          <w:sz w:val="24"/>
          <w:szCs w:val="24"/>
          <w:lang w:val="fr-FR"/>
        </w:rPr>
      </w:pPr>
      <w:r>
        <w:rPr>
          <w:rFonts w:cs="Arial"/>
          <w:color w:val="405A26"/>
          <w:sz w:val="24"/>
          <w:szCs w:val="24"/>
          <w:lang w:val="fr-FR"/>
        </w:rPr>
        <w:t>Article disponible en ligne à l'adresse:</w:t>
      </w:r>
    </w:p>
    <w:p w:rsidR="00011314" w:rsidRDefault="00011314" w:rsidP="000113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b/>
          <w:bCs/>
          <w:color w:val="0081C1"/>
          <w:sz w:val="24"/>
          <w:szCs w:val="24"/>
          <w:lang w:val="fr-FR"/>
        </w:rPr>
        <w:t>http://www.cairn.info/revue-actuel-marx-2002-2-page-83.htm</w:t>
      </w:r>
    </w:p>
    <w:p w:rsidR="00011314" w:rsidRDefault="00011314" w:rsidP="00F63EAF">
      <w:pPr>
        <w:rPr>
          <w:sz w:val="24"/>
          <w:szCs w:val="24"/>
          <w:lang w:val="fr-FR"/>
        </w:rPr>
      </w:pPr>
    </w:p>
    <w:p w:rsidR="00DA7540" w:rsidRDefault="00DA7540" w:rsidP="001400F0">
      <w:pPr>
        <w:jc w:val="both"/>
        <w:rPr>
          <w:rFonts w:ascii="Calibri" w:hAnsi="Calibri"/>
          <w:sz w:val="24"/>
          <w:szCs w:val="24"/>
          <w:lang w:val="fr-FR"/>
        </w:rPr>
      </w:pPr>
      <w:r w:rsidRPr="00DA7540">
        <w:rPr>
          <w:rFonts w:ascii="Calibri" w:hAnsi="Calibri"/>
          <w:sz w:val="24"/>
          <w:szCs w:val="24"/>
          <w:lang w:val="fr-FR"/>
        </w:rPr>
        <w:t xml:space="preserve">R. Monnier, </w:t>
      </w:r>
      <w:r w:rsidRPr="00DA7540">
        <w:rPr>
          <w:rFonts w:ascii="Calibri" w:hAnsi="Calibri"/>
          <w:i/>
          <w:sz w:val="24"/>
          <w:szCs w:val="24"/>
          <w:lang w:val="fr-FR"/>
        </w:rPr>
        <w:t>Républicanisme, patriotisme et Révolution française</w:t>
      </w:r>
      <w:r w:rsidRPr="00DA7540">
        <w:rPr>
          <w:rFonts w:ascii="Calibri" w:hAnsi="Calibri"/>
          <w:sz w:val="24"/>
          <w:szCs w:val="24"/>
          <w:lang w:val="fr-FR"/>
        </w:rPr>
        <w:t xml:space="preserve">, </w:t>
      </w:r>
      <w:r>
        <w:rPr>
          <w:rFonts w:ascii="Calibri" w:hAnsi="Calibri"/>
          <w:sz w:val="24"/>
          <w:szCs w:val="24"/>
          <w:lang w:val="fr-FR"/>
        </w:rPr>
        <w:t>L’Harmattan, Paris, 2005.</w:t>
      </w:r>
    </w:p>
    <w:p w:rsidR="00DA7540" w:rsidRPr="00F63EAF" w:rsidRDefault="00DA7540" w:rsidP="001400F0">
      <w:pPr>
        <w:jc w:val="both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AA. VV., </w:t>
      </w:r>
      <w:r w:rsidRPr="00DA7540">
        <w:rPr>
          <w:rFonts w:ascii="Calibri" w:hAnsi="Calibri"/>
          <w:i/>
          <w:sz w:val="24"/>
          <w:szCs w:val="24"/>
          <w:lang w:val="fr-FR"/>
        </w:rPr>
        <w:t>Révoltes et révolutions en Europe (Russie comprise) et aux Amériques de 1773 à 1802</w:t>
      </w:r>
      <w:r>
        <w:rPr>
          <w:rFonts w:ascii="Calibri" w:hAnsi="Calibri"/>
          <w:sz w:val="24"/>
          <w:szCs w:val="24"/>
          <w:lang w:val="fr-FR"/>
        </w:rPr>
        <w:t>, sous la direction de Raymonde Monnier, Ellipses, Paris,</w:t>
      </w:r>
      <w:r w:rsidR="00F970EF"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 xml:space="preserve">2004 ( </w:t>
      </w:r>
      <w:proofErr w:type="spellStart"/>
      <w:r>
        <w:rPr>
          <w:rFonts w:ascii="Calibri" w:hAnsi="Calibri"/>
          <w:sz w:val="24"/>
          <w:szCs w:val="24"/>
          <w:lang w:val="fr-FR"/>
        </w:rPr>
        <w:t>cfr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. in </w:t>
      </w:r>
      <w:proofErr w:type="spellStart"/>
      <w:r>
        <w:rPr>
          <w:rFonts w:ascii="Calibri" w:hAnsi="Calibri"/>
          <w:sz w:val="24"/>
          <w:szCs w:val="24"/>
          <w:lang w:val="fr-FR"/>
        </w:rPr>
        <w:t>particolare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R. Monnier, </w:t>
      </w:r>
      <w:r w:rsidRPr="00DA7540">
        <w:rPr>
          <w:rFonts w:ascii="Calibri" w:hAnsi="Calibri"/>
          <w:i/>
          <w:sz w:val="24"/>
          <w:szCs w:val="24"/>
          <w:lang w:val="fr-FR"/>
        </w:rPr>
        <w:t>Le républicanisme à l’épreuve de la révolution française</w:t>
      </w:r>
      <w:r w:rsidR="00870F9D">
        <w:rPr>
          <w:rFonts w:ascii="Calibri" w:hAnsi="Calibri"/>
          <w:i/>
          <w:sz w:val="24"/>
          <w:szCs w:val="24"/>
          <w:lang w:val="fr-FR"/>
        </w:rPr>
        <w:t>.</w:t>
      </w:r>
      <w:r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F63EAF">
        <w:rPr>
          <w:rFonts w:ascii="Calibri" w:hAnsi="Calibri"/>
          <w:i/>
          <w:sz w:val="24"/>
          <w:szCs w:val="24"/>
          <w:lang w:val="fr-FR"/>
        </w:rPr>
        <w:t>1770-1802</w:t>
      </w:r>
      <w:r w:rsidRPr="00F63EAF">
        <w:rPr>
          <w:rFonts w:ascii="Calibri" w:hAnsi="Calibri"/>
          <w:sz w:val="24"/>
          <w:szCs w:val="24"/>
          <w:lang w:val="fr-FR"/>
        </w:rPr>
        <w:t xml:space="preserve">, </w:t>
      </w:r>
      <w:proofErr w:type="spellStart"/>
      <w:r w:rsidRPr="00F63EAF">
        <w:rPr>
          <w:rFonts w:ascii="Calibri" w:hAnsi="Calibri"/>
          <w:sz w:val="24"/>
          <w:szCs w:val="24"/>
          <w:lang w:val="fr-FR"/>
        </w:rPr>
        <w:t>ivi</w:t>
      </w:r>
      <w:proofErr w:type="spellEnd"/>
      <w:r w:rsidRPr="00F63EAF">
        <w:rPr>
          <w:rFonts w:ascii="Calibri" w:hAnsi="Calibri"/>
          <w:sz w:val="24"/>
          <w:szCs w:val="24"/>
          <w:lang w:val="fr-FR"/>
        </w:rPr>
        <w:t>, pp.</w:t>
      </w:r>
      <w:r w:rsidR="00870F9D" w:rsidRPr="00F63EAF">
        <w:rPr>
          <w:rFonts w:ascii="Calibri" w:hAnsi="Calibri"/>
          <w:sz w:val="24"/>
          <w:szCs w:val="24"/>
          <w:lang w:val="fr-FR"/>
        </w:rPr>
        <w:t xml:space="preserve"> 311-342).</w:t>
      </w:r>
    </w:p>
    <w:p w:rsidR="00687C35" w:rsidRPr="00687C35" w:rsidRDefault="00687C35" w:rsidP="00687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Raymonde Monnier, « Tradition et innovation : transfert et réception des textes républicains autour de 1789 », </w:t>
      </w:r>
      <w:r w:rsidRPr="00687C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Révolution Française.net</w:t>
      </w:r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Juillet 2011, http://revolution-francaise.net/2011/07/07/444-tradition-et-innovation-transfert-et-reception-des-textes-republicains-autour-de-1789</w:t>
      </w:r>
      <w:r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.</w:t>
      </w:r>
    </w:p>
    <w:p w:rsidR="00687C35" w:rsidRPr="00687C35" w:rsidRDefault="00687C35" w:rsidP="001400F0">
      <w:pPr>
        <w:jc w:val="both"/>
        <w:rPr>
          <w:lang w:val="fr-FR"/>
        </w:rPr>
      </w:pPr>
    </w:p>
    <w:p w:rsidR="001400F0" w:rsidRPr="00870F9D" w:rsidRDefault="001400F0" w:rsidP="00870F9D">
      <w:pPr>
        <w:rPr>
          <w:lang w:val="en-US"/>
        </w:rPr>
      </w:pPr>
      <w:r w:rsidRPr="00870F9D">
        <w:rPr>
          <w:rFonts w:eastAsia="Times New Roman" w:cs="Times New Roman"/>
          <w:i/>
          <w:color w:val="000000"/>
          <w:kern w:val="36"/>
          <w:sz w:val="24"/>
          <w:szCs w:val="24"/>
          <w:lang w:val="en-US" w:eastAsia="it-IT"/>
        </w:rPr>
        <w:t xml:space="preserve">Republicanism. </w:t>
      </w:r>
      <w:r w:rsidRPr="00DA7540">
        <w:rPr>
          <w:rFonts w:eastAsia="Times New Roman" w:cs="Times New Roman"/>
          <w:i/>
          <w:color w:val="000000"/>
          <w:kern w:val="36"/>
          <w:sz w:val="24"/>
          <w:szCs w:val="24"/>
          <w:lang w:val="en-US" w:eastAsia="it-IT"/>
        </w:rPr>
        <w:t>A Shared European Heritage</w:t>
      </w:r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, 2 </w:t>
      </w:r>
      <w:proofErr w:type="spellStart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>voll</w:t>
      </w:r>
      <w:proofErr w:type="spellEnd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., edited by Martin van </w:t>
      </w:r>
      <w:proofErr w:type="spellStart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>Gelderen</w:t>
      </w:r>
      <w:proofErr w:type="spellEnd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 and Quentin Skinner, Cambridge University Press, 2005.</w:t>
      </w:r>
    </w:p>
    <w:p w:rsidR="001400F0" w:rsidRDefault="001400F0" w:rsidP="001400F0">
      <w:pPr>
        <w:spacing w:after="58" w:line="240" w:lineRule="auto"/>
        <w:outlineLvl w:val="1"/>
        <w:rPr>
          <w:rFonts w:eastAsia="Times New Roman" w:cs="Times New Roman"/>
          <w:color w:val="000000"/>
          <w:kern w:val="36"/>
          <w:lang w:val="en-US" w:eastAsia="it-IT"/>
        </w:rPr>
      </w:pPr>
    </w:p>
    <w:p w:rsidR="001400F0" w:rsidRDefault="001400F0" w:rsidP="001400F0">
      <w:pPr>
        <w:spacing w:after="58" w:line="240" w:lineRule="auto"/>
        <w:outlineLvl w:val="1"/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</w:pPr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R. </w:t>
      </w:r>
      <w:proofErr w:type="spellStart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>Hammersley</w:t>
      </w:r>
      <w:proofErr w:type="spellEnd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, </w:t>
      </w:r>
      <w:r w:rsidRPr="00DA7540">
        <w:rPr>
          <w:rFonts w:eastAsia="Times New Roman" w:cs="Times New Roman"/>
          <w:i/>
          <w:color w:val="000000"/>
          <w:kern w:val="36"/>
          <w:sz w:val="24"/>
          <w:szCs w:val="24"/>
          <w:lang w:val="en-US" w:eastAsia="it-IT"/>
        </w:rPr>
        <w:t>French Revolutionaries and English Republicans. The Cordeliers Club, 1790-1794</w:t>
      </w:r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, </w:t>
      </w:r>
      <w:proofErr w:type="spellStart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>Boydell</w:t>
      </w:r>
      <w:proofErr w:type="spellEnd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 Press, 2005.</w:t>
      </w:r>
    </w:p>
    <w:p w:rsidR="00D66704" w:rsidRDefault="00D66704" w:rsidP="00D66704">
      <w:pPr>
        <w:shd w:val="clear" w:color="auto" w:fill="FFFFFF"/>
        <w:spacing w:after="100" w:line="240" w:lineRule="auto"/>
        <w:jc w:val="both"/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</w:pPr>
    </w:p>
    <w:p w:rsidR="00D66704" w:rsidRPr="00D66704" w:rsidRDefault="00D66704" w:rsidP="00D66704">
      <w:pPr>
        <w:shd w:val="clear" w:color="auto" w:fill="FFFFFF"/>
        <w:spacing w:after="100" w:line="240" w:lineRule="auto"/>
        <w:jc w:val="both"/>
        <w:rPr>
          <w:rFonts w:eastAsia="Times New Roman" w:cs="Lucida Sans Unicode"/>
          <w:color w:val="000000"/>
          <w:sz w:val="24"/>
          <w:szCs w:val="24"/>
          <w:lang w:eastAsia="it-IT"/>
        </w:rPr>
      </w:pPr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 xml:space="preserve">R. </w:t>
      </w:r>
      <w:proofErr w:type="spellStart"/>
      <w:r w:rsidRPr="00DA7540"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>Hammersley</w:t>
      </w:r>
      <w:proofErr w:type="spellEnd"/>
      <w:r>
        <w:rPr>
          <w:rFonts w:eastAsia="Times New Roman" w:cs="Times New Roman"/>
          <w:color w:val="000000"/>
          <w:kern w:val="36"/>
          <w:sz w:val="24"/>
          <w:szCs w:val="24"/>
          <w:lang w:val="en-US" w:eastAsia="it-IT"/>
        </w:rPr>
        <w:t>,</w:t>
      </w:r>
      <w:r>
        <w:rPr>
          <w:rFonts w:eastAsia="Times New Roman" w:cs="Lucida Sans Unicode"/>
          <w:iCs/>
          <w:color w:val="000000"/>
          <w:lang w:eastAsia="it-IT"/>
        </w:rPr>
        <w:t xml:space="preserve"> </w:t>
      </w:r>
      <w:r w:rsidRPr="00D66704">
        <w:rPr>
          <w:rFonts w:eastAsia="Times New Roman" w:cs="Lucida Sans Unicode"/>
          <w:i/>
          <w:iCs/>
          <w:color w:val="000000"/>
          <w:sz w:val="24"/>
          <w:szCs w:val="24"/>
          <w:lang w:eastAsia="it-IT"/>
        </w:rPr>
        <w:t>The English Republican Tradition and Eighteenth-Century France. Between the ancients and moderns,</w:t>
      </w:r>
      <w:r w:rsidRPr="00D66704">
        <w:rPr>
          <w:rFonts w:eastAsia="Times New Roman" w:cs="Lucida Sans Unicode"/>
          <w:color w:val="000000"/>
          <w:sz w:val="24"/>
          <w:szCs w:val="24"/>
          <w:lang w:eastAsia="it-IT"/>
        </w:rPr>
        <w:t xml:space="preserve"> Manchester University Press, Manchester, 2010.    </w:t>
      </w:r>
    </w:p>
    <w:p w:rsidR="008F5CA7" w:rsidRPr="00D66704" w:rsidRDefault="008F5CA7" w:rsidP="001400F0">
      <w:pPr>
        <w:spacing w:after="58" w:line="240" w:lineRule="auto"/>
        <w:outlineLvl w:val="1"/>
        <w:rPr>
          <w:rFonts w:eastAsia="Times New Roman" w:cs="Times New Roman"/>
          <w:color w:val="000000"/>
          <w:kern w:val="36"/>
          <w:sz w:val="24"/>
          <w:szCs w:val="24"/>
          <w:lang w:eastAsia="it-IT"/>
        </w:rPr>
      </w:pPr>
    </w:p>
    <w:p w:rsidR="001400F0" w:rsidRPr="00DA7540" w:rsidRDefault="001400F0" w:rsidP="001400F0">
      <w:pPr>
        <w:rPr>
          <w:sz w:val="24"/>
          <w:szCs w:val="24"/>
          <w:lang w:val="en-US"/>
        </w:rPr>
      </w:pPr>
      <w:r w:rsidRPr="00DA7540">
        <w:rPr>
          <w:sz w:val="24"/>
          <w:szCs w:val="24"/>
          <w:lang w:val="en-US"/>
        </w:rPr>
        <w:t xml:space="preserve">M. </w:t>
      </w:r>
      <w:proofErr w:type="spellStart"/>
      <w:r w:rsidRPr="00DA7540">
        <w:rPr>
          <w:sz w:val="24"/>
          <w:szCs w:val="24"/>
          <w:lang w:val="en-US"/>
        </w:rPr>
        <w:t>Hulliung</w:t>
      </w:r>
      <w:proofErr w:type="spellEnd"/>
      <w:r w:rsidRPr="00DA7540">
        <w:rPr>
          <w:sz w:val="24"/>
          <w:szCs w:val="24"/>
          <w:lang w:val="en-US"/>
        </w:rPr>
        <w:t xml:space="preserve">, </w:t>
      </w:r>
      <w:r w:rsidRPr="00DA7540">
        <w:rPr>
          <w:i/>
          <w:sz w:val="24"/>
          <w:szCs w:val="24"/>
          <w:lang w:val="en-US"/>
        </w:rPr>
        <w:t xml:space="preserve">Citizen and </w:t>
      </w:r>
      <w:proofErr w:type="spellStart"/>
      <w:r w:rsidRPr="00DA7540">
        <w:rPr>
          <w:i/>
          <w:sz w:val="24"/>
          <w:szCs w:val="24"/>
          <w:lang w:val="en-US"/>
        </w:rPr>
        <w:t>Citoyens</w:t>
      </w:r>
      <w:proofErr w:type="spellEnd"/>
      <w:r w:rsidRPr="00DA7540">
        <w:rPr>
          <w:i/>
          <w:sz w:val="24"/>
          <w:szCs w:val="24"/>
          <w:lang w:val="en-US"/>
        </w:rPr>
        <w:t>. Republicans and Liberals in America and France</w:t>
      </w:r>
      <w:r w:rsidRPr="00DA7540">
        <w:rPr>
          <w:sz w:val="24"/>
          <w:szCs w:val="24"/>
          <w:lang w:val="en-US"/>
        </w:rPr>
        <w:t>, Harvard University Press, Cambridge (Massachusetts) – London, 2002.</w:t>
      </w:r>
    </w:p>
    <w:p w:rsidR="001400F0" w:rsidRDefault="001400F0" w:rsidP="001400F0">
      <w:pPr>
        <w:rPr>
          <w:color w:val="000000"/>
          <w:sz w:val="24"/>
          <w:szCs w:val="24"/>
          <w:lang w:val="fr-FR"/>
        </w:rPr>
      </w:pPr>
      <w:r w:rsidRPr="004979E3">
        <w:rPr>
          <w:sz w:val="24"/>
          <w:szCs w:val="24"/>
          <w:lang w:val="fr-FR"/>
        </w:rPr>
        <w:t xml:space="preserve">Jean-Fabien Spitz, </w:t>
      </w:r>
      <w:r w:rsidRPr="004979E3">
        <w:rPr>
          <w:i/>
          <w:iCs/>
          <w:color w:val="000000"/>
          <w:sz w:val="24"/>
          <w:szCs w:val="24"/>
          <w:shd w:val="clear" w:color="auto" w:fill="FFFFFF"/>
          <w:lang w:val="fr-FR"/>
        </w:rPr>
        <w:t>Républicanisme et libéralisme dans le moment révolutionnaire</w:t>
      </w:r>
      <w:r w:rsidRPr="004979E3">
        <w:rPr>
          <w:iCs/>
          <w:color w:val="000000"/>
          <w:sz w:val="24"/>
          <w:szCs w:val="24"/>
          <w:shd w:val="clear" w:color="auto" w:fill="FFFFFF"/>
          <w:lang w:val="fr-FR"/>
        </w:rPr>
        <w:t xml:space="preserve">, in </w:t>
      </w:r>
      <w:r w:rsidRPr="004979E3">
        <w:rPr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4979E3">
        <w:rPr>
          <w:color w:val="000000"/>
          <w:sz w:val="24"/>
          <w:szCs w:val="24"/>
          <w:lang w:val="fr-FR"/>
        </w:rPr>
        <w:t>“Annales historiques de la révolution française”, n. 358, octobre-décembre 2009, pp. 19-45.</w:t>
      </w:r>
    </w:p>
    <w:p w:rsidR="00870F9D" w:rsidRDefault="001400F0" w:rsidP="001400F0">
      <w:pPr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lastRenderedPageBreak/>
        <w:t xml:space="preserve">AA. VV., </w:t>
      </w:r>
      <w:r w:rsidRPr="00DA7540">
        <w:rPr>
          <w:i/>
          <w:color w:val="000000"/>
          <w:sz w:val="24"/>
          <w:szCs w:val="24"/>
          <w:lang w:val="fr-FR"/>
        </w:rPr>
        <w:t>Républicanismes et droit naturel. Des humanistes aux révolutions des droits de l’homme et du citoyen</w:t>
      </w:r>
      <w:r>
        <w:rPr>
          <w:color w:val="000000"/>
          <w:sz w:val="24"/>
          <w:szCs w:val="24"/>
          <w:lang w:val="fr-FR"/>
        </w:rPr>
        <w:t>,</w:t>
      </w:r>
      <w:r w:rsidR="00DA7540">
        <w:rPr>
          <w:color w:val="000000"/>
          <w:sz w:val="24"/>
          <w:szCs w:val="24"/>
          <w:lang w:val="fr-FR"/>
        </w:rPr>
        <w:t xml:space="preserve"> </w:t>
      </w:r>
      <w:r>
        <w:rPr>
          <w:color w:val="000000"/>
          <w:sz w:val="24"/>
          <w:szCs w:val="24"/>
          <w:lang w:val="fr-FR"/>
        </w:rPr>
        <w:t>sous la direction de</w:t>
      </w:r>
      <w:r w:rsidR="00DA7540">
        <w:rPr>
          <w:color w:val="000000"/>
          <w:sz w:val="24"/>
          <w:szCs w:val="24"/>
          <w:lang w:val="fr-FR"/>
        </w:rPr>
        <w:t xml:space="preserve"> Marc </w:t>
      </w:r>
      <w:proofErr w:type="spellStart"/>
      <w:r w:rsidR="00DA7540">
        <w:rPr>
          <w:color w:val="000000"/>
          <w:sz w:val="24"/>
          <w:szCs w:val="24"/>
          <w:lang w:val="fr-FR"/>
        </w:rPr>
        <w:t>Belissa</w:t>
      </w:r>
      <w:proofErr w:type="spellEnd"/>
      <w:r w:rsidR="00DA7540">
        <w:rPr>
          <w:color w:val="000000"/>
          <w:sz w:val="24"/>
          <w:szCs w:val="24"/>
          <w:lang w:val="fr-FR"/>
        </w:rPr>
        <w:t xml:space="preserve">, Yannick </w:t>
      </w:r>
      <w:proofErr w:type="spellStart"/>
      <w:r w:rsidR="00DA7540">
        <w:rPr>
          <w:color w:val="000000"/>
          <w:sz w:val="24"/>
          <w:szCs w:val="24"/>
          <w:lang w:val="fr-FR"/>
        </w:rPr>
        <w:t>Bosc</w:t>
      </w:r>
      <w:proofErr w:type="spellEnd"/>
      <w:r w:rsidR="00DA7540">
        <w:rPr>
          <w:color w:val="000000"/>
          <w:sz w:val="24"/>
          <w:szCs w:val="24"/>
          <w:lang w:val="fr-FR"/>
        </w:rPr>
        <w:t xml:space="preserve">, Florence Gauthier, Editions </w:t>
      </w:r>
      <w:proofErr w:type="spellStart"/>
      <w:r w:rsidR="00DA7540">
        <w:rPr>
          <w:color w:val="000000"/>
          <w:sz w:val="24"/>
          <w:szCs w:val="24"/>
          <w:lang w:val="fr-FR"/>
        </w:rPr>
        <w:t>Kimé</w:t>
      </w:r>
      <w:proofErr w:type="spellEnd"/>
      <w:r w:rsidR="00DA7540">
        <w:rPr>
          <w:color w:val="000000"/>
          <w:sz w:val="24"/>
          <w:szCs w:val="24"/>
          <w:lang w:val="fr-FR"/>
        </w:rPr>
        <w:t>, Paris, 2009.</w:t>
      </w:r>
    </w:p>
    <w:p w:rsidR="00870F9D" w:rsidRDefault="00870F9D" w:rsidP="001400F0">
      <w:pPr>
        <w:rPr>
          <w:color w:val="000000"/>
          <w:sz w:val="24"/>
          <w:szCs w:val="24"/>
          <w:lang w:val="fr-FR"/>
        </w:rPr>
      </w:pPr>
    </w:p>
    <w:p w:rsidR="001400F0" w:rsidRPr="00870F9D" w:rsidRDefault="00870F9D" w:rsidP="001400F0">
      <w:pPr>
        <w:rPr>
          <w:lang w:val="fr-FR"/>
        </w:rPr>
      </w:pPr>
      <w:proofErr w:type="spellStart"/>
      <w:r w:rsidRPr="00870F9D">
        <w:rPr>
          <w:color w:val="000000"/>
          <w:sz w:val="24"/>
          <w:szCs w:val="24"/>
          <w:lang w:val="fr-FR"/>
        </w:rPr>
        <w:t>Saggi</w:t>
      </w:r>
      <w:proofErr w:type="spellEnd"/>
      <w:r>
        <w:rPr>
          <w:color w:val="000000"/>
          <w:sz w:val="24"/>
          <w:szCs w:val="24"/>
          <w:lang w:val="fr-FR"/>
        </w:rPr>
        <w:t xml:space="preserve"> e </w:t>
      </w:r>
      <w:proofErr w:type="spellStart"/>
      <w:r>
        <w:rPr>
          <w:color w:val="000000"/>
          <w:sz w:val="24"/>
          <w:szCs w:val="24"/>
          <w:lang w:val="fr-FR"/>
        </w:rPr>
        <w:t>articoli</w:t>
      </w:r>
      <w:proofErr w:type="spellEnd"/>
      <w:r>
        <w:rPr>
          <w:color w:val="000000"/>
          <w:sz w:val="24"/>
          <w:szCs w:val="24"/>
          <w:lang w:val="fr-FR"/>
        </w:rPr>
        <w:t xml:space="preserve"> </w:t>
      </w:r>
      <w:r w:rsidRPr="00870F9D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870F9D">
        <w:rPr>
          <w:color w:val="000000"/>
          <w:sz w:val="24"/>
          <w:szCs w:val="24"/>
          <w:lang w:val="fr-FR"/>
        </w:rPr>
        <w:t>pub</w:t>
      </w:r>
      <w:r>
        <w:rPr>
          <w:color w:val="000000"/>
          <w:sz w:val="24"/>
          <w:szCs w:val="24"/>
          <w:lang w:val="fr-FR"/>
        </w:rPr>
        <w:t>blicati</w:t>
      </w:r>
      <w:proofErr w:type="spellEnd"/>
      <w:r w:rsidRPr="00870F9D">
        <w:rPr>
          <w:color w:val="000000"/>
          <w:sz w:val="24"/>
          <w:szCs w:val="24"/>
          <w:lang w:val="fr-FR"/>
        </w:rPr>
        <w:t xml:space="preserve"> su Révolution française. net e </w:t>
      </w:r>
      <w:proofErr w:type="spellStart"/>
      <w:r w:rsidRPr="00870F9D">
        <w:rPr>
          <w:color w:val="000000"/>
          <w:sz w:val="24"/>
          <w:szCs w:val="24"/>
          <w:lang w:val="fr-FR"/>
        </w:rPr>
        <w:t>sulle</w:t>
      </w:r>
      <w:proofErr w:type="spellEnd"/>
      <w:r w:rsidRPr="00870F9D">
        <w:rPr>
          <w:color w:val="000000"/>
          <w:sz w:val="24"/>
          <w:szCs w:val="24"/>
          <w:lang w:val="fr-FR"/>
        </w:rPr>
        <w:t xml:space="preserve"> “</w:t>
      </w:r>
      <w:r>
        <w:rPr>
          <w:color w:val="000000"/>
          <w:sz w:val="24"/>
          <w:szCs w:val="24"/>
          <w:lang w:val="fr-FR"/>
        </w:rPr>
        <w:t>A</w:t>
      </w:r>
      <w:r w:rsidRPr="00870F9D">
        <w:rPr>
          <w:color w:val="000000"/>
          <w:sz w:val="24"/>
          <w:szCs w:val="24"/>
          <w:lang w:val="fr-FR"/>
        </w:rPr>
        <w:t>nnales historiques de la Révolution française”</w:t>
      </w:r>
      <w:r>
        <w:rPr>
          <w:color w:val="000000"/>
          <w:sz w:val="24"/>
          <w:szCs w:val="24"/>
          <w:lang w:val="fr-FR"/>
        </w:rPr>
        <w:t xml:space="preserve"> : </w:t>
      </w:r>
      <w:proofErr w:type="spellStart"/>
      <w:r>
        <w:rPr>
          <w:color w:val="000000"/>
          <w:sz w:val="24"/>
          <w:szCs w:val="24"/>
          <w:lang w:val="fr-FR"/>
        </w:rPr>
        <w:t>cfr</w:t>
      </w:r>
      <w:proofErr w:type="spellEnd"/>
      <w:r>
        <w:rPr>
          <w:color w:val="000000"/>
          <w:sz w:val="24"/>
          <w:szCs w:val="24"/>
          <w:lang w:val="fr-FR"/>
        </w:rPr>
        <w:t xml:space="preserve">. </w:t>
      </w:r>
      <w:proofErr w:type="spellStart"/>
      <w:r>
        <w:rPr>
          <w:color w:val="000000"/>
          <w:sz w:val="24"/>
          <w:szCs w:val="24"/>
          <w:lang w:val="fr-FR"/>
        </w:rPr>
        <w:t>elenco</w:t>
      </w:r>
      <w:proofErr w:type="spellEnd"/>
      <w:r>
        <w:rPr>
          <w:color w:val="000000"/>
          <w:sz w:val="24"/>
          <w:szCs w:val="24"/>
          <w:lang w:val="fr-FR"/>
        </w:rPr>
        <w:t xml:space="preserve"> a parte.</w:t>
      </w:r>
      <w:r w:rsidR="001400F0" w:rsidRPr="00870F9D">
        <w:rPr>
          <w:color w:val="000000"/>
          <w:sz w:val="24"/>
          <w:szCs w:val="24"/>
          <w:lang w:val="fr-FR"/>
        </w:rPr>
        <w:br/>
      </w:r>
    </w:p>
    <w:p w:rsidR="001400F0" w:rsidRDefault="00687C35" w:rsidP="001400F0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A</w:t>
      </w:r>
      <w:r w:rsidRPr="00687C35">
        <w:rPr>
          <w:sz w:val="24"/>
          <w:szCs w:val="24"/>
          <w:lang w:val="fr-FR"/>
        </w:rPr>
        <w:t>lcuni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esempi</w:t>
      </w:r>
      <w:proofErr w:type="spellEnd"/>
      <w:r>
        <w:rPr>
          <w:sz w:val="24"/>
          <w:szCs w:val="24"/>
          <w:lang w:val="fr-FR"/>
        </w:rPr>
        <w:t> :</w:t>
      </w:r>
    </w:p>
    <w:p w:rsidR="00687C35" w:rsidRPr="008F5CA7" w:rsidRDefault="00687C35" w:rsidP="00687C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it-IT"/>
        </w:rPr>
      </w:pPr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Raymonde Monnier réédite aux éditions du CTHS (2010) </w:t>
      </w:r>
      <w:r w:rsidRPr="00687C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De la souveraineté du peuple et de l'excellence d'un Etat libre</w:t>
      </w:r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ouvrage de </w:t>
      </w:r>
      <w:proofErr w:type="spellStart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Marchamont</w:t>
      </w:r>
      <w:proofErr w:type="spellEnd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  <w:proofErr w:type="spellStart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Needham</w:t>
      </w:r>
      <w:proofErr w:type="spellEnd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(1656), dans la traduction de Théophile </w:t>
      </w:r>
      <w:proofErr w:type="spellStart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Mandar</w:t>
      </w:r>
      <w:proofErr w:type="spellEnd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(1790). Nous publions ici la préface de </w:t>
      </w:r>
      <w:proofErr w:type="spellStart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Mandar</w:t>
      </w:r>
      <w:proofErr w:type="spellEnd"/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au texte de Nedham (p. 37-47 de l'édition du CTHS). Pour une présentation de cette traduction qui met en regard la Grande Rébellion et la Révolution française, voir Raymonde Monnier, </w:t>
      </w:r>
      <w:hyperlink r:id="rId4" w:history="1">
        <w:r w:rsidRPr="00687C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it-IT"/>
          </w:rPr>
          <w:t>Nedham, Machiavel ou Rousseau ?</w:t>
        </w:r>
      </w:hyperlink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, </w:t>
      </w:r>
      <w:r w:rsidRPr="00687C35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it-IT"/>
        </w:rPr>
        <w:t>Révolution Française.net</w:t>
      </w:r>
      <w:r w:rsidRPr="00687C35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>, Juillet 2008.</w:t>
      </w:r>
      <w:r w:rsidR="00F970EF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:rsidR="001400F0" w:rsidRPr="00687C35" w:rsidRDefault="001400F0" w:rsidP="001400F0">
      <w:pPr>
        <w:rPr>
          <w:sz w:val="24"/>
          <w:szCs w:val="24"/>
          <w:lang w:val="fr-FR"/>
        </w:rPr>
      </w:pPr>
      <w:r w:rsidRPr="00687C35">
        <w:rPr>
          <w:sz w:val="24"/>
          <w:szCs w:val="24"/>
          <w:lang w:val="fr-FR"/>
        </w:rPr>
        <w:t xml:space="preserve">Carine </w:t>
      </w:r>
      <w:proofErr w:type="spellStart"/>
      <w:r w:rsidRPr="00687C35">
        <w:rPr>
          <w:sz w:val="24"/>
          <w:szCs w:val="24"/>
          <w:lang w:val="fr-FR"/>
        </w:rPr>
        <w:t>Lounissi</w:t>
      </w:r>
      <w:proofErr w:type="spellEnd"/>
      <w:r w:rsidRPr="00687C35">
        <w:rPr>
          <w:sz w:val="24"/>
          <w:szCs w:val="24"/>
          <w:lang w:val="fr-FR"/>
        </w:rPr>
        <w:t xml:space="preserve">, "Le républicanisme libéral de Thomas Paine", </w:t>
      </w:r>
      <w:r w:rsidRPr="00687C35">
        <w:rPr>
          <w:i/>
          <w:iCs/>
          <w:sz w:val="24"/>
          <w:szCs w:val="24"/>
          <w:lang w:val="fr-FR"/>
        </w:rPr>
        <w:t>Révolution Française.net</w:t>
      </w:r>
      <w:r w:rsidRPr="00687C35">
        <w:rPr>
          <w:sz w:val="24"/>
          <w:szCs w:val="24"/>
          <w:lang w:val="fr-FR"/>
        </w:rPr>
        <w:t>, Novembre 2011. http://revolution-francaise.net/2011/11/28/460-le-republicanisme-liberal-de-thomas-paine</w:t>
      </w:r>
    </w:p>
    <w:p w:rsidR="00DC0C55" w:rsidRPr="001400F0" w:rsidRDefault="00DC0C55">
      <w:pPr>
        <w:rPr>
          <w:lang w:val="fr-FR"/>
        </w:rPr>
      </w:pPr>
    </w:p>
    <w:sectPr w:rsidR="00DC0C55" w:rsidRPr="001400F0" w:rsidSect="00DC0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1400F0"/>
    <w:rsid w:val="00011314"/>
    <w:rsid w:val="001400F0"/>
    <w:rsid w:val="005D0482"/>
    <w:rsid w:val="00687C35"/>
    <w:rsid w:val="00870F9D"/>
    <w:rsid w:val="008C7883"/>
    <w:rsid w:val="008F5CA7"/>
    <w:rsid w:val="009A5AC0"/>
    <w:rsid w:val="00D66704"/>
    <w:rsid w:val="00DA7540"/>
    <w:rsid w:val="00DC0C55"/>
    <w:rsid w:val="00F63EAF"/>
    <w:rsid w:val="00F8477B"/>
    <w:rsid w:val="00F9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00F0"/>
    <w:rPr>
      <w:b/>
      <w:bCs/>
    </w:rPr>
  </w:style>
  <w:style w:type="paragraph" w:styleId="NormaleWeb">
    <w:name w:val="Normal (Web)"/>
    <w:basedOn w:val="Normale"/>
    <w:uiPriority w:val="99"/>
    <w:unhideWhenUsed/>
    <w:rsid w:val="001400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87C3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87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volution-francaise.net/2008/07/18/250-nedham-machiavel-ou-roussea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10</cp:revision>
  <dcterms:created xsi:type="dcterms:W3CDTF">2012-01-15T13:29:00Z</dcterms:created>
  <dcterms:modified xsi:type="dcterms:W3CDTF">2012-04-07T11:48:00Z</dcterms:modified>
</cp:coreProperties>
</file>