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5D" w:rsidRPr="006E7C5D" w:rsidRDefault="006E7C5D" w:rsidP="006E7C5D">
      <w:pPr>
        <w:shd w:val="clear" w:color="auto" w:fill="FFFFFF"/>
        <w:jc w:val="both"/>
        <w:outlineLvl w:val="0"/>
        <w:rPr>
          <w:rFonts w:ascii="Arial" w:eastAsia="Times New Roman" w:hAnsi="Arial" w:cs="Arial"/>
          <w:b/>
          <w:kern w:val="36"/>
          <w:sz w:val="28"/>
          <w:szCs w:val="54"/>
          <w:lang w:eastAsia="it-IT"/>
        </w:rPr>
      </w:pPr>
      <w:r w:rsidRPr="006E7C5D">
        <w:rPr>
          <w:rFonts w:ascii="Arial" w:eastAsia="Times New Roman" w:hAnsi="Arial" w:cs="Arial"/>
          <w:b/>
          <w:kern w:val="36"/>
          <w:sz w:val="28"/>
          <w:szCs w:val="54"/>
          <w:lang w:eastAsia="it-IT"/>
        </w:rPr>
        <w:t xml:space="preserve">PICC o </w:t>
      </w:r>
      <w:proofErr w:type="spellStart"/>
      <w:r w:rsidRPr="006E7C5D">
        <w:rPr>
          <w:rFonts w:ascii="Arial" w:eastAsia="Times New Roman" w:hAnsi="Arial" w:cs="Arial"/>
          <w:b/>
          <w:kern w:val="36"/>
          <w:sz w:val="28"/>
          <w:szCs w:val="54"/>
          <w:lang w:eastAsia="it-IT"/>
        </w:rPr>
        <w:t>port</w:t>
      </w:r>
      <w:proofErr w:type="spellEnd"/>
      <w:r w:rsidRPr="006E7C5D">
        <w:rPr>
          <w:rFonts w:ascii="Arial" w:eastAsia="Times New Roman" w:hAnsi="Arial" w:cs="Arial"/>
          <w:b/>
          <w:kern w:val="36"/>
          <w:sz w:val="28"/>
          <w:szCs w:val="54"/>
          <w:lang w:eastAsia="it-IT"/>
        </w:rPr>
        <w:t>, qual è il dispositivo migliore per i pazienti con cancro?</w:t>
      </w:r>
    </w:p>
    <w:p w:rsidR="006E7C5D" w:rsidRPr="006E7C5D" w:rsidRDefault="006E7C5D" w:rsidP="006E7C5D">
      <w:pPr>
        <w:shd w:val="clear" w:color="auto" w:fill="FFFFFF"/>
        <w:jc w:val="both"/>
        <w:outlineLvl w:val="4"/>
        <w:rPr>
          <w:rFonts w:ascii="Arial" w:eastAsia="Times New Roman" w:hAnsi="Arial" w:cs="Arial"/>
          <w:sz w:val="12"/>
          <w:szCs w:val="18"/>
          <w:lang w:eastAsia="it-IT"/>
        </w:rPr>
      </w:pPr>
      <w:r w:rsidRPr="006E7C5D">
        <w:rPr>
          <w:rFonts w:ascii="Arial" w:eastAsia="Times New Roman" w:hAnsi="Arial" w:cs="Arial"/>
          <w:sz w:val="12"/>
          <w:szCs w:val="18"/>
          <w:lang w:eastAsia="it-IT"/>
        </w:rPr>
        <w:t>Dicembre 7, 2020</w:t>
      </w:r>
    </w:p>
    <w:p w:rsidR="006E7C5D" w:rsidRDefault="006E7C5D" w:rsidP="006E7C5D">
      <w:pPr>
        <w:shd w:val="clear" w:color="auto" w:fill="FFFFFF"/>
        <w:jc w:val="both"/>
        <w:rPr>
          <w:rFonts w:ascii="Arial" w:eastAsia="Times New Roman" w:hAnsi="Arial" w:cs="Arial"/>
          <w:b/>
          <w:bCs/>
          <w:sz w:val="16"/>
          <w:szCs w:val="21"/>
          <w:lang w:eastAsia="it-IT"/>
        </w:rPr>
      </w:pPr>
      <w:r w:rsidRPr="006E7C5D">
        <w:rPr>
          <w:rFonts w:ascii="Arial" w:eastAsia="Times New Roman" w:hAnsi="Arial" w:cs="Arial"/>
          <w:b/>
          <w:bCs/>
          <w:sz w:val="16"/>
          <w:szCs w:val="21"/>
          <w:lang w:eastAsia="it-IT"/>
        </w:rPr>
        <w:t>Dai Port ai PICC</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I farmaci oncologici e l’accesso venoso centrale sono stati sviluppati dopo la fine della seconda guerra mondiale</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 xml:space="preserve">. Il </w:t>
      </w:r>
      <w:proofErr w:type="spellStart"/>
      <w:r w:rsidRPr="006E7C5D">
        <w:rPr>
          <w:rFonts w:ascii="Arial" w:eastAsia="Times New Roman" w:hAnsi="Arial" w:cs="Arial"/>
          <w:sz w:val="16"/>
          <w:szCs w:val="21"/>
          <w:lang w:eastAsia="it-IT"/>
        </w:rPr>
        <w:t>port</w:t>
      </w:r>
      <w:proofErr w:type="spellEnd"/>
      <w:r w:rsidRPr="006E7C5D">
        <w:rPr>
          <w:rFonts w:ascii="Arial" w:eastAsia="Times New Roman" w:hAnsi="Arial" w:cs="Arial"/>
          <w:sz w:val="16"/>
          <w:szCs w:val="21"/>
          <w:lang w:eastAsia="it-IT"/>
        </w:rPr>
        <w:t xml:space="preserve"> è stato inventato intorno al 1970</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 I cateteri centrali inseriti perifericamente (PICC) sono disponibili dagli anni ’70, ma il loro utilizzo è aumentato in modo significativo dal 2000 per diversi motivi</w:t>
      </w:r>
      <w:r w:rsidRPr="006E7C5D">
        <w:rPr>
          <w:rFonts w:ascii="Arial" w:eastAsia="Times New Roman" w:hAnsi="Arial" w:cs="Arial"/>
          <w:sz w:val="10"/>
          <w:szCs w:val="16"/>
          <w:vertAlign w:val="superscript"/>
          <w:lang w:eastAsia="it-IT"/>
        </w:rPr>
        <w:t>2</w:t>
      </w:r>
      <w:r w:rsidRPr="006E7C5D">
        <w:rPr>
          <w:rFonts w:ascii="Arial" w:eastAsia="Times New Roman" w:hAnsi="Arial" w:cs="Arial"/>
          <w:sz w:val="16"/>
          <w:szCs w:val="21"/>
          <w:lang w:eastAsia="it-IT"/>
        </w:rPr>
        <w:t>:</w:t>
      </w:r>
    </w:p>
    <w:p w:rsidR="006E7C5D" w:rsidRPr="006E7C5D" w:rsidRDefault="006E7C5D" w:rsidP="006E7C5D">
      <w:pPr>
        <w:numPr>
          <w:ilvl w:val="0"/>
          <w:numId w:val="1"/>
        </w:numPr>
        <w:shd w:val="clear" w:color="auto" w:fill="FFFFFF"/>
        <w:spacing w:line="240" w:lineRule="auto"/>
        <w:ind w:left="0" w:firstLine="0"/>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Facilità di posizionamento</w:t>
      </w:r>
    </w:p>
    <w:p w:rsidR="006E7C5D" w:rsidRPr="006E7C5D" w:rsidRDefault="006E7C5D" w:rsidP="006E7C5D">
      <w:pPr>
        <w:numPr>
          <w:ilvl w:val="0"/>
          <w:numId w:val="1"/>
        </w:numPr>
        <w:shd w:val="clear" w:color="auto" w:fill="FFFFFF"/>
        <w:spacing w:line="240" w:lineRule="auto"/>
        <w:ind w:left="0" w:firstLine="0"/>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Guida ecografica che garantisce un posizionamento corretto</w:t>
      </w:r>
    </w:p>
    <w:p w:rsidR="006E7C5D" w:rsidRPr="006E7C5D" w:rsidRDefault="006E7C5D" w:rsidP="006E7C5D">
      <w:pPr>
        <w:numPr>
          <w:ilvl w:val="0"/>
          <w:numId w:val="1"/>
        </w:numPr>
        <w:shd w:val="clear" w:color="auto" w:fill="FFFFFF"/>
        <w:spacing w:line="240" w:lineRule="auto"/>
        <w:ind w:left="0" w:firstLine="0"/>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Costo di inserimento inferiore rispetto ad altri VAD</w:t>
      </w:r>
    </w:p>
    <w:p w:rsidR="006E7C5D" w:rsidRPr="006E7C5D" w:rsidRDefault="006E7C5D" w:rsidP="006E7C5D">
      <w:pPr>
        <w:numPr>
          <w:ilvl w:val="0"/>
          <w:numId w:val="1"/>
        </w:numPr>
        <w:shd w:val="clear" w:color="auto" w:fill="FFFFFF"/>
        <w:spacing w:line="240" w:lineRule="auto"/>
        <w:ind w:left="0" w:firstLine="0"/>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Facilità di rimozione</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b/>
          <w:bCs/>
          <w:sz w:val="16"/>
          <w:szCs w:val="21"/>
          <w:lang w:eastAsia="it-IT"/>
        </w:rPr>
        <w:t>Ma sono sicuri?</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 xml:space="preserve">Il Prof. Mussa ha quindi presentato i dati di uno studio compiuto da </w:t>
      </w:r>
      <w:proofErr w:type="spellStart"/>
      <w:r w:rsidRPr="006E7C5D">
        <w:rPr>
          <w:rFonts w:ascii="Arial" w:eastAsia="Times New Roman" w:hAnsi="Arial" w:cs="Arial"/>
          <w:sz w:val="16"/>
          <w:szCs w:val="21"/>
          <w:lang w:eastAsia="it-IT"/>
        </w:rPr>
        <w:t>Chopra</w:t>
      </w:r>
      <w:proofErr w:type="spellEnd"/>
      <w:r w:rsidRPr="006E7C5D">
        <w:rPr>
          <w:rFonts w:ascii="Arial" w:eastAsia="Times New Roman" w:hAnsi="Arial" w:cs="Arial"/>
          <w:sz w:val="16"/>
          <w:szCs w:val="21"/>
          <w:lang w:eastAsia="it-IT"/>
        </w:rPr>
        <w:t xml:space="preserve"> et al che confrontava i tassi di complicanze tra PICC e altri VAD</w:t>
      </w:r>
      <w:r w:rsidRPr="006E7C5D">
        <w:rPr>
          <w:rFonts w:ascii="Arial" w:eastAsia="Times New Roman" w:hAnsi="Arial" w:cs="Arial"/>
          <w:sz w:val="10"/>
          <w:szCs w:val="16"/>
          <w:vertAlign w:val="superscript"/>
          <w:lang w:eastAsia="it-IT"/>
        </w:rPr>
        <w:t>3</w:t>
      </w:r>
      <w:r w:rsidRPr="006E7C5D">
        <w:rPr>
          <w:rFonts w:ascii="Arial" w:eastAsia="Times New Roman" w:hAnsi="Arial" w:cs="Arial"/>
          <w:sz w:val="16"/>
          <w:szCs w:val="21"/>
          <w:lang w:eastAsia="it-IT"/>
        </w:rPr>
        <w:t xml:space="preserve">. Dopo aver eseguito una revisione sistematica, </w:t>
      </w:r>
      <w:proofErr w:type="spellStart"/>
      <w:r w:rsidRPr="006E7C5D">
        <w:rPr>
          <w:rFonts w:ascii="Arial" w:eastAsia="Times New Roman" w:hAnsi="Arial" w:cs="Arial"/>
          <w:sz w:val="16"/>
          <w:szCs w:val="21"/>
          <w:lang w:eastAsia="it-IT"/>
        </w:rPr>
        <w:t>Chopra</w:t>
      </w:r>
      <w:proofErr w:type="spellEnd"/>
      <w:r w:rsidRPr="006E7C5D">
        <w:rPr>
          <w:rFonts w:ascii="Arial" w:eastAsia="Times New Roman" w:hAnsi="Arial" w:cs="Arial"/>
          <w:sz w:val="16"/>
          <w:szCs w:val="21"/>
          <w:lang w:eastAsia="it-IT"/>
        </w:rPr>
        <w:t xml:space="preserve"> ha scoperto che i PICC collocati in pazienti ricoverati avevano il doppio delle probabilità di causare infezioni del flusso sanguigno (BSI) rispetto ai pazienti ambulatoriali</w:t>
      </w:r>
      <w:r w:rsidRPr="006E7C5D">
        <w:rPr>
          <w:rFonts w:ascii="Arial" w:eastAsia="Times New Roman" w:hAnsi="Arial" w:cs="Arial"/>
          <w:sz w:val="10"/>
          <w:szCs w:val="16"/>
          <w:vertAlign w:val="superscript"/>
          <w:lang w:eastAsia="it-IT"/>
        </w:rPr>
        <w:t>3</w:t>
      </w:r>
      <w:r w:rsidRPr="006E7C5D">
        <w:rPr>
          <w:rFonts w:ascii="Arial" w:eastAsia="Times New Roman" w:hAnsi="Arial" w:cs="Arial"/>
          <w:sz w:val="16"/>
          <w:szCs w:val="21"/>
          <w:lang w:eastAsia="it-IT"/>
        </w:rPr>
        <w:t>. La trombosi è più comune nei pazienti con cancro rispetto a quelli senza cancro</w:t>
      </w:r>
      <w:r w:rsidRPr="006E7C5D">
        <w:rPr>
          <w:rFonts w:ascii="Arial" w:eastAsia="Times New Roman" w:hAnsi="Arial" w:cs="Arial"/>
          <w:sz w:val="10"/>
          <w:szCs w:val="16"/>
          <w:vertAlign w:val="superscript"/>
          <w:lang w:eastAsia="it-IT"/>
        </w:rPr>
        <w:t>3</w:t>
      </w:r>
      <w:r w:rsidRPr="006E7C5D">
        <w:rPr>
          <w:rFonts w:ascii="Arial" w:eastAsia="Times New Roman" w:hAnsi="Arial" w:cs="Arial"/>
          <w:sz w:val="16"/>
          <w:szCs w:val="21"/>
          <w:lang w:eastAsia="it-IT"/>
        </w:rPr>
        <w:t xml:space="preserve">. In una meta-analisi condotta da </w:t>
      </w:r>
      <w:proofErr w:type="spellStart"/>
      <w:r w:rsidRPr="006E7C5D">
        <w:rPr>
          <w:rFonts w:ascii="Arial" w:eastAsia="Times New Roman" w:hAnsi="Arial" w:cs="Arial"/>
          <w:sz w:val="16"/>
          <w:szCs w:val="21"/>
          <w:lang w:eastAsia="it-IT"/>
        </w:rPr>
        <w:t>Sabre</w:t>
      </w:r>
      <w:proofErr w:type="spellEnd"/>
      <w:r w:rsidRPr="006E7C5D">
        <w:rPr>
          <w:rFonts w:ascii="Arial" w:eastAsia="Times New Roman" w:hAnsi="Arial" w:cs="Arial"/>
          <w:sz w:val="16"/>
          <w:szCs w:val="21"/>
          <w:lang w:eastAsia="it-IT"/>
        </w:rPr>
        <w:t xml:space="preserve"> et al, è stato riscontrato che i tassi di trombosi erano più alti nei pazienti con linee PICC rispetto a quelli con port</w:t>
      </w:r>
      <w:r w:rsidRPr="006E7C5D">
        <w:rPr>
          <w:rFonts w:ascii="Arial" w:eastAsia="Times New Roman" w:hAnsi="Arial" w:cs="Arial"/>
          <w:sz w:val="10"/>
          <w:szCs w:val="16"/>
          <w:vertAlign w:val="superscript"/>
          <w:lang w:eastAsia="it-IT"/>
        </w:rPr>
        <w:t>4</w:t>
      </w:r>
      <w:r w:rsidRPr="006E7C5D">
        <w:rPr>
          <w:rFonts w:ascii="Arial" w:eastAsia="Times New Roman" w:hAnsi="Arial" w:cs="Arial"/>
          <w:sz w:val="16"/>
          <w:szCs w:val="21"/>
          <w:lang w:eastAsia="it-IT"/>
        </w:rPr>
        <w:t xml:space="preserve">. Tuttavia, </w:t>
      </w:r>
      <w:proofErr w:type="spellStart"/>
      <w:r w:rsidRPr="006E7C5D">
        <w:rPr>
          <w:rFonts w:ascii="Arial" w:eastAsia="Times New Roman" w:hAnsi="Arial" w:cs="Arial"/>
          <w:sz w:val="16"/>
          <w:szCs w:val="21"/>
          <w:lang w:eastAsia="it-IT"/>
        </w:rPr>
        <w:t>Chopra</w:t>
      </w:r>
      <w:proofErr w:type="spellEnd"/>
      <w:r w:rsidRPr="006E7C5D">
        <w:rPr>
          <w:rFonts w:ascii="Arial" w:eastAsia="Times New Roman" w:hAnsi="Arial" w:cs="Arial"/>
          <w:sz w:val="16"/>
          <w:szCs w:val="21"/>
          <w:lang w:eastAsia="it-IT"/>
        </w:rPr>
        <w:t xml:space="preserve"> ha suggerito che i tassi di trombosi per i PICC possono variare in base alle tecniche utilizzate per posizionarli</w:t>
      </w:r>
      <w:r w:rsidRPr="006E7C5D">
        <w:rPr>
          <w:rFonts w:ascii="Arial" w:eastAsia="Times New Roman" w:hAnsi="Arial" w:cs="Arial"/>
          <w:sz w:val="10"/>
          <w:szCs w:val="16"/>
          <w:vertAlign w:val="superscript"/>
          <w:lang w:eastAsia="it-IT"/>
        </w:rPr>
        <w:t>3</w:t>
      </w:r>
      <w:r w:rsidRPr="006E7C5D">
        <w:rPr>
          <w:rFonts w:ascii="Arial" w:eastAsia="Times New Roman" w:hAnsi="Arial" w:cs="Arial"/>
          <w:sz w:val="16"/>
          <w:szCs w:val="21"/>
          <w:lang w:eastAsia="it-IT"/>
        </w:rPr>
        <w:t>.</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Il Prof. Mussa e i suoi colleghi hanno condotto uno studio prospettico sui PICC nei pazienti ambulatoriali con cancro</w:t>
      </w:r>
      <w:r w:rsidRPr="006E7C5D">
        <w:rPr>
          <w:rFonts w:ascii="Arial" w:eastAsia="Times New Roman" w:hAnsi="Arial" w:cs="Arial"/>
          <w:sz w:val="10"/>
          <w:szCs w:val="16"/>
          <w:vertAlign w:val="superscript"/>
          <w:lang w:eastAsia="it-IT"/>
        </w:rPr>
        <w:t>2</w:t>
      </w:r>
      <w:r w:rsidRPr="006E7C5D">
        <w:rPr>
          <w:rFonts w:ascii="Arial" w:eastAsia="Times New Roman" w:hAnsi="Arial" w:cs="Arial"/>
          <w:sz w:val="16"/>
          <w:szCs w:val="21"/>
          <w:lang w:eastAsia="it-IT"/>
        </w:rPr>
        <w:t>. Hanno scoperto che i tassi di infezioni del flusso sanguigno correlate a catetere (CRBSI), complicanze meccaniche e trombosi erano bassi con PICC</w:t>
      </w:r>
      <w:r w:rsidRPr="006E7C5D">
        <w:rPr>
          <w:rFonts w:ascii="Arial" w:eastAsia="Times New Roman" w:hAnsi="Arial" w:cs="Arial"/>
          <w:sz w:val="10"/>
          <w:szCs w:val="16"/>
          <w:vertAlign w:val="superscript"/>
          <w:lang w:eastAsia="it-IT"/>
        </w:rPr>
        <w:t>2</w:t>
      </w:r>
      <w:r w:rsidRPr="006E7C5D">
        <w:rPr>
          <w:rFonts w:ascii="Arial" w:eastAsia="Times New Roman" w:hAnsi="Arial" w:cs="Arial"/>
          <w:sz w:val="16"/>
          <w:szCs w:val="21"/>
          <w:lang w:eastAsia="it-IT"/>
        </w:rPr>
        <w:t>. Principalmente hanno scoperto che, quando i PICC vengono mantenuti correttamente utilizzando protocolli basati sull’evidenza, hanno tassi di complicanze relativamente bassi, hanno meno probabilità di essere rimossi a causa di complicanze e consentono di usare il catetere a lungo</w:t>
      </w:r>
      <w:r w:rsidRPr="006E7C5D">
        <w:rPr>
          <w:rFonts w:ascii="Arial" w:eastAsia="Times New Roman" w:hAnsi="Arial" w:cs="Arial"/>
          <w:sz w:val="10"/>
          <w:szCs w:val="16"/>
          <w:vertAlign w:val="superscript"/>
          <w:lang w:eastAsia="it-IT"/>
        </w:rPr>
        <w:t>2</w:t>
      </w:r>
      <w:r w:rsidRPr="006E7C5D">
        <w:rPr>
          <w:rFonts w:ascii="Arial" w:eastAsia="Times New Roman" w:hAnsi="Arial" w:cs="Arial"/>
          <w:sz w:val="16"/>
          <w:szCs w:val="21"/>
          <w:lang w:eastAsia="it-IT"/>
        </w:rPr>
        <w:t>. Gli ultrasuoni possono essere utilizzati per garantire il posizionamento nel vaso appropriato</w:t>
      </w:r>
      <w:r w:rsidRPr="006E7C5D">
        <w:rPr>
          <w:rFonts w:ascii="Arial" w:eastAsia="Times New Roman" w:hAnsi="Arial" w:cs="Arial"/>
          <w:sz w:val="10"/>
          <w:szCs w:val="16"/>
          <w:vertAlign w:val="superscript"/>
          <w:lang w:eastAsia="it-IT"/>
        </w:rPr>
        <w:t>1,2</w:t>
      </w:r>
      <w:r w:rsidRPr="006E7C5D">
        <w:rPr>
          <w:rFonts w:ascii="Arial" w:eastAsia="Times New Roman" w:hAnsi="Arial" w:cs="Arial"/>
          <w:sz w:val="16"/>
          <w:szCs w:val="21"/>
          <w:lang w:eastAsia="it-IT"/>
        </w:rPr>
        <w:t>.</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b/>
          <w:bCs/>
          <w:sz w:val="16"/>
          <w:szCs w:val="21"/>
          <w:lang w:eastAsia="it-IT"/>
        </w:rPr>
        <w:t>Un dispositivo di accesso vascolare non va bene per tutti</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In uno studio di sette anni effettuato su 2.477 pazienti, Campagna et al hanno scoperto che i PICC possono essere sicuri per la somministrazione di farmaci oncologici a medio-lungo termine con bassi tassi di infezione e trombosi</w:t>
      </w:r>
      <w:r w:rsidRPr="006E7C5D">
        <w:rPr>
          <w:rFonts w:ascii="Arial" w:eastAsia="Times New Roman" w:hAnsi="Arial" w:cs="Arial"/>
          <w:sz w:val="10"/>
          <w:szCs w:val="16"/>
          <w:vertAlign w:val="superscript"/>
          <w:lang w:eastAsia="it-IT"/>
        </w:rPr>
        <w:t>5</w:t>
      </w:r>
      <w:r w:rsidRPr="006E7C5D">
        <w:rPr>
          <w:rFonts w:ascii="Arial" w:eastAsia="Times New Roman" w:hAnsi="Arial" w:cs="Arial"/>
          <w:sz w:val="16"/>
          <w:szCs w:val="21"/>
          <w:lang w:eastAsia="it-IT"/>
        </w:rPr>
        <w:t>.</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Se c’è un alto tasso di recidiva, il Prof. Mussa consiglia di posizionare un port.</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 Se il rischio di recidiva è basso, il PICC può essere una scelta più appropriata</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 I PICC in poliuretano vanno bene per brevi periodi </w:t>
      </w:r>
      <w:r w:rsidRPr="006E7C5D">
        <w:rPr>
          <w:rFonts w:ascii="Arial" w:eastAsia="Times New Roman" w:hAnsi="Arial" w:cs="Arial"/>
          <w:i/>
          <w:iCs/>
          <w:sz w:val="16"/>
          <w:szCs w:val="21"/>
          <w:lang w:eastAsia="it-IT"/>
        </w:rPr>
        <w:t>(cioè 3-6 mesi)</w:t>
      </w:r>
      <w:r w:rsidRPr="006E7C5D">
        <w:rPr>
          <w:rFonts w:ascii="Arial" w:eastAsia="Times New Roman" w:hAnsi="Arial" w:cs="Arial"/>
          <w:sz w:val="16"/>
          <w:szCs w:val="21"/>
          <w:lang w:eastAsia="it-IT"/>
        </w:rPr>
        <w:t>, ma se il paziente avrà anche bisogno di nutrizione parenterale per più di 6 mesi, una linea PICC con valvola in silicone sarebbe una scelta più indicata</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w:t>
      </w:r>
    </w:p>
    <w:p w:rsidR="006E7C5D" w:rsidRPr="006E7C5D" w:rsidRDefault="006E7C5D" w:rsidP="006E7C5D">
      <w:pPr>
        <w:shd w:val="clear" w:color="auto" w:fill="FFFFFF"/>
        <w:jc w:val="both"/>
        <w:rPr>
          <w:rFonts w:ascii="Arial" w:eastAsia="Times New Roman" w:hAnsi="Arial" w:cs="Arial"/>
          <w:sz w:val="16"/>
          <w:szCs w:val="21"/>
          <w:lang w:eastAsia="it-IT"/>
        </w:rPr>
      </w:pPr>
      <w:r w:rsidRPr="006E7C5D">
        <w:rPr>
          <w:rFonts w:ascii="Arial" w:eastAsia="Times New Roman" w:hAnsi="Arial" w:cs="Arial"/>
          <w:sz w:val="16"/>
          <w:szCs w:val="21"/>
          <w:lang w:eastAsia="it-IT"/>
        </w:rPr>
        <w:t>Lo stesso VAD non può essere utilizzato in tutti i pazienti</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 È importante scegliere il VAD appropriato in base alle esigenze del paziente</w:t>
      </w:r>
      <w:r w:rsidRPr="006E7C5D">
        <w:rPr>
          <w:rFonts w:ascii="Arial" w:eastAsia="Times New Roman" w:hAnsi="Arial" w:cs="Arial"/>
          <w:sz w:val="10"/>
          <w:szCs w:val="16"/>
          <w:vertAlign w:val="superscript"/>
          <w:lang w:eastAsia="it-IT"/>
        </w:rPr>
        <w:t>6</w:t>
      </w:r>
      <w:r w:rsidRPr="006E7C5D">
        <w:rPr>
          <w:rFonts w:ascii="Arial" w:eastAsia="Times New Roman" w:hAnsi="Arial" w:cs="Arial"/>
          <w:sz w:val="16"/>
          <w:szCs w:val="21"/>
          <w:lang w:eastAsia="it-IT"/>
        </w:rPr>
        <w:t>. Questa strategia può ridurre i costi, diminuire il dolore per i pazienti e migliorare la qualità del trattamento</w:t>
      </w:r>
      <w:r w:rsidRPr="006E7C5D">
        <w:rPr>
          <w:rFonts w:ascii="Arial" w:eastAsia="Times New Roman" w:hAnsi="Arial" w:cs="Arial"/>
          <w:sz w:val="10"/>
          <w:szCs w:val="16"/>
          <w:vertAlign w:val="superscript"/>
          <w:lang w:eastAsia="it-IT"/>
        </w:rPr>
        <w:t>1</w:t>
      </w:r>
      <w:r w:rsidRPr="006E7C5D">
        <w:rPr>
          <w:rFonts w:ascii="Arial" w:eastAsia="Times New Roman" w:hAnsi="Arial" w:cs="Arial"/>
          <w:sz w:val="16"/>
          <w:szCs w:val="21"/>
          <w:lang w:eastAsia="it-IT"/>
        </w:rPr>
        <w:t>.</w:t>
      </w:r>
    </w:p>
    <w:p w:rsidR="006E7C5D" w:rsidRDefault="006E7C5D" w:rsidP="006E7C5D">
      <w:pPr>
        <w:shd w:val="clear" w:color="auto" w:fill="FFFFFF"/>
        <w:jc w:val="both"/>
        <w:outlineLvl w:val="3"/>
        <w:rPr>
          <w:rFonts w:ascii="Arial" w:eastAsia="Times New Roman" w:hAnsi="Arial" w:cs="Arial"/>
          <w:sz w:val="20"/>
          <w:szCs w:val="27"/>
          <w:lang w:eastAsia="it-IT"/>
        </w:rPr>
      </w:pPr>
    </w:p>
    <w:p w:rsidR="006E7C5D" w:rsidRPr="006E7C5D" w:rsidRDefault="006E7C5D" w:rsidP="006E7C5D">
      <w:pPr>
        <w:shd w:val="clear" w:color="auto" w:fill="FFFFFF"/>
        <w:jc w:val="both"/>
        <w:outlineLvl w:val="3"/>
        <w:rPr>
          <w:rFonts w:ascii="Arial" w:eastAsia="Times New Roman" w:hAnsi="Arial" w:cs="Arial"/>
          <w:sz w:val="20"/>
          <w:szCs w:val="27"/>
          <w:lang w:eastAsia="it-IT"/>
        </w:rPr>
      </w:pPr>
      <w:r w:rsidRPr="006E7C5D">
        <w:rPr>
          <w:rFonts w:ascii="Arial" w:eastAsia="Times New Roman" w:hAnsi="Arial" w:cs="Arial"/>
          <w:sz w:val="20"/>
          <w:szCs w:val="27"/>
          <w:lang w:eastAsia="it-IT"/>
        </w:rPr>
        <w:t>Riferimenti</w:t>
      </w:r>
    </w:p>
    <w:p w:rsidR="006E7C5D" w:rsidRPr="006E7C5D" w:rsidRDefault="006E7C5D" w:rsidP="006E7C5D">
      <w:pPr>
        <w:shd w:val="clear" w:color="auto" w:fill="FFFFFF"/>
        <w:jc w:val="both"/>
        <w:rPr>
          <w:rFonts w:ascii="Arial" w:eastAsia="Times New Roman" w:hAnsi="Arial" w:cs="Arial"/>
          <w:sz w:val="14"/>
          <w:szCs w:val="20"/>
          <w:lang w:val="en-US" w:eastAsia="it-IT"/>
        </w:rPr>
      </w:pPr>
      <w:r w:rsidRPr="006E7C5D">
        <w:rPr>
          <w:rFonts w:ascii="Arial" w:eastAsia="Times New Roman" w:hAnsi="Arial" w:cs="Arial"/>
          <w:sz w:val="14"/>
          <w:szCs w:val="20"/>
          <w:lang w:val="en-US" w:eastAsia="it-IT"/>
        </w:rPr>
        <w:t>This list of references to third party peer reviewed material and the sites they are hosted on are provided for your reference and convenience only, and do not imply any review or endorsement of the material or any association with their operators.  The Third Party References (and the Web sites to which they link) may contain information that is inaccurate, incomplete, or outdated. Your access and use of the Third Party Sites (and any Web sites to which they link) is solely at your own risk.</w:t>
      </w:r>
    </w:p>
    <w:p w:rsidR="006E7C5D" w:rsidRPr="006E7C5D" w:rsidRDefault="006E7C5D" w:rsidP="006E7C5D">
      <w:pPr>
        <w:shd w:val="clear" w:color="auto" w:fill="FFFFFF"/>
        <w:jc w:val="both"/>
        <w:rPr>
          <w:rFonts w:ascii="Arial" w:eastAsia="Times New Roman" w:hAnsi="Arial" w:cs="Arial"/>
          <w:sz w:val="14"/>
          <w:szCs w:val="20"/>
          <w:lang w:val="en-US" w:eastAsia="it-IT"/>
        </w:rPr>
      </w:pPr>
      <w:r w:rsidRPr="006E7C5D">
        <w:rPr>
          <w:rFonts w:ascii="Arial" w:eastAsia="Times New Roman" w:hAnsi="Arial" w:cs="Arial"/>
          <w:sz w:val="14"/>
          <w:szCs w:val="20"/>
          <w:lang w:val="en-US" w:eastAsia="it-IT"/>
        </w:rPr>
        <w:t xml:space="preserve">This presentation </w:t>
      </w:r>
      <w:proofErr w:type="gramStart"/>
      <w:r w:rsidRPr="006E7C5D">
        <w:rPr>
          <w:rFonts w:ascii="Arial" w:eastAsia="Times New Roman" w:hAnsi="Arial" w:cs="Arial"/>
          <w:sz w:val="14"/>
          <w:szCs w:val="20"/>
          <w:lang w:val="en-US" w:eastAsia="it-IT"/>
        </w:rPr>
        <w:t>was developed</w:t>
      </w:r>
      <w:proofErr w:type="gramEnd"/>
      <w:r w:rsidRPr="006E7C5D">
        <w:rPr>
          <w:rFonts w:ascii="Arial" w:eastAsia="Times New Roman" w:hAnsi="Arial" w:cs="Arial"/>
          <w:sz w:val="14"/>
          <w:szCs w:val="20"/>
          <w:lang w:val="en-US" w:eastAsia="it-IT"/>
        </w:rPr>
        <w:t xml:space="preserve"> by the presenter, and the findings, interpretations, and conclusions contained or expressed with it do not necessarily reflect the views of BD. To the </w:t>
      </w:r>
      <w:proofErr w:type="gramStart"/>
      <w:r w:rsidRPr="006E7C5D">
        <w:rPr>
          <w:rFonts w:ascii="Arial" w:eastAsia="Times New Roman" w:hAnsi="Arial" w:cs="Arial"/>
          <w:sz w:val="14"/>
          <w:szCs w:val="20"/>
          <w:lang w:val="en-US" w:eastAsia="it-IT"/>
        </w:rPr>
        <w:t>extent</w:t>
      </w:r>
      <w:proofErr w:type="gramEnd"/>
      <w:r w:rsidRPr="006E7C5D">
        <w:rPr>
          <w:rFonts w:ascii="Arial" w:eastAsia="Times New Roman" w:hAnsi="Arial" w:cs="Arial"/>
          <w:sz w:val="14"/>
          <w:szCs w:val="20"/>
          <w:lang w:val="en-US" w:eastAsia="it-IT"/>
        </w:rPr>
        <w:t xml:space="preserve"> this presentation relates to specific products, such products should always be used in accordance with the relevant instructions for use and other product documentation. This content </w:t>
      </w:r>
      <w:proofErr w:type="gramStart"/>
      <w:r w:rsidRPr="006E7C5D">
        <w:rPr>
          <w:rFonts w:ascii="Arial" w:eastAsia="Times New Roman" w:hAnsi="Arial" w:cs="Arial"/>
          <w:sz w:val="14"/>
          <w:szCs w:val="20"/>
          <w:lang w:val="en-US" w:eastAsia="it-IT"/>
        </w:rPr>
        <w:t>should not be copied or distributed without the consent of the copyright holder</w:t>
      </w:r>
      <w:proofErr w:type="gramEnd"/>
      <w:r w:rsidRPr="006E7C5D">
        <w:rPr>
          <w:rFonts w:ascii="Arial" w:eastAsia="Times New Roman" w:hAnsi="Arial" w:cs="Arial"/>
          <w:sz w:val="14"/>
          <w:szCs w:val="20"/>
          <w:lang w:val="en-US" w:eastAsia="it-IT"/>
        </w:rPr>
        <w:t>. For further information, please contact: </w:t>
      </w:r>
      <w:hyperlink r:id="rId5" w:history="1">
        <w:r w:rsidRPr="006E7C5D">
          <w:rPr>
            <w:rFonts w:ascii="Arial" w:eastAsia="Times New Roman" w:hAnsi="Arial" w:cs="Arial"/>
            <w:sz w:val="14"/>
            <w:szCs w:val="20"/>
            <w:u w:val="single"/>
            <w:lang w:val="en-US" w:eastAsia="it-IT"/>
          </w:rPr>
          <w:t>GMB-EU-MDS@bd.com</w:t>
        </w:r>
      </w:hyperlink>
    </w:p>
    <w:p w:rsidR="006E7C5D" w:rsidRPr="006E7C5D" w:rsidRDefault="006E7C5D" w:rsidP="006E7C5D">
      <w:pPr>
        <w:shd w:val="clear" w:color="auto" w:fill="FFFFFF"/>
        <w:jc w:val="both"/>
        <w:rPr>
          <w:rFonts w:ascii="Arial" w:eastAsia="Times New Roman" w:hAnsi="Arial" w:cs="Arial"/>
          <w:sz w:val="14"/>
          <w:szCs w:val="20"/>
          <w:lang w:val="en-US" w:eastAsia="it-IT"/>
        </w:rPr>
      </w:pPr>
      <w:r w:rsidRPr="006E7C5D">
        <w:rPr>
          <w:rFonts w:ascii="Arial" w:eastAsia="Times New Roman" w:hAnsi="Arial" w:cs="Arial"/>
          <w:sz w:val="14"/>
          <w:szCs w:val="20"/>
          <w:lang w:val="en-US" w:eastAsia="it-IT"/>
        </w:rPr>
        <w:t>References</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val="en-US" w:eastAsia="it-IT"/>
        </w:rPr>
      </w:pPr>
      <w:proofErr w:type="spellStart"/>
      <w:r w:rsidRPr="006E7C5D">
        <w:rPr>
          <w:rFonts w:ascii="Arial" w:eastAsia="Times New Roman" w:hAnsi="Arial" w:cs="Arial"/>
          <w:sz w:val="14"/>
          <w:szCs w:val="20"/>
          <w:lang w:val="en-US" w:eastAsia="it-IT"/>
        </w:rPr>
        <w:t>Mussa</w:t>
      </w:r>
      <w:proofErr w:type="spellEnd"/>
      <w:r w:rsidRPr="006E7C5D">
        <w:rPr>
          <w:rFonts w:ascii="Arial" w:eastAsia="Times New Roman" w:hAnsi="Arial" w:cs="Arial"/>
          <w:sz w:val="14"/>
          <w:szCs w:val="20"/>
          <w:lang w:val="en-US" w:eastAsia="it-IT"/>
        </w:rPr>
        <w:t xml:space="preserve"> B. The appropriate choice of device in the oncology patient: review of the literature and survey 2019. Presented at: </w:t>
      </w:r>
      <w:proofErr w:type="spellStart"/>
      <w:r w:rsidRPr="006E7C5D">
        <w:rPr>
          <w:rFonts w:ascii="Arial" w:eastAsia="Times New Roman" w:hAnsi="Arial" w:cs="Arial"/>
          <w:sz w:val="14"/>
          <w:szCs w:val="20"/>
          <w:lang w:val="en-US" w:eastAsia="it-IT"/>
        </w:rPr>
        <w:t>Multidiscliplinary</w:t>
      </w:r>
      <w:proofErr w:type="spellEnd"/>
      <w:r w:rsidRPr="006E7C5D">
        <w:rPr>
          <w:rFonts w:ascii="Arial" w:eastAsia="Times New Roman" w:hAnsi="Arial" w:cs="Arial"/>
          <w:sz w:val="14"/>
          <w:szCs w:val="20"/>
          <w:lang w:val="en-US" w:eastAsia="it-IT"/>
        </w:rPr>
        <w:t xml:space="preserve"> Advanced Course on Vascular Access (MACOVA) 2020; 15 </w:t>
      </w:r>
      <w:proofErr w:type="gramStart"/>
      <w:r w:rsidRPr="006E7C5D">
        <w:rPr>
          <w:rFonts w:ascii="Arial" w:eastAsia="Times New Roman" w:hAnsi="Arial" w:cs="Arial"/>
          <w:sz w:val="14"/>
          <w:szCs w:val="20"/>
          <w:lang w:val="en-US" w:eastAsia="it-IT"/>
        </w:rPr>
        <w:t>January,</w:t>
      </w:r>
      <w:proofErr w:type="gramEnd"/>
      <w:r w:rsidRPr="006E7C5D">
        <w:rPr>
          <w:rFonts w:ascii="Arial" w:eastAsia="Times New Roman" w:hAnsi="Arial" w:cs="Arial"/>
          <w:sz w:val="14"/>
          <w:szCs w:val="20"/>
          <w:lang w:val="en-US" w:eastAsia="it-IT"/>
        </w:rPr>
        <w:t xml:space="preserve"> 2020; Edinburgh, United Kingdom.</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eastAsia="it-IT"/>
        </w:rPr>
      </w:pPr>
      <w:r w:rsidRPr="006E7C5D">
        <w:rPr>
          <w:rFonts w:ascii="Arial" w:eastAsia="Times New Roman" w:hAnsi="Arial" w:cs="Arial"/>
          <w:sz w:val="14"/>
          <w:szCs w:val="20"/>
          <w:lang w:eastAsia="it-IT"/>
        </w:rPr>
        <w:t xml:space="preserve">Cotogni P, Barbero C, </w:t>
      </w:r>
      <w:proofErr w:type="spellStart"/>
      <w:r w:rsidRPr="006E7C5D">
        <w:rPr>
          <w:rFonts w:ascii="Arial" w:eastAsia="Times New Roman" w:hAnsi="Arial" w:cs="Arial"/>
          <w:sz w:val="14"/>
          <w:szCs w:val="20"/>
          <w:lang w:eastAsia="it-IT"/>
        </w:rPr>
        <w:t>Garrino</w:t>
      </w:r>
      <w:proofErr w:type="spellEnd"/>
      <w:r w:rsidRPr="006E7C5D">
        <w:rPr>
          <w:rFonts w:ascii="Arial" w:eastAsia="Times New Roman" w:hAnsi="Arial" w:cs="Arial"/>
          <w:sz w:val="14"/>
          <w:szCs w:val="20"/>
          <w:lang w:eastAsia="it-IT"/>
        </w:rPr>
        <w:t xml:space="preserve"> C, et al. </w:t>
      </w:r>
      <w:r w:rsidRPr="006E7C5D">
        <w:rPr>
          <w:rFonts w:ascii="Arial" w:eastAsia="Times New Roman" w:hAnsi="Arial" w:cs="Arial"/>
          <w:sz w:val="14"/>
          <w:szCs w:val="20"/>
          <w:lang w:val="en-US" w:eastAsia="it-IT"/>
        </w:rPr>
        <w:t>Peripherally inserted central catheters in non-hospitalized cancer patients: 5-year results of a prospective study. </w:t>
      </w:r>
      <w:proofErr w:type="spellStart"/>
      <w:r w:rsidRPr="006E7C5D">
        <w:rPr>
          <w:rFonts w:ascii="Arial" w:eastAsia="Times New Roman" w:hAnsi="Arial" w:cs="Arial"/>
          <w:i/>
          <w:iCs/>
          <w:sz w:val="14"/>
          <w:szCs w:val="20"/>
          <w:lang w:eastAsia="it-IT"/>
        </w:rPr>
        <w:t>Support</w:t>
      </w:r>
      <w:proofErr w:type="spellEnd"/>
      <w:r w:rsidRPr="006E7C5D">
        <w:rPr>
          <w:rFonts w:ascii="Arial" w:eastAsia="Times New Roman" w:hAnsi="Arial" w:cs="Arial"/>
          <w:i/>
          <w:iCs/>
          <w:sz w:val="14"/>
          <w:szCs w:val="20"/>
          <w:lang w:eastAsia="it-IT"/>
        </w:rPr>
        <w:t xml:space="preserve"> Care </w:t>
      </w:r>
      <w:proofErr w:type="spellStart"/>
      <w:r w:rsidRPr="006E7C5D">
        <w:rPr>
          <w:rFonts w:ascii="Arial" w:eastAsia="Times New Roman" w:hAnsi="Arial" w:cs="Arial"/>
          <w:i/>
          <w:iCs/>
          <w:sz w:val="14"/>
          <w:szCs w:val="20"/>
          <w:lang w:eastAsia="it-IT"/>
        </w:rPr>
        <w:t>Cancer</w:t>
      </w:r>
      <w:proofErr w:type="spellEnd"/>
      <w:r w:rsidRPr="006E7C5D">
        <w:rPr>
          <w:rFonts w:ascii="Arial" w:eastAsia="Times New Roman" w:hAnsi="Arial" w:cs="Arial"/>
          <w:i/>
          <w:iCs/>
          <w:sz w:val="14"/>
          <w:szCs w:val="20"/>
          <w:lang w:eastAsia="it-IT"/>
        </w:rPr>
        <w:t>. </w:t>
      </w:r>
      <w:r w:rsidRPr="006E7C5D">
        <w:rPr>
          <w:rFonts w:ascii="Arial" w:eastAsia="Times New Roman" w:hAnsi="Arial" w:cs="Arial"/>
          <w:sz w:val="14"/>
          <w:szCs w:val="20"/>
          <w:lang w:eastAsia="it-IT"/>
        </w:rPr>
        <w:t>2015;23(2):403-409.</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eastAsia="it-IT"/>
        </w:rPr>
      </w:pPr>
      <w:r w:rsidRPr="006E7C5D">
        <w:rPr>
          <w:rFonts w:ascii="Arial" w:eastAsia="Times New Roman" w:hAnsi="Arial" w:cs="Arial"/>
          <w:sz w:val="14"/>
          <w:szCs w:val="20"/>
          <w:lang w:val="en-US" w:eastAsia="it-IT"/>
        </w:rPr>
        <w:t xml:space="preserve">Chopra V, </w:t>
      </w:r>
      <w:proofErr w:type="spellStart"/>
      <w:r w:rsidRPr="006E7C5D">
        <w:rPr>
          <w:rFonts w:ascii="Arial" w:eastAsia="Times New Roman" w:hAnsi="Arial" w:cs="Arial"/>
          <w:sz w:val="14"/>
          <w:szCs w:val="20"/>
          <w:lang w:val="en-US" w:eastAsia="it-IT"/>
        </w:rPr>
        <w:t>Anand</w:t>
      </w:r>
      <w:proofErr w:type="spellEnd"/>
      <w:r w:rsidRPr="006E7C5D">
        <w:rPr>
          <w:rFonts w:ascii="Arial" w:eastAsia="Times New Roman" w:hAnsi="Arial" w:cs="Arial"/>
          <w:sz w:val="14"/>
          <w:szCs w:val="20"/>
          <w:lang w:val="en-US" w:eastAsia="it-IT"/>
        </w:rPr>
        <w:t xml:space="preserve"> S, </w:t>
      </w:r>
      <w:proofErr w:type="spellStart"/>
      <w:r w:rsidRPr="006E7C5D">
        <w:rPr>
          <w:rFonts w:ascii="Arial" w:eastAsia="Times New Roman" w:hAnsi="Arial" w:cs="Arial"/>
          <w:sz w:val="14"/>
          <w:szCs w:val="20"/>
          <w:lang w:val="en-US" w:eastAsia="it-IT"/>
        </w:rPr>
        <w:t>Krein</w:t>
      </w:r>
      <w:proofErr w:type="spellEnd"/>
      <w:r w:rsidRPr="006E7C5D">
        <w:rPr>
          <w:rFonts w:ascii="Arial" w:eastAsia="Times New Roman" w:hAnsi="Arial" w:cs="Arial"/>
          <w:sz w:val="14"/>
          <w:szCs w:val="20"/>
          <w:lang w:val="en-US" w:eastAsia="it-IT"/>
        </w:rPr>
        <w:t xml:space="preserve"> SL, Chenoweth C, Saint S. Bloodstream infection, venous thrombosis, and peripherally inserted central catheters: reappraising the evidence. </w:t>
      </w:r>
      <w:proofErr w:type="spellStart"/>
      <w:r w:rsidRPr="006E7C5D">
        <w:rPr>
          <w:rFonts w:ascii="Arial" w:eastAsia="Times New Roman" w:hAnsi="Arial" w:cs="Arial"/>
          <w:i/>
          <w:iCs/>
          <w:sz w:val="14"/>
          <w:szCs w:val="20"/>
          <w:lang w:eastAsia="it-IT"/>
        </w:rPr>
        <w:t>Am</w:t>
      </w:r>
      <w:proofErr w:type="spellEnd"/>
      <w:r w:rsidRPr="006E7C5D">
        <w:rPr>
          <w:rFonts w:ascii="Arial" w:eastAsia="Times New Roman" w:hAnsi="Arial" w:cs="Arial"/>
          <w:i/>
          <w:iCs/>
          <w:sz w:val="14"/>
          <w:szCs w:val="20"/>
          <w:lang w:eastAsia="it-IT"/>
        </w:rPr>
        <w:t xml:space="preserve"> J </w:t>
      </w:r>
      <w:proofErr w:type="spellStart"/>
      <w:r w:rsidRPr="006E7C5D">
        <w:rPr>
          <w:rFonts w:ascii="Arial" w:eastAsia="Times New Roman" w:hAnsi="Arial" w:cs="Arial"/>
          <w:i/>
          <w:iCs/>
          <w:sz w:val="14"/>
          <w:szCs w:val="20"/>
          <w:lang w:eastAsia="it-IT"/>
        </w:rPr>
        <w:t>Med</w:t>
      </w:r>
      <w:proofErr w:type="spellEnd"/>
      <w:r w:rsidRPr="006E7C5D">
        <w:rPr>
          <w:rFonts w:ascii="Arial" w:eastAsia="Times New Roman" w:hAnsi="Arial" w:cs="Arial"/>
          <w:i/>
          <w:iCs/>
          <w:sz w:val="14"/>
          <w:szCs w:val="20"/>
          <w:lang w:eastAsia="it-IT"/>
        </w:rPr>
        <w:t>. </w:t>
      </w:r>
      <w:r w:rsidRPr="006E7C5D">
        <w:rPr>
          <w:rFonts w:ascii="Arial" w:eastAsia="Times New Roman" w:hAnsi="Arial" w:cs="Arial"/>
          <w:sz w:val="14"/>
          <w:szCs w:val="20"/>
          <w:lang w:eastAsia="it-IT"/>
        </w:rPr>
        <w:t>2012;125(8):733-741.</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eastAsia="it-IT"/>
        </w:rPr>
      </w:pPr>
      <w:r w:rsidRPr="006E7C5D">
        <w:rPr>
          <w:rFonts w:ascii="Arial" w:eastAsia="Times New Roman" w:hAnsi="Arial" w:cs="Arial"/>
          <w:sz w:val="14"/>
          <w:szCs w:val="20"/>
          <w:lang w:val="en-US" w:eastAsia="it-IT"/>
        </w:rPr>
        <w:t xml:space="preserve">Saber W, </w:t>
      </w:r>
      <w:proofErr w:type="spellStart"/>
      <w:r w:rsidRPr="006E7C5D">
        <w:rPr>
          <w:rFonts w:ascii="Arial" w:eastAsia="Times New Roman" w:hAnsi="Arial" w:cs="Arial"/>
          <w:sz w:val="14"/>
          <w:szCs w:val="20"/>
          <w:lang w:val="en-US" w:eastAsia="it-IT"/>
        </w:rPr>
        <w:t>Moua</w:t>
      </w:r>
      <w:proofErr w:type="spellEnd"/>
      <w:r w:rsidRPr="006E7C5D">
        <w:rPr>
          <w:rFonts w:ascii="Arial" w:eastAsia="Times New Roman" w:hAnsi="Arial" w:cs="Arial"/>
          <w:sz w:val="14"/>
          <w:szCs w:val="20"/>
          <w:lang w:val="en-US" w:eastAsia="it-IT"/>
        </w:rPr>
        <w:t xml:space="preserve"> T, Williams EC, et al. Risk factors for catheter-related thrombosis (CRT) in cancer patients: a patient-level data (IPD) meta-analysis of clinical trials and prospective studies. </w:t>
      </w:r>
      <w:r w:rsidRPr="006E7C5D">
        <w:rPr>
          <w:rFonts w:ascii="Arial" w:eastAsia="Times New Roman" w:hAnsi="Arial" w:cs="Arial"/>
          <w:i/>
          <w:iCs/>
          <w:sz w:val="14"/>
          <w:szCs w:val="20"/>
          <w:lang w:eastAsia="it-IT"/>
        </w:rPr>
        <w:t xml:space="preserve">J </w:t>
      </w:r>
      <w:proofErr w:type="spellStart"/>
      <w:r w:rsidRPr="006E7C5D">
        <w:rPr>
          <w:rFonts w:ascii="Arial" w:eastAsia="Times New Roman" w:hAnsi="Arial" w:cs="Arial"/>
          <w:i/>
          <w:iCs/>
          <w:sz w:val="14"/>
          <w:szCs w:val="20"/>
          <w:lang w:eastAsia="it-IT"/>
        </w:rPr>
        <w:t>Thromb</w:t>
      </w:r>
      <w:proofErr w:type="spellEnd"/>
      <w:r w:rsidRPr="006E7C5D">
        <w:rPr>
          <w:rFonts w:ascii="Arial" w:eastAsia="Times New Roman" w:hAnsi="Arial" w:cs="Arial"/>
          <w:i/>
          <w:iCs/>
          <w:sz w:val="14"/>
          <w:szCs w:val="20"/>
          <w:lang w:eastAsia="it-IT"/>
        </w:rPr>
        <w:t xml:space="preserve"> </w:t>
      </w:r>
      <w:proofErr w:type="spellStart"/>
      <w:r w:rsidRPr="006E7C5D">
        <w:rPr>
          <w:rFonts w:ascii="Arial" w:eastAsia="Times New Roman" w:hAnsi="Arial" w:cs="Arial"/>
          <w:i/>
          <w:iCs/>
          <w:sz w:val="14"/>
          <w:szCs w:val="20"/>
          <w:lang w:eastAsia="it-IT"/>
        </w:rPr>
        <w:t>Haemost</w:t>
      </w:r>
      <w:proofErr w:type="spellEnd"/>
      <w:r w:rsidRPr="006E7C5D">
        <w:rPr>
          <w:rFonts w:ascii="Arial" w:eastAsia="Times New Roman" w:hAnsi="Arial" w:cs="Arial"/>
          <w:i/>
          <w:iCs/>
          <w:sz w:val="14"/>
          <w:szCs w:val="20"/>
          <w:lang w:eastAsia="it-IT"/>
        </w:rPr>
        <w:t>. </w:t>
      </w:r>
      <w:r w:rsidRPr="006E7C5D">
        <w:rPr>
          <w:rFonts w:ascii="Arial" w:eastAsia="Times New Roman" w:hAnsi="Arial" w:cs="Arial"/>
          <w:sz w:val="14"/>
          <w:szCs w:val="20"/>
          <w:lang w:eastAsia="it-IT"/>
        </w:rPr>
        <w:t>2011;9(2):312-319.</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val="en-US" w:eastAsia="it-IT"/>
        </w:rPr>
      </w:pPr>
      <w:r w:rsidRPr="006E7C5D">
        <w:rPr>
          <w:rFonts w:ascii="Arial" w:eastAsia="Times New Roman" w:hAnsi="Arial" w:cs="Arial"/>
          <w:sz w:val="14"/>
          <w:szCs w:val="20"/>
          <w:lang w:eastAsia="it-IT"/>
        </w:rPr>
        <w:t xml:space="preserve">Campagna S, Gonella S, </w:t>
      </w:r>
      <w:proofErr w:type="spellStart"/>
      <w:r w:rsidRPr="006E7C5D">
        <w:rPr>
          <w:rFonts w:ascii="Arial" w:eastAsia="Times New Roman" w:hAnsi="Arial" w:cs="Arial"/>
          <w:sz w:val="14"/>
          <w:szCs w:val="20"/>
          <w:lang w:eastAsia="it-IT"/>
        </w:rPr>
        <w:t>Berchialla</w:t>
      </w:r>
      <w:proofErr w:type="spellEnd"/>
      <w:r w:rsidRPr="006E7C5D">
        <w:rPr>
          <w:rFonts w:ascii="Arial" w:eastAsia="Times New Roman" w:hAnsi="Arial" w:cs="Arial"/>
          <w:sz w:val="14"/>
          <w:szCs w:val="20"/>
          <w:lang w:eastAsia="it-IT"/>
        </w:rPr>
        <w:t xml:space="preserve"> P, et al. </w:t>
      </w:r>
      <w:proofErr w:type="gramStart"/>
      <w:r w:rsidRPr="006E7C5D">
        <w:rPr>
          <w:rFonts w:ascii="Arial" w:eastAsia="Times New Roman" w:hAnsi="Arial" w:cs="Arial"/>
          <w:sz w:val="14"/>
          <w:szCs w:val="20"/>
          <w:lang w:val="en-US" w:eastAsia="it-IT"/>
        </w:rPr>
        <w:t>Can Peripherally Inserted Central Catheters Be Safely Placed</w:t>
      </w:r>
      <w:proofErr w:type="gramEnd"/>
      <w:r w:rsidRPr="006E7C5D">
        <w:rPr>
          <w:rFonts w:ascii="Arial" w:eastAsia="Times New Roman" w:hAnsi="Arial" w:cs="Arial"/>
          <w:sz w:val="14"/>
          <w:szCs w:val="20"/>
          <w:lang w:val="en-US" w:eastAsia="it-IT"/>
        </w:rPr>
        <w:t xml:space="preserve"> in Patients with Cancer Receiving Chemotherapy? A Retrospective Study of Almost 400,000 Catheter-Days. </w:t>
      </w:r>
      <w:r w:rsidRPr="006E7C5D">
        <w:rPr>
          <w:rFonts w:ascii="Arial" w:eastAsia="Times New Roman" w:hAnsi="Arial" w:cs="Arial"/>
          <w:i/>
          <w:iCs/>
          <w:sz w:val="14"/>
          <w:szCs w:val="20"/>
          <w:lang w:val="en-US" w:eastAsia="it-IT"/>
        </w:rPr>
        <w:t>Oncologist. </w:t>
      </w:r>
      <w:r w:rsidRPr="006E7C5D">
        <w:rPr>
          <w:rFonts w:ascii="Arial" w:eastAsia="Times New Roman" w:hAnsi="Arial" w:cs="Arial"/>
          <w:sz w:val="14"/>
          <w:szCs w:val="20"/>
          <w:lang w:val="en-US" w:eastAsia="it-IT"/>
        </w:rPr>
        <w:t>2019</w:t>
      </w:r>
      <w:proofErr w:type="gramStart"/>
      <w:r w:rsidRPr="006E7C5D">
        <w:rPr>
          <w:rFonts w:ascii="Arial" w:eastAsia="Times New Roman" w:hAnsi="Arial" w:cs="Arial"/>
          <w:sz w:val="14"/>
          <w:szCs w:val="20"/>
          <w:lang w:val="en-US" w:eastAsia="it-IT"/>
        </w:rPr>
        <w:t>;24</w:t>
      </w:r>
      <w:proofErr w:type="gramEnd"/>
      <w:r w:rsidRPr="006E7C5D">
        <w:rPr>
          <w:rFonts w:ascii="Arial" w:eastAsia="Times New Roman" w:hAnsi="Arial" w:cs="Arial"/>
          <w:sz w:val="14"/>
          <w:szCs w:val="20"/>
          <w:lang w:val="en-US" w:eastAsia="it-IT"/>
        </w:rPr>
        <w:t>(9):e953-e959.</w:t>
      </w:r>
    </w:p>
    <w:p w:rsidR="006E7C5D" w:rsidRPr="006E7C5D" w:rsidRDefault="006E7C5D" w:rsidP="006E7C5D">
      <w:pPr>
        <w:numPr>
          <w:ilvl w:val="0"/>
          <w:numId w:val="2"/>
        </w:numPr>
        <w:shd w:val="clear" w:color="auto" w:fill="FFFFFF"/>
        <w:ind w:left="0" w:firstLine="0"/>
        <w:jc w:val="both"/>
        <w:rPr>
          <w:rFonts w:ascii="Arial" w:eastAsia="Times New Roman" w:hAnsi="Arial" w:cs="Arial"/>
          <w:sz w:val="14"/>
          <w:szCs w:val="20"/>
          <w:lang w:eastAsia="it-IT"/>
        </w:rPr>
      </w:pPr>
      <w:r w:rsidRPr="006E7C5D">
        <w:rPr>
          <w:rFonts w:ascii="Arial" w:eastAsia="Times New Roman" w:hAnsi="Arial" w:cs="Arial"/>
          <w:sz w:val="14"/>
          <w:szCs w:val="20"/>
          <w:lang w:eastAsia="it-IT"/>
        </w:rPr>
        <w:t xml:space="preserve">Campagna S, Gonella S, </w:t>
      </w:r>
      <w:proofErr w:type="spellStart"/>
      <w:r w:rsidRPr="006E7C5D">
        <w:rPr>
          <w:rFonts w:ascii="Arial" w:eastAsia="Times New Roman" w:hAnsi="Arial" w:cs="Arial"/>
          <w:sz w:val="14"/>
          <w:szCs w:val="20"/>
          <w:lang w:eastAsia="it-IT"/>
        </w:rPr>
        <w:t>Zerla</w:t>
      </w:r>
      <w:proofErr w:type="spellEnd"/>
      <w:r w:rsidRPr="006E7C5D">
        <w:rPr>
          <w:rFonts w:ascii="Arial" w:eastAsia="Times New Roman" w:hAnsi="Arial" w:cs="Arial"/>
          <w:sz w:val="14"/>
          <w:szCs w:val="20"/>
          <w:lang w:eastAsia="it-IT"/>
        </w:rPr>
        <w:t xml:space="preserve"> PA, et al. </w:t>
      </w:r>
      <w:r w:rsidRPr="006E7C5D">
        <w:rPr>
          <w:rFonts w:ascii="Arial" w:eastAsia="Times New Roman" w:hAnsi="Arial" w:cs="Arial"/>
          <w:sz w:val="14"/>
          <w:szCs w:val="20"/>
          <w:lang w:val="en-US" w:eastAsia="it-IT"/>
        </w:rPr>
        <w:t>The Risk of Adverse Events Related to Extended-Dwell Peripheral Intravenous Access. </w:t>
      </w:r>
      <w:proofErr w:type="spellStart"/>
      <w:r w:rsidRPr="006E7C5D">
        <w:rPr>
          <w:rFonts w:ascii="Arial" w:eastAsia="Times New Roman" w:hAnsi="Arial" w:cs="Arial"/>
          <w:i/>
          <w:iCs/>
          <w:sz w:val="14"/>
          <w:szCs w:val="20"/>
          <w:lang w:eastAsia="it-IT"/>
        </w:rPr>
        <w:t>Infect</w:t>
      </w:r>
      <w:proofErr w:type="spellEnd"/>
      <w:r w:rsidRPr="006E7C5D">
        <w:rPr>
          <w:rFonts w:ascii="Arial" w:eastAsia="Times New Roman" w:hAnsi="Arial" w:cs="Arial"/>
          <w:i/>
          <w:iCs/>
          <w:sz w:val="14"/>
          <w:szCs w:val="20"/>
          <w:lang w:eastAsia="it-IT"/>
        </w:rPr>
        <w:t xml:space="preserve"> Control </w:t>
      </w:r>
      <w:proofErr w:type="spellStart"/>
      <w:r w:rsidRPr="006E7C5D">
        <w:rPr>
          <w:rFonts w:ascii="Arial" w:eastAsia="Times New Roman" w:hAnsi="Arial" w:cs="Arial"/>
          <w:i/>
          <w:iCs/>
          <w:sz w:val="14"/>
          <w:szCs w:val="20"/>
          <w:lang w:eastAsia="it-IT"/>
        </w:rPr>
        <w:t>Hosp</w:t>
      </w:r>
      <w:proofErr w:type="spellEnd"/>
      <w:r w:rsidRPr="006E7C5D">
        <w:rPr>
          <w:rFonts w:ascii="Arial" w:eastAsia="Times New Roman" w:hAnsi="Arial" w:cs="Arial"/>
          <w:i/>
          <w:iCs/>
          <w:sz w:val="14"/>
          <w:szCs w:val="20"/>
          <w:lang w:eastAsia="it-IT"/>
        </w:rPr>
        <w:t xml:space="preserve"> </w:t>
      </w:r>
      <w:proofErr w:type="spellStart"/>
      <w:r w:rsidRPr="006E7C5D">
        <w:rPr>
          <w:rFonts w:ascii="Arial" w:eastAsia="Times New Roman" w:hAnsi="Arial" w:cs="Arial"/>
          <w:i/>
          <w:iCs/>
          <w:sz w:val="14"/>
          <w:szCs w:val="20"/>
          <w:lang w:eastAsia="it-IT"/>
        </w:rPr>
        <w:t>Epidemiol</w:t>
      </w:r>
      <w:proofErr w:type="spellEnd"/>
      <w:r w:rsidRPr="006E7C5D">
        <w:rPr>
          <w:rFonts w:ascii="Arial" w:eastAsia="Times New Roman" w:hAnsi="Arial" w:cs="Arial"/>
          <w:i/>
          <w:iCs/>
          <w:sz w:val="14"/>
          <w:szCs w:val="20"/>
          <w:lang w:eastAsia="it-IT"/>
        </w:rPr>
        <w:t>. </w:t>
      </w:r>
      <w:r w:rsidRPr="006E7C5D">
        <w:rPr>
          <w:rFonts w:ascii="Arial" w:eastAsia="Times New Roman" w:hAnsi="Arial" w:cs="Arial"/>
          <w:sz w:val="14"/>
          <w:szCs w:val="20"/>
          <w:lang w:eastAsia="it-IT"/>
        </w:rPr>
        <w:t>2018;39(7):875-877.</w:t>
      </w:r>
    </w:p>
    <w:p w:rsidR="00833953" w:rsidRDefault="006E7C5D" w:rsidP="006E7C5D">
      <w:pPr>
        <w:shd w:val="clear" w:color="auto" w:fill="FFFFFF"/>
        <w:jc w:val="both"/>
        <w:rPr>
          <w:rFonts w:ascii="Arial" w:eastAsia="Times New Roman" w:hAnsi="Arial" w:cs="Arial"/>
          <w:sz w:val="14"/>
          <w:szCs w:val="20"/>
          <w:lang w:eastAsia="it-IT"/>
        </w:rPr>
      </w:pPr>
      <w:proofErr w:type="spellStart"/>
      <w:r w:rsidRPr="006E7C5D">
        <w:rPr>
          <w:rFonts w:ascii="Arial" w:eastAsia="Times New Roman" w:hAnsi="Arial" w:cs="Arial"/>
          <w:sz w:val="14"/>
          <w:szCs w:val="20"/>
          <w:lang w:eastAsia="it-IT"/>
        </w:rPr>
        <w:t>Approbation</w:t>
      </w:r>
      <w:proofErr w:type="spellEnd"/>
      <w:r w:rsidRPr="006E7C5D">
        <w:rPr>
          <w:rFonts w:ascii="Arial" w:eastAsia="Times New Roman" w:hAnsi="Arial" w:cs="Arial"/>
          <w:sz w:val="14"/>
          <w:szCs w:val="20"/>
          <w:lang w:eastAsia="it-IT"/>
        </w:rPr>
        <w:t xml:space="preserve"> </w:t>
      </w:r>
      <w:proofErr w:type="spellStart"/>
      <w:r w:rsidRPr="006E7C5D">
        <w:rPr>
          <w:rFonts w:ascii="Arial" w:eastAsia="Times New Roman" w:hAnsi="Arial" w:cs="Arial"/>
          <w:sz w:val="14"/>
          <w:szCs w:val="20"/>
          <w:lang w:eastAsia="it-IT"/>
        </w:rPr>
        <w:t>Number</w:t>
      </w:r>
      <w:proofErr w:type="spellEnd"/>
      <w:r w:rsidRPr="006E7C5D">
        <w:rPr>
          <w:rFonts w:ascii="Arial" w:eastAsia="Times New Roman" w:hAnsi="Arial" w:cs="Arial"/>
          <w:sz w:val="14"/>
          <w:szCs w:val="20"/>
          <w:lang w:eastAsia="it-IT"/>
        </w:rPr>
        <w:t>: BD-19023</w:t>
      </w:r>
    </w:p>
    <w:p w:rsidR="00B90070" w:rsidRDefault="00B90070" w:rsidP="006E7C5D">
      <w:pPr>
        <w:shd w:val="clear" w:color="auto" w:fill="FFFFFF"/>
        <w:jc w:val="both"/>
        <w:rPr>
          <w:rFonts w:ascii="Arial" w:hAnsi="Arial" w:cs="Arial"/>
          <w:sz w:val="16"/>
        </w:rPr>
      </w:pPr>
      <w:r w:rsidRPr="00B90070">
        <w:rPr>
          <w:rFonts w:ascii="Arial" w:hAnsi="Arial" w:cs="Arial"/>
          <w:sz w:val="16"/>
        </w:rPr>
        <w:lastRenderedPageBreak/>
        <w:drawing>
          <wp:inline distT="0" distB="0" distL="0" distR="0" wp14:anchorId="7C015246" wp14:editId="4662E31B">
            <wp:extent cx="6325738" cy="8208211"/>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57255" cy="8249106"/>
                    </a:xfrm>
                    <a:prstGeom prst="rect">
                      <a:avLst/>
                    </a:prstGeom>
                  </pic:spPr>
                </pic:pic>
              </a:graphicData>
            </a:graphic>
          </wp:inline>
        </w:drawing>
      </w:r>
    </w:p>
    <w:p w:rsidR="00B90070" w:rsidRDefault="00B90070">
      <w:pPr>
        <w:rPr>
          <w:rFonts w:ascii="Arial" w:hAnsi="Arial" w:cs="Arial"/>
          <w:sz w:val="16"/>
        </w:rPr>
      </w:pPr>
      <w:r>
        <w:rPr>
          <w:rFonts w:ascii="Arial" w:hAnsi="Arial" w:cs="Arial"/>
          <w:sz w:val="16"/>
        </w:rPr>
        <w:br w:type="page"/>
      </w:r>
    </w:p>
    <w:p w:rsidR="00B90070" w:rsidRPr="006E7C5D" w:rsidRDefault="00B90070" w:rsidP="006E7C5D">
      <w:pPr>
        <w:shd w:val="clear" w:color="auto" w:fill="FFFFFF"/>
        <w:jc w:val="both"/>
        <w:rPr>
          <w:rFonts w:ascii="Arial" w:hAnsi="Arial" w:cs="Arial"/>
          <w:sz w:val="16"/>
        </w:rPr>
      </w:pPr>
      <w:bookmarkStart w:id="0" w:name="_GoBack"/>
      <w:r w:rsidRPr="00B90070">
        <w:rPr>
          <w:rFonts w:ascii="Arial" w:hAnsi="Arial" w:cs="Arial"/>
          <w:sz w:val="16"/>
        </w:rPr>
        <w:lastRenderedPageBreak/>
        <w:drawing>
          <wp:inline distT="0" distB="0" distL="0" distR="0" wp14:anchorId="4831CBD2" wp14:editId="4B5786B7">
            <wp:extent cx="6032102" cy="8460628"/>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5570" cy="8535622"/>
                    </a:xfrm>
                    <a:prstGeom prst="rect">
                      <a:avLst/>
                    </a:prstGeom>
                  </pic:spPr>
                </pic:pic>
              </a:graphicData>
            </a:graphic>
          </wp:inline>
        </w:drawing>
      </w:r>
      <w:bookmarkEnd w:id="0"/>
    </w:p>
    <w:sectPr w:rsidR="00B90070" w:rsidRPr="006E7C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461C9"/>
    <w:multiLevelType w:val="multilevel"/>
    <w:tmpl w:val="40628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9207B3"/>
    <w:multiLevelType w:val="multilevel"/>
    <w:tmpl w:val="161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60"/>
    <w:rsid w:val="00236D85"/>
    <w:rsid w:val="006E7C5D"/>
    <w:rsid w:val="00833953"/>
    <w:rsid w:val="00B90070"/>
    <w:rsid w:val="00C42460"/>
    <w:rsid w:val="00D73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2466"/>
  <w15:chartTrackingRefBased/>
  <w15:docId w15:val="{A21C6498-78B8-446C-AA58-983D4EC2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36D85"/>
    <w:pPr>
      <w:keepNext/>
      <w:keepLines/>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236D85"/>
    <w:pPr>
      <w:keepNext/>
      <w:keepLines/>
      <w:spacing w:before="40"/>
      <w:outlineLvl w:val="1"/>
    </w:pPr>
    <w:rPr>
      <w:rFonts w:asciiTheme="majorHAnsi" w:eastAsiaTheme="majorEastAsia" w:hAnsiTheme="majorHAnsi"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6D85"/>
    <w:rPr>
      <w:rFonts w:asciiTheme="majorHAnsi" w:eastAsiaTheme="majorEastAsia" w:hAnsiTheme="majorHAnsi" w:cstheme="majorBidi"/>
      <w:b/>
      <w:sz w:val="32"/>
      <w:szCs w:val="32"/>
    </w:rPr>
  </w:style>
  <w:style w:type="character" w:customStyle="1" w:styleId="Titolo2Carattere">
    <w:name w:val="Titolo 2 Carattere"/>
    <w:basedOn w:val="Carpredefinitoparagrafo"/>
    <w:link w:val="Titolo2"/>
    <w:uiPriority w:val="9"/>
    <w:rsid w:val="00236D85"/>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94752">
      <w:bodyDiv w:val="1"/>
      <w:marLeft w:val="0"/>
      <w:marRight w:val="0"/>
      <w:marTop w:val="0"/>
      <w:marBottom w:val="0"/>
      <w:divBdr>
        <w:top w:val="none" w:sz="0" w:space="0" w:color="auto"/>
        <w:left w:val="none" w:sz="0" w:space="0" w:color="auto"/>
        <w:bottom w:val="none" w:sz="0" w:space="0" w:color="auto"/>
        <w:right w:val="none" w:sz="0" w:space="0" w:color="auto"/>
      </w:divBdr>
      <w:divsChild>
        <w:div w:id="1903976453">
          <w:marLeft w:val="-225"/>
          <w:marRight w:val="-225"/>
          <w:marTop w:val="0"/>
          <w:marBottom w:val="0"/>
          <w:divBdr>
            <w:top w:val="none" w:sz="0" w:space="0" w:color="auto"/>
            <w:left w:val="none" w:sz="0" w:space="0" w:color="auto"/>
            <w:bottom w:val="none" w:sz="0" w:space="0" w:color="auto"/>
            <w:right w:val="none" w:sz="0" w:space="0" w:color="auto"/>
          </w:divBdr>
          <w:divsChild>
            <w:div w:id="1009478860">
              <w:marLeft w:val="0"/>
              <w:marRight w:val="0"/>
              <w:marTop w:val="0"/>
              <w:marBottom w:val="0"/>
              <w:divBdr>
                <w:top w:val="none" w:sz="0" w:space="0" w:color="auto"/>
                <w:left w:val="none" w:sz="0" w:space="0" w:color="auto"/>
                <w:bottom w:val="none" w:sz="0" w:space="0" w:color="auto"/>
                <w:right w:val="none" w:sz="0" w:space="0" w:color="auto"/>
              </w:divBdr>
              <w:divsChild>
                <w:div w:id="8826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669">
          <w:marLeft w:val="-225"/>
          <w:marRight w:val="-225"/>
          <w:marTop w:val="0"/>
          <w:marBottom w:val="0"/>
          <w:divBdr>
            <w:top w:val="none" w:sz="0" w:space="0" w:color="auto"/>
            <w:left w:val="none" w:sz="0" w:space="0" w:color="auto"/>
            <w:bottom w:val="none" w:sz="0" w:space="0" w:color="auto"/>
            <w:right w:val="none" w:sz="0" w:space="0" w:color="auto"/>
          </w:divBdr>
          <w:divsChild>
            <w:div w:id="863635144">
              <w:marLeft w:val="0"/>
              <w:marRight w:val="0"/>
              <w:marTop w:val="0"/>
              <w:marBottom w:val="0"/>
              <w:divBdr>
                <w:top w:val="none" w:sz="0" w:space="0" w:color="auto"/>
                <w:left w:val="none" w:sz="0" w:space="0" w:color="auto"/>
                <w:bottom w:val="none" w:sz="0" w:space="0" w:color="auto"/>
                <w:right w:val="none" w:sz="0" w:space="0" w:color="auto"/>
              </w:divBdr>
              <w:divsChild>
                <w:div w:id="1605186143">
                  <w:marLeft w:val="0"/>
                  <w:marRight w:val="0"/>
                  <w:marTop w:val="0"/>
                  <w:marBottom w:val="0"/>
                  <w:divBdr>
                    <w:top w:val="none" w:sz="0" w:space="0" w:color="auto"/>
                    <w:left w:val="none" w:sz="0" w:space="0" w:color="auto"/>
                    <w:bottom w:val="none" w:sz="0" w:space="0" w:color="auto"/>
                    <w:right w:val="none" w:sz="0" w:space="0" w:color="auto"/>
                  </w:divBdr>
                  <w:divsChild>
                    <w:div w:id="1355225426">
                      <w:marLeft w:val="0"/>
                      <w:marRight w:val="0"/>
                      <w:marTop w:val="0"/>
                      <w:marBottom w:val="0"/>
                      <w:divBdr>
                        <w:top w:val="none" w:sz="0" w:space="0" w:color="auto"/>
                        <w:left w:val="none" w:sz="0" w:space="0" w:color="auto"/>
                        <w:bottom w:val="none" w:sz="0" w:space="0" w:color="auto"/>
                        <w:right w:val="none" w:sz="0" w:space="0" w:color="auto"/>
                      </w:divBdr>
                    </w:div>
                    <w:div w:id="392508699">
                      <w:marLeft w:val="0"/>
                      <w:marRight w:val="0"/>
                      <w:marTop w:val="0"/>
                      <w:marBottom w:val="0"/>
                      <w:divBdr>
                        <w:top w:val="none" w:sz="0" w:space="0" w:color="auto"/>
                        <w:left w:val="none" w:sz="0" w:space="0" w:color="auto"/>
                        <w:bottom w:val="none" w:sz="0" w:space="0" w:color="auto"/>
                        <w:right w:val="none" w:sz="0" w:space="0" w:color="auto"/>
                      </w:divBdr>
                      <w:divsChild>
                        <w:div w:id="1559198898">
                          <w:marLeft w:val="0"/>
                          <w:marRight w:val="0"/>
                          <w:marTop w:val="0"/>
                          <w:marBottom w:val="0"/>
                          <w:divBdr>
                            <w:top w:val="single" w:sz="6" w:space="8" w:color="E5E5E5"/>
                            <w:left w:val="none" w:sz="0" w:space="0" w:color="auto"/>
                            <w:bottom w:val="none" w:sz="0" w:space="0" w:color="auto"/>
                            <w:right w:val="none" w:sz="0" w:space="0" w:color="auto"/>
                          </w:divBdr>
                        </w:div>
                        <w:div w:id="1450516526">
                          <w:marLeft w:val="0"/>
                          <w:marRight w:val="0"/>
                          <w:marTop w:val="0"/>
                          <w:marBottom w:val="0"/>
                          <w:divBdr>
                            <w:top w:val="none" w:sz="0" w:space="0" w:color="auto"/>
                            <w:left w:val="none" w:sz="0" w:space="0" w:color="auto"/>
                            <w:bottom w:val="none" w:sz="0" w:space="0" w:color="auto"/>
                            <w:right w:val="none" w:sz="0" w:space="0" w:color="auto"/>
                          </w:divBdr>
                        </w:div>
                        <w:div w:id="305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096">
                  <w:marLeft w:val="0"/>
                  <w:marRight w:val="0"/>
                  <w:marTop w:val="0"/>
                  <w:marBottom w:val="450"/>
                  <w:divBdr>
                    <w:top w:val="none" w:sz="0" w:space="0" w:color="auto"/>
                    <w:left w:val="none" w:sz="0" w:space="0" w:color="auto"/>
                    <w:bottom w:val="none" w:sz="0" w:space="0" w:color="auto"/>
                    <w:right w:val="none" w:sz="0" w:space="0" w:color="auto"/>
                  </w:divBdr>
                </w:div>
                <w:div w:id="26033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MB-EU-MDS@b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PLACENTI FRANCA</dc:creator>
  <cp:keywords/>
  <dc:description/>
  <cp:lastModifiedBy>PLACENTI FRANCA</cp:lastModifiedBy>
  <cp:revision>4</cp:revision>
  <dcterms:created xsi:type="dcterms:W3CDTF">2021-10-21T14:31:00Z</dcterms:created>
  <dcterms:modified xsi:type="dcterms:W3CDTF">2021-10-21T14:59:00Z</dcterms:modified>
</cp:coreProperties>
</file>