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B964" w14:textId="7C783681" w:rsidR="00B83119" w:rsidRPr="00B83119" w:rsidRDefault="00B83119" w:rsidP="00657C94">
      <w:pPr>
        <w:pStyle w:val="Testonotaapidipagina"/>
        <w:spacing w:after="0" w:line="200" w:lineRule="atLeast"/>
        <w:jc w:val="both"/>
        <w:rPr>
          <w:rFonts w:asciiTheme="minorHAnsi" w:hAnsiTheme="minorHAnsi"/>
          <w:b/>
          <w:bCs/>
          <w:sz w:val="28"/>
          <w:szCs w:val="28"/>
        </w:rPr>
      </w:pPr>
      <w:r w:rsidRPr="00B83119">
        <w:rPr>
          <w:rFonts w:asciiTheme="minorHAnsi" w:hAnsiTheme="minorHAnsi"/>
          <w:b/>
          <w:bCs/>
          <w:sz w:val="28"/>
          <w:szCs w:val="28"/>
        </w:rPr>
        <w:t xml:space="preserve">Cesare </w:t>
      </w:r>
      <w:proofErr w:type="spellStart"/>
      <w:r w:rsidRPr="00B83119">
        <w:rPr>
          <w:rFonts w:asciiTheme="minorHAnsi" w:hAnsiTheme="minorHAnsi"/>
          <w:b/>
          <w:bCs/>
          <w:sz w:val="28"/>
          <w:szCs w:val="28"/>
        </w:rPr>
        <w:t>Vetter</w:t>
      </w:r>
      <w:proofErr w:type="spellEnd"/>
      <w:r w:rsidRPr="00B83119">
        <w:rPr>
          <w:rFonts w:asciiTheme="minorHAnsi" w:hAnsiTheme="minorHAnsi"/>
          <w:b/>
          <w:bCs/>
          <w:sz w:val="28"/>
          <w:szCs w:val="28"/>
        </w:rPr>
        <w:t xml:space="preserve"> </w:t>
      </w:r>
      <w:r>
        <w:rPr>
          <w:rFonts w:asciiTheme="minorHAnsi" w:hAnsiTheme="minorHAnsi"/>
          <w:b/>
          <w:bCs/>
          <w:sz w:val="28"/>
          <w:szCs w:val="28"/>
        </w:rPr>
        <w:t xml:space="preserve">  </w:t>
      </w:r>
      <w:r w:rsidRPr="00B83119">
        <w:rPr>
          <w:rFonts w:asciiTheme="minorHAnsi" w:hAnsiTheme="minorHAnsi"/>
          <w:b/>
          <w:bCs/>
          <w:sz w:val="28"/>
          <w:szCs w:val="28"/>
        </w:rPr>
        <w:t xml:space="preserve"> Le </w:t>
      </w:r>
      <w:r>
        <w:rPr>
          <w:rFonts w:asciiTheme="minorHAnsi" w:hAnsiTheme="minorHAnsi"/>
          <w:b/>
          <w:bCs/>
          <w:sz w:val="28"/>
          <w:szCs w:val="28"/>
        </w:rPr>
        <w:t>v</w:t>
      </w:r>
      <w:r w:rsidRPr="00B83119">
        <w:rPr>
          <w:rFonts w:asciiTheme="minorHAnsi" w:hAnsiTheme="minorHAnsi"/>
          <w:b/>
          <w:bCs/>
          <w:sz w:val="28"/>
          <w:szCs w:val="28"/>
        </w:rPr>
        <w:t>ittime e</w:t>
      </w:r>
      <w:r>
        <w:rPr>
          <w:rFonts w:asciiTheme="minorHAnsi" w:hAnsiTheme="minorHAnsi"/>
          <w:b/>
          <w:bCs/>
          <w:sz w:val="28"/>
          <w:szCs w:val="28"/>
        </w:rPr>
        <w:t>cclesiastiche del Terrore</w:t>
      </w:r>
    </w:p>
    <w:p w14:paraId="4DA3EF4C" w14:textId="77777777" w:rsidR="00B83119" w:rsidRPr="00B83119" w:rsidRDefault="00B83119" w:rsidP="00657C94">
      <w:pPr>
        <w:pStyle w:val="Testonotaapidipagina"/>
        <w:spacing w:after="0" w:line="200" w:lineRule="atLeast"/>
        <w:jc w:val="both"/>
        <w:rPr>
          <w:rFonts w:asciiTheme="minorHAnsi" w:hAnsiTheme="minorHAnsi"/>
          <w:b/>
          <w:bCs/>
          <w:sz w:val="28"/>
          <w:szCs w:val="28"/>
        </w:rPr>
      </w:pPr>
    </w:p>
    <w:p w14:paraId="5C4604E0" w14:textId="77777777" w:rsidR="00B83119" w:rsidRPr="00B83119" w:rsidRDefault="00B83119" w:rsidP="00657C94">
      <w:pPr>
        <w:pStyle w:val="Testonotaapidipagina"/>
        <w:spacing w:after="0" w:line="200" w:lineRule="atLeast"/>
        <w:jc w:val="both"/>
        <w:rPr>
          <w:rFonts w:asciiTheme="minorHAnsi" w:hAnsiTheme="minorHAnsi"/>
          <w:b/>
          <w:bCs/>
          <w:sz w:val="28"/>
          <w:szCs w:val="28"/>
        </w:rPr>
      </w:pPr>
    </w:p>
    <w:p w14:paraId="3C6E13E8" w14:textId="5CB6D5C1" w:rsidR="00B83119" w:rsidRPr="00B83119" w:rsidRDefault="00B83119" w:rsidP="00657C94">
      <w:pPr>
        <w:pStyle w:val="Testonotaapidipagina"/>
        <w:spacing w:after="0" w:line="200" w:lineRule="atLeast"/>
        <w:jc w:val="both"/>
        <w:rPr>
          <w:rFonts w:asciiTheme="minorHAnsi" w:hAnsiTheme="minorHAnsi" w:cstheme="minorHAnsi"/>
          <w:b/>
          <w:bCs/>
          <w:sz w:val="28"/>
          <w:szCs w:val="28"/>
        </w:rPr>
      </w:pPr>
      <w:r w:rsidRPr="00B83119">
        <w:rPr>
          <w:rFonts w:asciiTheme="minorHAnsi" w:hAnsiTheme="minorHAnsi" w:cstheme="minorHAnsi"/>
          <w:b/>
          <w:bCs/>
          <w:sz w:val="28"/>
          <w:szCs w:val="28"/>
        </w:rPr>
        <w:t>Allo stato attuale della documentazione non conosciamo la cifra globale delle vittime ecclesiastiche del Terrore.</w:t>
      </w:r>
    </w:p>
    <w:p w14:paraId="0412B6BF" w14:textId="5CF95E0E" w:rsidR="00657C94" w:rsidRPr="00B83119" w:rsidRDefault="00657C94" w:rsidP="00657C94">
      <w:pPr>
        <w:pStyle w:val="Testonotaapidipagina"/>
        <w:spacing w:after="0" w:line="200" w:lineRule="atLeast"/>
        <w:jc w:val="both"/>
        <w:rPr>
          <w:rFonts w:asciiTheme="minorHAnsi" w:hAnsiTheme="minorHAnsi" w:cstheme="minorHAnsi"/>
          <w:b/>
          <w:bCs/>
          <w:sz w:val="28"/>
          <w:szCs w:val="28"/>
        </w:rPr>
      </w:pPr>
    </w:p>
    <w:p w14:paraId="4B8158FA" w14:textId="595A4CFA" w:rsidR="00AB0225" w:rsidRPr="00B83119" w:rsidRDefault="00B83119" w:rsidP="00B83119">
      <w:pPr>
        <w:pStyle w:val="Testonotaapidipagina"/>
        <w:spacing w:after="0" w:line="200" w:lineRule="atLeast"/>
        <w:jc w:val="both"/>
        <w:rPr>
          <w:rFonts w:asciiTheme="minorHAnsi" w:hAnsiTheme="minorHAnsi" w:cstheme="minorHAnsi"/>
          <w:b/>
          <w:bCs/>
          <w:sz w:val="28"/>
          <w:szCs w:val="28"/>
          <w:lang w:val="fr-FR"/>
        </w:rPr>
      </w:pPr>
      <w:proofErr w:type="spellStart"/>
      <w:r w:rsidRPr="00B83119">
        <w:rPr>
          <w:rFonts w:asciiTheme="minorHAnsi" w:hAnsiTheme="minorHAnsi" w:cstheme="minorHAnsi"/>
          <w:b/>
          <w:bCs/>
          <w:sz w:val="28"/>
          <w:szCs w:val="28"/>
          <w:lang w:val="fr-FR"/>
        </w:rPr>
        <w:t>Cfr</w:t>
      </w:r>
      <w:proofErr w:type="spellEnd"/>
      <w:r w:rsidRPr="00B83119">
        <w:rPr>
          <w:rFonts w:asciiTheme="minorHAnsi" w:hAnsiTheme="minorHAnsi" w:cstheme="minorHAnsi"/>
          <w:b/>
          <w:bCs/>
          <w:sz w:val="28"/>
          <w:szCs w:val="28"/>
          <w:lang w:val="fr-FR"/>
        </w:rPr>
        <w:t>.</w:t>
      </w:r>
      <w:r>
        <w:rPr>
          <w:rFonts w:asciiTheme="minorHAnsi" w:hAnsiTheme="minorHAnsi" w:cstheme="minorHAnsi"/>
          <w:b/>
          <w:bCs/>
          <w:sz w:val="28"/>
          <w:szCs w:val="28"/>
          <w:lang w:val="fr-FR"/>
        </w:rPr>
        <w:t xml:space="preserve">  </w:t>
      </w:r>
      <w:r w:rsidR="00657C94" w:rsidRPr="00B83119">
        <w:rPr>
          <w:rFonts w:asciiTheme="minorHAnsi" w:hAnsiTheme="minorHAnsi" w:cstheme="minorHAnsi"/>
          <w:b/>
          <w:bCs/>
          <w:sz w:val="28"/>
          <w:szCs w:val="28"/>
          <w:lang w:val="fr-FR"/>
        </w:rPr>
        <w:t>S</w:t>
      </w:r>
      <w:r w:rsidRPr="00B83119">
        <w:rPr>
          <w:rFonts w:asciiTheme="minorHAnsi" w:hAnsiTheme="minorHAnsi" w:cstheme="minorHAnsi"/>
          <w:b/>
          <w:bCs/>
          <w:sz w:val="28"/>
          <w:szCs w:val="28"/>
          <w:lang w:val="fr-FR"/>
        </w:rPr>
        <w:t>.</w:t>
      </w:r>
      <w:r w:rsidR="00657C94" w:rsidRPr="00B83119">
        <w:rPr>
          <w:rFonts w:asciiTheme="minorHAnsi" w:hAnsiTheme="minorHAnsi" w:cstheme="minorHAnsi"/>
          <w:b/>
          <w:bCs/>
          <w:sz w:val="28"/>
          <w:szCs w:val="28"/>
          <w:lang w:val="fr-FR"/>
        </w:rPr>
        <w:t xml:space="preserve"> </w:t>
      </w:r>
      <w:proofErr w:type="spellStart"/>
      <w:r w:rsidRPr="00B83119">
        <w:rPr>
          <w:rFonts w:asciiTheme="minorHAnsi" w:hAnsiTheme="minorHAnsi" w:cstheme="minorHAnsi"/>
          <w:b/>
          <w:bCs/>
          <w:sz w:val="28"/>
          <w:szCs w:val="28"/>
          <w:lang w:val="fr-FR"/>
        </w:rPr>
        <w:t>Baciocchi</w:t>
      </w:r>
      <w:proofErr w:type="spellEnd"/>
      <w:r w:rsidRPr="00B83119">
        <w:rPr>
          <w:rFonts w:asciiTheme="minorHAnsi" w:hAnsiTheme="minorHAnsi" w:cstheme="minorHAnsi"/>
          <w:b/>
          <w:bCs/>
          <w:sz w:val="28"/>
          <w:szCs w:val="28"/>
          <w:lang w:val="fr-FR"/>
        </w:rPr>
        <w:t>, Ph.</w:t>
      </w:r>
      <w:r w:rsidR="00657C94" w:rsidRPr="00B83119">
        <w:rPr>
          <w:rFonts w:asciiTheme="minorHAnsi" w:hAnsiTheme="minorHAnsi" w:cstheme="minorHAnsi"/>
          <w:b/>
          <w:bCs/>
          <w:sz w:val="28"/>
          <w:szCs w:val="28"/>
          <w:lang w:val="fr-FR"/>
        </w:rPr>
        <w:t xml:space="preserve"> </w:t>
      </w:r>
      <w:proofErr w:type="spellStart"/>
      <w:r w:rsidR="00657C94" w:rsidRPr="00B83119">
        <w:rPr>
          <w:rFonts w:asciiTheme="minorHAnsi" w:hAnsiTheme="minorHAnsi" w:cstheme="minorHAnsi"/>
          <w:b/>
          <w:bCs/>
          <w:sz w:val="28"/>
          <w:szCs w:val="28"/>
          <w:lang w:val="fr-FR"/>
        </w:rPr>
        <w:t>Boutry</w:t>
      </w:r>
      <w:proofErr w:type="spellEnd"/>
      <w:r w:rsidR="00657C94" w:rsidRPr="00B83119">
        <w:rPr>
          <w:rFonts w:asciiTheme="minorHAnsi" w:hAnsiTheme="minorHAnsi" w:cstheme="minorHAnsi"/>
          <w:b/>
          <w:bCs/>
          <w:sz w:val="28"/>
          <w:szCs w:val="28"/>
          <w:lang w:val="fr-FR"/>
        </w:rPr>
        <w:t xml:space="preserve">, </w:t>
      </w:r>
      <w:r w:rsidR="00657C94" w:rsidRPr="00B83119">
        <w:rPr>
          <w:rFonts w:asciiTheme="minorHAnsi" w:hAnsiTheme="minorHAnsi" w:cstheme="minorHAnsi"/>
          <w:b/>
          <w:bCs/>
          <w:i/>
          <w:iCs/>
          <w:sz w:val="28"/>
          <w:szCs w:val="28"/>
          <w:lang w:val="fr-FR"/>
        </w:rPr>
        <w:t>Les « victimes » ecclésiastiques de la Terreur</w:t>
      </w:r>
      <w:r w:rsidRPr="00B83119">
        <w:rPr>
          <w:rFonts w:asciiTheme="minorHAnsi" w:hAnsiTheme="minorHAnsi" w:cstheme="minorHAnsi"/>
          <w:b/>
          <w:bCs/>
          <w:sz w:val="28"/>
          <w:szCs w:val="28"/>
          <w:lang w:val="fr-FR"/>
        </w:rPr>
        <w:t>, dans</w:t>
      </w:r>
      <w:r w:rsidRPr="00B83119">
        <w:rPr>
          <w:rFonts w:asciiTheme="minorHAnsi" w:hAnsiTheme="minorHAnsi" w:cstheme="minorHAnsi"/>
          <w:sz w:val="28"/>
          <w:szCs w:val="28"/>
          <w:lang w:val="fr-FR"/>
        </w:rPr>
        <w:t xml:space="preserve"> </w:t>
      </w:r>
      <w:r w:rsidRPr="00B83119">
        <w:rPr>
          <w:rFonts w:asciiTheme="minorHAnsi" w:hAnsiTheme="minorHAnsi" w:cstheme="minorHAnsi"/>
          <w:b/>
          <w:bCs/>
          <w:sz w:val="28"/>
          <w:szCs w:val="28"/>
          <w:lang w:val="fr-FR"/>
        </w:rPr>
        <w:t>M. Biard (</w:t>
      </w:r>
      <w:proofErr w:type="spellStart"/>
      <w:r w:rsidRPr="00B83119">
        <w:rPr>
          <w:rFonts w:asciiTheme="minorHAnsi" w:hAnsiTheme="minorHAnsi" w:cstheme="minorHAnsi"/>
          <w:b/>
          <w:bCs/>
          <w:sz w:val="28"/>
          <w:szCs w:val="28"/>
          <w:lang w:val="fr-FR"/>
        </w:rPr>
        <w:t>dir</w:t>
      </w:r>
      <w:proofErr w:type="spellEnd"/>
      <w:r w:rsidRPr="00B83119">
        <w:rPr>
          <w:rFonts w:asciiTheme="minorHAnsi" w:hAnsiTheme="minorHAnsi" w:cstheme="minorHAnsi"/>
          <w:b/>
          <w:bCs/>
          <w:sz w:val="28"/>
          <w:szCs w:val="28"/>
          <w:lang w:val="fr-FR"/>
        </w:rPr>
        <w:t xml:space="preserve">.), </w:t>
      </w:r>
      <w:r w:rsidRPr="00B83119">
        <w:rPr>
          <w:rFonts w:asciiTheme="minorHAnsi" w:hAnsiTheme="minorHAnsi" w:cstheme="minorHAnsi"/>
          <w:b/>
          <w:bCs/>
          <w:i/>
          <w:sz w:val="28"/>
          <w:szCs w:val="28"/>
          <w:lang w:val="fr-FR"/>
        </w:rPr>
        <w:t>Les politiques de la Terreur. 1793-1794</w:t>
      </w:r>
      <w:r w:rsidRPr="00B83119">
        <w:rPr>
          <w:rFonts w:asciiTheme="minorHAnsi" w:hAnsiTheme="minorHAnsi" w:cstheme="minorHAnsi"/>
          <w:b/>
          <w:bCs/>
          <w:sz w:val="28"/>
          <w:szCs w:val="28"/>
          <w:lang w:val="fr-FR"/>
        </w:rPr>
        <w:t xml:space="preserve">, Rennes, Presses universitaires de Rennes, 2008, </w:t>
      </w:r>
      <w:r w:rsidR="00AB0225" w:rsidRPr="00B83119">
        <w:rPr>
          <w:rFonts w:asciiTheme="minorHAnsi" w:hAnsiTheme="minorHAnsi" w:cstheme="minorHAnsi"/>
          <w:b/>
          <w:bCs/>
          <w:sz w:val="28"/>
          <w:szCs w:val="28"/>
          <w:lang w:val="fr-FR"/>
        </w:rPr>
        <w:t>p. 447 - 460</w:t>
      </w:r>
    </w:p>
    <w:p w14:paraId="35D1FEAA" w14:textId="77777777" w:rsidR="00B83119" w:rsidRDefault="00B83119" w:rsidP="00657C94">
      <w:pPr>
        <w:rPr>
          <w:rFonts w:cstheme="minorHAnsi"/>
          <w:sz w:val="28"/>
          <w:szCs w:val="28"/>
          <w:lang w:val="fr-FR"/>
        </w:rPr>
      </w:pPr>
      <w:r>
        <w:rPr>
          <w:rFonts w:cstheme="minorHAnsi"/>
          <w:sz w:val="28"/>
          <w:szCs w:val="28"/>
          <w:lang w:val="fr-FR"/>
        </w:rPr>
        <w:t xml:space="preserve"> </w:t>
      </w:r>
    </w:p>
    <w:p w14:paraId="5A12303A" w14:textId="53D537FE" w:rsidR="00B83119" w:rsidRPr="00B83119" w:rsidRDefault="00B83119" w:rsidP="00657C94">
      <w:pPr>
        <w:rPr>
          <w:rFonts w:cstheme="minorHAnsi"/>
          <w:sz w:val="28"/>
          <w:szCs w:val="28"/>
          <w:lang w:val="fr-FR"/>
        </w:rPr>
      </w:pPr>
      <w:r>
        <w:rPr>
          <w:rFonts w:cstheme="minorHAnsi"/>
          <w:sz w:val="28"/>
          <w:szCs w:val="28"/>
          <w:lang w:val="fr-FR"/>
        </w:rPr>
        <w:t>p. 447 – 448 :</w:t>
      </w:r>
    </w:p>
    <w:p w14:paraId="5EA1280A" w14:textId="644CE61B" w:rsidR="00657C94" w:rsidRDefault="00657C94" w:rsidP="00657C94">
      <w:pPr>
        <w:jc w:val="both"/>
        <w:rPr>
          <w:rFonts w:cstheme="minorHAnsi"/>
          <w:sz w:val="28"/>
          <w:szCs w:val="28"/>
          <w:lang w:val="fr-FR"/>
        </w:rPr>
      </w:pPr>
      <w:r w:rsidRPr="00B83119">
        <w:rPr>
          <w:rFonts w:cstheme="minorHAnsi"/>
          <w:sz w:val="28"/>
          <w:szCs w:val="28"/>
          <w:lang w:val="fr-FR"/>
        </w:rPr>
        <w:t>﻿Parler des « victimes ecclésiastiques de la Terreur » ne va pas de soi. Cela suppose tout d’abord de définir ce qu’on entend par « Terreur » – ce qui est l’objet même de notre colloque – mais aussi ce qu’on entend par « victime » et par « ecclésiastique ». Si l’on définit grossièrement la « Terreur » par la période qui va du décret du 5 septembre 1793 jusqu’aux dernières conséquences, pour ce qui concerne notre objet, de la politique religieuse de déchristianisation et de « </w:t>
      </w:r>
      <w:proofErr w:type="spellStart"/>
      <w:r w:rsidRPr="00B83119">
        <w:rPr>
          <w:rFonts w:cstheme="minorHAnsi"/>
          <w:sz w:val="28"/>
          <w:szCs w:val="28"/>
          <w:lang w:val="fr-FR"/>
        </w:rPr>
        <w:t>déprêtrisation</w:t>
      </w:r>
      <w:proofErr w:type="spellEnd"/>
      <w:r w:rsidRPr="00B83119">
        <w:rPr>
          <w:rFonts w:cstheme="minorHAnsi"/>
          <w:sz w:val="28"/>
          <w:szCs w:val="28"/>
          <w:lang w:val="fr-FR"/>
        </w:rPr>
        <w:t xml:space="preserve"> » conduite par la Convention nationale en l’an II, c’est-à-dire de l’automne 1793 à l’automne 1794, et si l’on entend par « ecclésiastiques » les membres du clergé catholique séculier et régulier de l’un et l’autre sexe, reste à savoir ce qu’on comprend sous la notion ambivalente de « victimes », à la fois mobilisée par une partie des acteurs contemporains (elle constitue en ce sens une catégorie indigène) et reprise dans le cours d’une historiographie conflictuelle. Ce sont à l’évidence les incertitudes pesant encore sur ce terme qui constituent l’explication fondamentale de l’étonnante et persistante lacune statistique qui entoure la question ici soulevée : plus de deux siècles après les événements et en dépit des tombereaux de recherches et de travaux, locaux, régionaux et nationaux, conduits sur les ecclésiastiques décédés durant la période considérée, notamment de la part de l’historiographie catholique, on ne possède encore à ce jour ni chiffre global, ni liste nominale, ni élaboration statistique, ni chronologie fine, ni cartographie fidèle du phénomène ; et le récent et très remarquable fascicule de </w:t>
      </w:r>
      <w:r w:rsidRPr="00B83119">
        <w:rPr>
          <w:rFonts w:cstheme="minorHAnsi"/>
          <w:i/>
          <w:iCs/>
          <w:sz w:val="28"/>
          <w:szCs w:val="28"/>
          <w:lang w:val="fr-FR"/>
        </w:rPr>
        <w:t>l’Atlas de la Révolution française</w:t>
      </w:r>
      <w:r w:rsidRPr="00B83119">
        <w:rPr>
          <w:rFonts w:cstheme="minorHAnsi"/>
          <w:sz w:val="28"/>
          <w:szCs w:val="28"/>
          <w:lang w:val="fr-FR"/>
        </w:rPr>
        <w:t xml:space="preserve"> consacré à la Religion, au chapitre « La déchristianisation de l’an II », est presque muet sur ce point.</w:t>
      </w:r>
    </w:p>
    <w:p w14:paraId="75247D89" w14:textId="13F0E7E9" w:rsidR="00BE5321" w:rsidRDefault="00BE5321" w:rsidP="00657C94">
      <w:pPr>
        <w:jc w:val="both"/>
        <w:rPr>
          <w:rFonts w:cstheme="minorHAnsi"/>
          <w:sz w:val="28"/>
          <w:szCs w:val="28"/>
          <w:lang w:val="fr-FR"/>
        </w:rPr>
      </w:pPr>
    </w:p>
    <w:p w14:paraId="1BFD81EE" w14:textId="1CBED6AA" w:rsidR="00BE5321" w:rsidRDefault="00BE5321" w:rsidP="00657C94">
      <w:pPr>
        <w:jc w:val="both"/>
        <w:rPr>
          <w:rFonts w:cstheme="minorHAnsi"/>
          <w:b/>
          <w:bCs/>
          <w:sz w:val="28"/>
          <w:szCs w:val="28"/>
        </w:rPr>
      </w:pPr>
      <w:r w:rsidRPr="00BE5321">
        <w:rPr>
          <w:rFonts w:cstheme="minorHAnsi"/>
          <w:b/>
          <w:bCs/>
          <w:sz w:val="28"/>
          <w:szCs w:val="28"/>
        </w:rPr>
        <w:t xml:space="preserve">NB: Il capitolo integrale è caricato su </w:t>
      </w:r>
      <w:proofErr w:type="spellStart"/>
      <w:r w:rsidRPr="00BE5321">
        <w:rPr>
          <w:rFonts w:cstheme="minorHAnsi"/>
          <w:b/>
          <w:bCs/>
          <w:sz w:val="28"/>
          <w:szCs w:val="28"/>
        </w:rPr>
        <w:t>Moodle</w:t>
      </w:r>
      <w:proofErr w:type="spellEnd"/>
      <w:r w:rsidRPr="00BE5321">
        <w:rPr>
          <w:rFonts w:cstheme="minorHAnsi"/>
          <w:b/>
          <w:bCs/>
          <w:sz w:val="28"/>
          <w:szCs w:val="28"/>
        </w:rPr>
        <w:t>.</w:t>
      </w:r>
    </w:p>
    <w:p w14:paraId="603DF353" w14:textId="43ACA080" w:rsidR="005E5B74" w:rsidRDefault="005E5B74" w:rsidP="00657C94">
      <w:pPr>
        <w:jc w:val="both"/>
        <w:rPr>
          <w:rFonts w:cstheme="minorHAnsi"/>
          <w:b/>
          <w:bCs/>
          <w:sz w:val="28"/>
          <w:szCs w:val="28"/>
        </w:rPr>
      </w:pPr>
    </w:p>
    <w:p w14:paraId="5096372D" w14:textId="42A3DD46" w:rsidR="005E5B74" w:rsidRDefault="005E5B74" w:rsidP="00657C94">
      <w:pPr>
        <w:jc w:val="both"/>
        <w:rPr>
          <w:rFonts w:cstheme="minorHAnsi"/>
          <w:b/>
          <w:bCs/>
          <w:sz w:val="28"/>
          <w:szCs w:val="28"/>
        </w:rPr>
      </w:pPr>
    </w:p>
    <w:p w14:paraId="56ABE6B0" w14:textId="1BBDE42D" w:rsidR="0049097A" w:rsidRDefault="0049097A" w:rsidP="0049097A">
      <w:pPr>
        <w:jc w:val="both"/>
        <w:rPr>
          <w:rFonts w:eastAsia="Times New Roman" w:cstheme="minorHAnsi"/>
          <w:b/>
          <w:bCs/>
          <w:color w:val="4D5156"/>
          <w:sz w:val="28"/>
          <w:szCs w:val="28"/>
          <w:shd w:val="clear" w:color="auto" w:fill="FFFFFF"/>
          <w:lang w:val="en-US" w:eastAsia="it-IT"/>
        </w:rPr>
      </w:pPr>
      <w:r w:rsidRPr="002C3D9F">
        <w:rPr>
          <w:rFonts w:cstheme="minorHAnsi"/>
          <w:b/>
          <w:bCs/>
          <w:sz w:val="28"/>
          <w:szCs w:val="28"/>
          <w:lang w:val="en-US"/>
        </w:rPr>
        <w:t xml:space="preserve">D. Greer, </w:t>
      </w:r>
      <w:r w:rsidRPr="00731022">
        <w:rPr>
          <w:rFonts w:eastAsia="Times New Roman" w:cstheme="minorHAnsi"/>
          <w:b/>
          <w:bCs/>
          <w:i/>
          <w:iCs/>
          <w:color w:val="4D5156"/>
          <w:sz w:val="28"/>
          <w:szCs w:val="28"/>
          <w:shd w:val="clear" w:color="auto" w:fill="FFFFFF"/>
          <w:lang w:val="en-US" w:eastAsia="it-IT"/>
        </w:rPr>
        <w:t>The </w:t>
      </w:r>
      <w:r w:rsidRPr="002C3D9F">
        <w:rPr>
          <w:rFonts w:eastAsia="Times New Roman" w:cstheme="minorHAnsi"/>
          <w:b/>
          <w:bCs/>
          <w:i/>
          <w:iCs/>
          <w:color w:val="5F6368"/>
          <w:sz w:val="28"/>
          <w:szCs w:val="28"/>
          <w:shd w:val="clear" w:color="auto" w:fill="FFFFFF"/>
          <w:lang w:val="en-US" w:eastAsia="it-IT"/>
        </w:rPr>
        <w:t>I</w:t>
      </w:r>
      <w:r w:rsidRPr="00731022">
        <w:rPr>
          <w:rFonts w:eastAsia="Times New Roman" w:cstheme="minorHAnsi"/>
          <w:b/>
          <w:bCs/>
          <w:i/>
          <w:iCs/>
          <w:color w:val="5F6368"/>
          <w:sz w:val="28"/>
          <w:szCs w:val="28"/>
          <w:shd w:val="clear" w:color="auto" w:fill="FFFFFF"/>
          <w:lang w:val="en-US" w:eastAsia="it-IT"/>
        </w:rPr>
        <w:t>ncidence</w:t>
      </w:r>
      <w:r w:rsidRPr="00731022">
        <w:rPr>
          <w:rFonts w:eastAsia="Times New Roman" w:cstheme="minorHAnsi"/>
          <w:b/>
          <w:bCs/>
          <w:i/>
          <w:iCs/>
          <w:color w:val="4D5156"/>
          <w:sz w:val="28"/>
          <w:szCs w:val="28"/>
          <w:shd w:val="clear" w:color="auto" w:fill="FFFFFF"/>
          <w:lang w:val="en-US" w:eastAsia="it-IT"/>
        </w:rPr>
        <w:t> of the </w:t>
      </w:r>
      <w:r w:rsidRPr="00731022">
        <w:rPr>
          <w:rFonts w:eastAsia="Times New Roman" w:cstheme="minorHAnsi"/>
          <w:b/>
          <w:bCs/>
          <w:i/>
          <w:iCs/>
          <w:color w:val="5F6368"/>
          <w:sz w:val="28"/>
          <w:szCs w:val="28"/>
          <w:shd w:val="clear" w:color="auto" w:fill="FFFFFF"/>
          <w:lang w:val="en-US" w:eastAsia="it-IT"/>
        </w:rPr>
        <w:t>Terror</w:t>
      </w:r>
      <w:r w:rsidRPr="00731022">
        <w:rPr>
          <w:rFonts w:eastAsia="Times New Roman" w:cstheme="minorHAnsi"/>
          <w:b/>
          <w:bCs/>
          <w:i/>
          <w:iCs/>
          <w:color w:val="4D5156"/>
          <w:sz w:val="28"/>
          <w:szCs w:val="28"/>
          <w:shd w:val="clear" w:color="auto" w:fill="FFFFFF"/>
          <w:lang w:val="en-US" w:eastAsia="it-IT"/>
        </w:rPr>
        <w:t> </w:t>
      </w:r>
      <w:r w:rsidRPr="002C3D9F">
        <w:rPr>
          <w:rFonts w:eastAsia="Times New Roman" w:cstheme="minorHAnsi"/>
          <w:b/>
          <w:bCs/>
          <w:i/>
          <w:iCs/>
          <w:color w:val="4D5156"/>
          <w:sz w:val="28"/>
          <w:szCs w:val="28"/>
          <w:shd w:val="clear" w:color="auto" w:fill="FFFFFF"/>
          <w:lang w:val="en-US" w:eastAsia="it-IT"/>
        </w:rPr>
        <w:t>D</w:t>
      </w:r>
      <w:r w:rsidRPr="00731022">
        <w:rPr>
          <w:rFonts w:eastAsia="Times New Roman" w:cstheme="minorHAnsi"/>
          <w:b/>
          <w:bCs/>
          <w:i/>
          <w:iCs/>
          <w:color w:val="4D5156"/>
          <w:sz w:val="28"/>
          <w:szCs w:val="28"/>
          <w:shd w:val="clear" w:color="auto" w:fill="FFFFFF"/>
          <w:lang w:val="en-US" w:eastAsia="it-IT"/>
        </w:rPr>
        <w:t xml:space="preserve">uring the French </w:t>
      </w:r>
      <w:r w:rsidRPr="002C3D9F">
        <w:rPr>
          <w:rFonts w:eastAsia="Times New Roman" w:cstheme="minorHAnsi"/>
          <w:b/>
          <w:bCs/>
          <w:i/>
          <w:iCs/>
          <w:color w:val="4D5156"/>
          <w:sz w:val="28"/>
          <w:szCs w:val="28"/>
          <w:shd w:val="clear" w:color="auto" w:fill="FFFFFF"/>
          <w:lang w:val="en-US" w:eastAsia="it-IT"/>
        </w:rPr>
        <w:t>Revolution:</w:t>
      </w:r>
      <w:r w:rsidRPr="00731022">
        <w:rPr>
          <w:rFonts w:eastAsia="Times New Roman" w:cstheme="minorHAnsi"/>
          <w:b/>
          <w:bCs/>
          <w:i/>
          <w:iCs/>
          <w:color w:val="4D5156"/>
          <w:sz w:val="28"/>
          <w:szCs w:val="28"/>
          <w:shd w:val="clear" w:color="auto" w:fill="FFFFFF"/>
          <w:lang w:val="en-US" w:eastAsia="it-IT"/>
        </w:rPr>
        <w:t xml:space="preserve"> </w:t>
      </w:r>
      <w:r w:rsidRPr="002C3D9F">
        <w:rPr>
          <w:rFonts w:eastAsia="Times New Roman" w:cstheme="minorHAnsi"/>
          <w:b/>
          <w:bCs/>
          <w:i/>
          <w:iCs/>
          <w:color w:val="4D5156"/>
          <w:sz w:val="28"/>
          <w:szCs w:val="28"/>
          <w:shd w:val="clear" w:color="auto" w:fill="FFFFFF"/>
          <w:lang w:val="en-US" w:eastAsia="it-IT"/>
        </w:rPr>
        <w:t>A</w:t>
      </w:r>
      <w:r w:rsidRPr="00731022">
        <w:rPr>
          <w:rFonts w:eastAsia="Times New Roman" w:cstheme="minorHAnsi"/>
          <w:b/>
          <w:bCs/>
          <w:i/>
          <w:iCs/>
          <w:color w:val="4D5156"/>
          <w:sz w:val="28"/>
          <w:szCs w:val="28"/>
          <w:shd w:val="clear" w:color="auto" w:fill="FFFFFF"/>
          <w:lang w:val="en-US" w:eastAsia="it-IT"/>
        </w:rPr>
        <w:t xml:space="preserve"> </w:t>
      </w:r>
      <w:r w:rsidRPr="002C3D9F">
        <w:rPr>
          <w:rFonts w:eastAsia="Times New Roman" w:cstheme="minorHAnsi"/>
          <w:b/>
          <w:bCs/>
          <w:i/>
          <w:iCs/>
          <w:color w:val="4D5156"/>
          <w:sz w:val="28"/>
          <w:szCs w:val="28"/>
          <w:shd w:val="clear" w:color="auto" w:fill="FFFFFF"/>
          <w:lang w:val="en-US" w:eastAsia="it-IT"/>
        </w:rPr>
        <w:t>S</w:t>
      </w:r>
      <w:r w:rsidRPr="00731022">
        <w:rPr>
          <w:rFonts w:eastAsia="Times New Roman" w:cstheme="minorHAnsi"/>
          <w:b/>
          <w:bCs/>
          <w:i/>
          <w:iCs/>
          <w:color w:val="4D5156"/>
          <w:sz w:val="28"/>
          <w:szCs w:val="28"/>
          <w:shd w:val="clear" w:color="auto" w:fill="FFFFFF"/>
          <w:lang w:val="en-US" w:eastAsia="it-IT"/>
        </w:rPr>
        <w:t xml:space="preserve">tatistical </w:t>
      </w:r>
      <w:r w:rsidRPr="002C3D9F">
        <w:rPr>
          <w:rFonts w:eastAsia="Times New Roman" w:cstheme="minorHAnsi"/>
          <w:b/>
          <w:bCs/>
          <w:i/>
          <w:iCs/>
          <w:color w:val="4D5156"/>
          <w:sz w:val="28"/>
          <w:szCs w:val="28"/>
          <w:shd w:val="clear" w:color="auto" w:fill="FFFFFF"/>
          <w:lang w:val="en-US" w:eastAsia="it-IT"/>
        </w:rPr>
        <w:t>I</w:t>
      </w:r>
      <w:r w:rsidRPr="00731022">
        <w:rPr>
          <w:rFonts w:eastAsia="Times New Roman" w:cstheme="minorHAnsi"/>
          <w:b/>
          <w:bCs/>
          <w:i/>
          <w:iCs/>
          <w:color w:val="4D5156"/>
          <w:sz w:val="28"/>
          <w:szCs w:val="28"/>
          <w:shd w:val="clear" w:color="auto" w:fill="FFFFFF"/>
          <w:lang w:val="en-US" w:eastAsia="it-IT"/>
        </w:rPr>
        <w:t>nterpretation</w:t>
      </w:r>
      <w:r w:rsidRPr="00731022">
        <w:rPr>
          <w:rFonts w:eastAsia="Times New Roman" w:cstheme="minorHAnsi"/>
          <w:b/>
          <w:bCs/>
          <w:color w:val="4D5156"/>
          <w:sz w:val="28"/>
          <w:szCs w:val="28"/>
          <w:shd w:val="clear" w:color="auto" w:fill="FFFFFF"/>
          <w:lang w:val="en-US" w:eastAsia="it-IT"/>
        </w:rPr>
        <w:t>, Cambridge, Harvard University Press, 1935</w:t>
      </w:r>
      <w:r w:rsidRPr="002C3D9F">
        <w:rPr>
          <w:rFonts w:eastAsia="Times New Roman" w:cstheme="minorHAnsi"/>
          <w:b/>
          <w:bCs/>
          <w:color w:val="4D5156"/>
          <w:sz w:val="28"/>
          <w:szCs w:val="28"/>
          <w:shd w:val="clear" w:color="auto" w:fill="FFFFFF"/>
          <w:lang w:val="en-US" w:eastAsia="it-IT"/>
        </w:rPr>
        <w:t>.</w:t>
      </w:r>
    </w:p>
    <w:p w14:paraId="5EE75DF3" w14:textId="6D0C17AE" w:rsidR="0049097A" w:rsidRDefault="0049097A" w:rsidP="0049097A">
      <w:pPr>
        <w:jc w:val="both"/>
        <w:rPr>
          <w:rFonts w:eastAsia="Times New Roman" w:cstheme="minorHAnsi"/>
          <w:b/>
          <w:bCs/>
          <w:color w:val="4D5156"/>
          <w:sz w:val="28"/>
          <w:szCs w:val="28"/>
          <w:shd w:val="clear" w:color="auto" w:fill="FFFFFF"/>
          <w:lang w:val="en-US" w:eastAsia="it-IT"/>
        </w:rPr>
      </w:pPr>
    </w:p>
    <w:p w14:paraId="03F55757" w14:textId="20D4EDF3" w:rsidR="0049097A" w:rsidRPr="00731022" w:rsidRDefault="0049097A" w:rsidP="0049097A">
      <w:pPr>
        <w:jc w:val="both"/>
        <w:rPr>
          <w:rFonts w:eastAsia="Times New Roman" w:cstheme="minorHAnsi"/>
          <w:sz w:val="28"/>
          <w:szCs w:val="28"/>
          <w:lang w:eastAsia="it-IT"/>
        </w:rPr>
      </w:pPr>
      <w:r w:rsidRPr="0049097A">
        <w:rPr>
          <w:rFonts w:eastAsia="Times New Roman" w:cstheme="minorHAnsi"/>
          <w:color w:val="4D5156"/>
          <w:sz w:val="28"/>
          <w:szCs w:val="28"/>
          <w:shd w:val="clear" w:color="auto" w:fill="FFFFFF"/>
          <w:lang w:eastAsia="it-IT"/>
        </w:rPr>
        <w:lastRenderedPageBreak/>
        <w:t xml:space="preserve">Donald </w:t>
      </w:r>
      <w:proofErr w:type="spellStart"/>
      <w:r w:rsidRPr="0049097A">
        <w:rPr>
          <w:rFonts w:eastAsia="Times New Roman" w:cstheme="minorHAnsi"/>
          <w:color w:val="4D5156"/>
          <w:sz w:val="28"/>
          <w:szCs w:val="28"/>
          <w:shd w:val="clear" w:color="auto" w:fill="FFFFFF"/>
          <w:lang w:eastAsia="it-IT"/>
        </w:rPr>
        <w:t>Greer</w:t>
      </w:r>
      <w:proofErr w:type="spellEnd"/>
      <w:r w:rsidRPr="0049097A">
        <w:rPr>
          <w:rFonts w:eastAsia="Times New Roman" w:cstheme="minorHAnsi"/>
          <w:color w:val="4D5156"/>
          <w:sz w:val="28"/>
          <w:szCs w:val="28"/>
          <w:shd w:val="clear" w:color="auto" w:fill="FFFFFF"/>
          <w:lang w:eastAsia="it-IT"/>
        </w:rPr>
        <w:t xml:space="preserve"> stim</w:t>
      </w:r>
      <w:r>
        <w:rPr>
          <w:rFonts w:eastAsia="Times New Roman" w:cstheme="minorHAnsi"/>
          <w:color w:val="4D5156"/>
          <w:sz w:val="28"/>
          <w:szCs w:val="28"/>
          <w:shd w:val="clear" w:color="auto" w:fill="FFFFFF"/>
          <w:lang w:eastAsia="it-IT"/>
        </w:rPr>
        <w:t xml:space="preserve">a </w:t>
      </w:r>
      <w:r w:rsidRPr="0049097A">
        <w:rPr>
          <w:rFonts w:eastAsia="Times New Roman" w:cstheme="minorHAnsi"/>
          <w:color w:val="4D5156"/>
          <w:sz w:val="28"/>
          <w:szCs w:val="28"/>
          <w:shd w:val="clear" w:color="auto" w:fill="FFFFFF"/>
          <w:lang w:eastAsia="it-IT"/>
        </w:rPr>
        <w:t>che il 6</w:t>
      </w:r>
      <w:r>
        <w:rPr>
          <w:rFonts w:eastAsia="Times New Roman" w:cstheme="minorHAnsi"/>
          <w:color w:val="4D5156"/>
          <w:sz w:val="28"/>
          <w:szCs w:val="28"/>
          <w:shd w:val="clear" w:color="auto" w:fill="FFFFFF"/>
          <w:lang w:eastAsia="it-IT"/>
        </w:rPr>
        <w:t>,</w:t>
      </w:r>
      <w:r w:rsidRPr="0049097A">
        <w:rPr>
          <w:rFonts w:eastAsia="Times New Roman" w:cstheme="minorHAnsi"/>
          <w:color w:val="4D5156"/>
          <w:sz w:val="28"/>
          <w:szCs w:val="28"/>
          <w:shd w:val="clear" w:color="auto" w:fill="FFFFFF"/>
          <w:lang w:eastAsia="it-IT"/>
        </w:rPr>
        <w:t>5 percento de</w:t>
      </w:r>
      <w:r>
        <w:rPr>
          <w:rFonts w:eastAsia="Times New Roman" w:cstheme="minorHAnsi"/>
          <w:color w:val="4D5156"/>
          <w:sz w:val="28"/>
          <w:szCs w:val="28"/>
          <w:shd w:val="clear" w:color="auto" w:fill="FFFFFF"/>
          <w:lang w:eastAsia="it-IT"/>
        </w:rPr>
        <w:t>lle vittime del terrore legale erano vittime ecclesiastiche (</w:t>
      </w:r>
      <w:proofErr w:type="spellStart"/>
      <w:r>
        <w:rPr>
          <w:rFonts w:eastAsia="Times New Roman" w:cstheme="minorHAnsi"/>
          <w:color w:val="4D5156"/>
          <w:sz w:val="28"/>
          <w:szCs w:val="28"/>
          <w:shd w:val="clear" w:color="auto" w:fill="FFFFFF"/>
          <w:lang w:eastAsia="it-IT"/>
        </w:rPr>
        <w:t>clergy</w:t>
      </w:r>
      <w:proofErr w:type="spellEnd"/>
      <w:r>
        <w:rPr>
          <w:rFonts w:eastAsia="Times New Roman" w:cstheme="minorHAnsi"/>
          <w:color w:val="4D5156"/>
          <w:sz w:val="28"/>
          <w:szCs w:val="28"/>
          <w:shd w:val="clear" w:color="auto" w:fill="FFFFFF"/>
          <w:lang w:eastAsia="it-IT"/>
        </w:rPr>
        <w:t xml:space="preserve">). Se si estende questa percentuale alla cifra complessiva di </w:t>
      </w:r>
      <w:proofErr w:type="spellStart"/>
      <w:r>
        <w:rPr>
          <w:rFonts w:eastAsia="Times New Roman" w:cstheme="minorHAnsi"/>
          <w:color w:val="4D5156"/>
          <w:sz w:val="28"/>
          <w:szCs w:val="28"/>
          <w:shd w:val="clear" w:color="auto" w:fill="FFFFFF"/>
          <w:lang w:eastAsia="it-IT"/>
        </w:rPr>
        <w:t>Greer</w:t>
      </w:r>
      <w:proofErr w:type="spellEnd"/>
      <w:r>
        <w:rPr>
          <w:rFonts w:eastAsia="Times New Roman" w:cstheme="minorHAnsi"/>
          <w:color w:val="4D5156"/>
          <w:sz w:val="28"/>
          <w:szCs w:val="28"/>
          <w:shd w:val="clear" w:color="auto" w:fill="FFFFFF"/>
          <w:lang w:eastAsia="it-IT"/>
        </w:rPr>
        <w:t xml:space="preserve"> (35/40.000 vittime) si arriva a circa 2.600 vittime ecclesiastiche. </w:t>
      </w:r>
    </w:p>
    <w:p w14:paraId="0DE15A89" w14:textId="77777777" w:rsidR="005E5B74" w:rsidRPr="001F42F5" w:rsidRDefault="005E5B74" w:rsidP="00657C94">
      <w:pPr>
        <w:jc w:val="both"/>
        <w:rPr>
          <w:rFonts w:cstheme="minorHAnsi"/>
          <w:b/>
          <w:bCs/>
          <w:sz w:val="28"/>
          <w:szCs w:val="28"/>
        </w:rPr>
      </w:pPr>
    </w:p>
    <w:p w14:paraId="7335E65B" w14:textId="75D3324F" w:rsidR="00B83119" w:rsidRPr="001F42F5" w:rsidRDefault="00B83119" w:rsidP="00657C94">
      <w:pPr>
        <w:jc w:val="both"/>
        <w:rPr>
          <w:rFonts w:cstheme="minorHAnsi"/>
          <w:sz w:val="28"/>
          <w:szCs w:val="28"/>
        </w:rPr>
      </w:pPr>
    </w:p>
    <w:p w14:paraId="423DE747" w14:textId="77777777" w:rsidR="00B83119" w:rsidRPr="001F42F5" w:rsidRDefault="00B83119" w:rsidP="00657C94">
      <w:pPr>
        <w:jc w:val="both"/>
        <w:rPr>
          <w:rFonts w:cstheme="minorHAnsi"/>
          <w:sz w:val="28"/>
          <w:szCs w:val="28"/>
        </w:rPr>
      </w:pPr>
    </w:p>
    <w:p w14:paraId="6789FD58" w14:textId="47A184D5" w:rsidR="00657C94" w:rsidRPr="001F42F5" w:rsidRDefault="001F42F5" w:rsidP="00657C94">
      <w:pPr>
        <w:jc w:val="both"/>
        <w:rPr>
          <w:rFonts w:cstheme="minorHAnsi"/>
          <w:b/>
          <w:bCs/>
          <w:sz w:val="28"/>
          <w:szCs w:val="28"/>
        </w:rPr>
      </w:pPr>
      <w:r w:rsidRPr="001F42F5">
        <w:rPr>
          <w:rFonts w:cstheme="minorHAnsi"/>
          <w:b/>
          <w:bCs/>
          <w:sz w:val="28"/>
          <w:szCs w:val="28"/>
        </w:rPr>
        <w:t xml:space="preserve">Cfr. Le schede su </w:t>
      </w:r>
      <w:proofErr w:type="spellStart"/>
      <w:r w:rsidRPr="001F42F5">
        <w:rPr>
          <w:rFonts w:cstheme="minorHAnsi"/>
          <w:b/>
          <w:bCs/>
          <w:sz w:val="28"/>
          <w:szCs w:val="28"/>
        </w:rPr>
        <w:t>Donal</w:t>
      </w:r>
      <w:proofErr w:type="spellEnd"/>
      <w:r w:rsidRPr="001F42F5">
        <w:rPr>
          <w:rFonts w:cstheme="minorHAnsi"/>
          <w:b/>
          <w:bCs/>
          <w:sz w:val="28"/>
          <w:szCs w:val="28"/>
        </w:rPr>
        <w:t xml:space="preserve"> </w:t>
      </w:r>
      <w:proofErr w:type="spellStart"/>
      <w:r w:rsidRPr="001F42F5">
        <w:rPr>
          <w:rFonts w:cstheme="minorHAnsi"/>
          <w:b/>
          <w:bCs/>
          <w:sz w:val="28"/>
          <w:szCs w:val="28"/>
        </w:rPr>
        <w:t>Greer</w:t>
      </w:r>
      <w:proofErr w:type="spellEnd"/>
      <w:r w:rsidRPr="001F42F5">
        <w:rPr>
          <w:rFonts w:cstheme="minorHAnsi"/>
          <w:b/>
          <w:bCs/>
          <w:sz w:val="28"/>
          <w:szCs w:val="28"/>
        </w:rPr>
        <w:t xml:space="preserve"> caricate su </w:t>
      </w:r>
      <w:proofErr w:type="spellStart"/>
      <w:r w:rsidRPr="001F42F5">
        <w:rPr>
          <w:rFonts w:cstheme="minorHAnsi"/>
          <w:b/>
          <w:bCs/>
          <w:sz w:val="28"/>
          <w:szCs w:val="28"/>
        </w:rPr>
        <w:t>Moodle</w:t>
      </w:r>
      <w:proofErr w:type="spellEnd"/>
      <w:r w:rsidRPr="001F42F5">
        <w:rPr>
          <w:rFonts w:cstheme="minorHAnsi"/>
          <w:b/>
          <w:bCs/>
          <w:sz w:val="28"/>
          <w:szCs w:val="28"/>
        </w:rPr>
        <w:t>.</w:t>
      </w:r>
    </w:p>
    <w:p w14:paraId="648DE5E5" w14:textId="6228D9D6" w:rsidR="00657C94" w:rsidRPr="001F42F5" w:rsidRDefault="00657C94" w:rsidP="00657C94">
      <w:pPr>
        <w:jc w:val="both"/>
        <w:rPr>
          <w:rFonts w:cstheme="minorHAnsi"/>
          <w:sz w:val="28"/>
          <w:szCs w:val="28"/>
        </w:rPr>
      </w:pPr>
    </w:p>
    <w:sectPr w:rsidR="00657C94" w:rsidRPr="001F42F5" w:rsidSect="00F50DEC">
      <w:headerReference w:type="even" r:id="rId6"/>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33301" w14:textId="77777777" w:rsidR="00B83BEB" w:rsidRDefault="00B83BEB" w:rsidP="0049097A">
      <w:r>
        <w:separator/>
      </w:r>
    </w:p>
  </w:endnote>
  <w:endnote w:type="continuationSeparator" w:id="0">
    <w:p w14:paraId="27EEC17C" w14:textId="77777777" w:rsidR="00B83BEB" w:rsidRDefault="00B83BEB" w:rsidP="00490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99FF3" w14:textId="77777777" w:rsidR="00B83BEB" w:rsidRDefault="00B83BEB" w:rsidP="0049097A">
      <w:r>
        <w:separator/>
      </w:r>
    </w:p>
  </w:footnote>
  <w:footnote w:type="continuationSeparator" w:id="0">
    <w:p w14:paraId="7336AF06" w14:textId="77777777" w:rsidR="00B83BEB" w:rsidRDefault="00B83BEB" w:rsidP="00490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948158855"/>
      <w:docPartObj>
        <w:docPartGallery w:val="Page Numbers (Top of Page)"/>
        <w:docPartUnique/>
      </w:docPartObj>
    </w:sdtPr>
    <w:sdtEndPr>
      <w:rPr>
        <w:rStyle w:val="Numeropagina"/>
      </w:rPr>
    </w:sdtEndPr>
    <w:sdtContent>
      <w:p w14:paraId="619680E6" w14:textId="3E391323" w:rsidR="0049097A" w:rsidRDefault="0049097A" w:rsidP="00B9167E">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1D04F0CC" w14:textId="77777777" w:rsidR="0049097A" w:rsidRDefault="0049097A" w:rsidP="0049097A">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19305834"/>
      <w:docPartObj>
        <w:docPartGallery w:val="Page Numbers (Top of Page)"/>
        <w:docPartUnique/>
      </w:docPartObj>
    </w:sdtPr>
    <w:sdtEndPr>
      <w:rPr>
        <w:rStyle w:val="Numeropagina"/>
      </w:rPr>
    </w:sdtEndPr>
    <w:sdtContent>
      <w:p w14:paraId="5E355B12" w14:textId="062B99EA" w:rsidR="0049097A" w:rsidRDefault="0049097A" w:rsidP="00B9167E">
        <w:pPr>
          <w:pStyle w:val="Intestazione"/>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3D003FB" w14:textId="77777777" w:rsidR="0049097A" w:rsidRDefault="0049097A" w:rsidP="0049097A">
    <w:pPr>
      <w:pStyle w:val="Intestazion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94"/>
    <w:rsid w:val="001F42F5"/>
    <w:rsid w:val="0038311A"/>
    <w:rsid w:val="0041389D"/>
    <w:rsid w:val="0049097A"/>
    <w:rsid w:val="005E5B74"/>
    <w:rsid w:val="00657C94"/>
    <w:rsid w:val="00A826DB"/>
    <w:rsid w:val="00AB0225"/>
    <w:rsid w:val="00B83119"/>
    <w:rsid w:val="00B83BEB"/>
    <w:rsid w:val="00BE5321"/>
    <w:rsid w:val="00F50D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EDDE5B9"/>
  <w15:chartTrackingRefBased/>
  <w15:docId w15:val="{17BF24A8-9C0F-504B-837D-0A5B2ACC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657C94"/>
    <w:pPr>
      <w:suppressAutoHyphens/>
      <w:spacing w:after="200" w:line="276" w:lineRule="auto"/>
    </w:pPr>
    <w:rPr>
      <w:rFonts w:ascii="Times New Roman" w:eastAsia="Calibri" w:hAnsi="Times New Roman" w:cs="Times New Roman"/>
      <w:sz w:val="20"/>
      <w:szCs w:val="20"/>
      <w:lang w:eastAsia="ar-SA"/>
    </w:rPr>
  </w:style>
  <w:style w:type="character" w:customStyle="1" w:styleId="TestonotaapidipaginaCarattere">
    <w:name w:val="Testo nota a piè di pagina Carattere"/>
    <w:basedOn w:val="Carpredefinitoparagrafo"/>
    <w:link w:val="Testonotaapidipagina"/>
    <w:rsid w:val="00657C94"/>
    <w:rPr>
      <w:rFonts w:ascii="Times New Roman" w:eastAsia="Calibri" w:hAnsi="Times New Roman" w:cs="Times New Roman"/>
      <w:sz w:val="20"/>
      <w:szCs w:val="20"/>
      <w:lang w:eastAsia="ar-SA"/>
    </w:rPr>
  </w:style>
  <w:style w:type="paragraph" w:styleId="Intestazione">
    <w:name w:val="header"/>
    <w:basedOn w:val="Normale"/>
    <w:link w:val="IntestazioneCarattere"/>
    <w:uiPriority w:val="99"/>
    <w:unhideWhenUsed/>
    <w:rsid w:val="0049097A"/>
    <w:pPr>
      <w:tabs>
        <w:tab w:val="center" w:pos="4819"/>
        <w:tab w:val="right" w:pos="9638"/>
      </w:tabs>
    </w:pPr>
  </w:style>
  <w:style w:type="character" w:customStyle="1" w:styleId="IntestazioneCarattere">
    <w:name w:val="Intestazione Carattere"/>
    <w:basedOn w:val="Carpredefinitoparagrafo"/>
    <w:link w:val="Intestazione"/>
    <w:uiPriority w:val="99"/>
    <w:rsid w:val="0049097A"/>
  </w:style>
  <w:style w:type="character" w:styleId="Numeropagina">
    <w:name w:val="page number"/>
    <w:basedOn w:val="Carpredefinitoparagrafo"/>
    <w:uiPriority w:val="99"/>
    <w:semiHidden/>
    <w:unhideWhenUsed/>
    <w:rsid w:val="0049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9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394</Words>
  <Characters>2251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 vetter</dc:creator>
  <cp:keywords/>
  <dc:description/>
  <cp:lastModifiedBy>cesare vetter</cp:lastModifiedBy>
  <cp:revision>4</cp:revision>
  <dcterms:created xsi:type="dcterms:W3CDTF">2021-12-08T14:01:00Z</dcterms:created>
  <dcterms:modified xsi:type="dcterms:W3CDTF">2021-12-10T14:53:00Z</dcterms:modified>
</cp:coreProperties>
</file>