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A6" w:rsidRDefault="000B1EA6" w:rsidP="000B1EA6">
      <w:pPr>
        <w:shd w:val="clear" w:color="auto" w:fill="FFFFFF"/>
        <w:spacing w:before="300" w:after="300" w:line="380" w:lineRule="atLeast"/>
        <w:outlineLvl w:val="1"/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</w:pPr>
    </w:p>
    <w:p w:rsidR="000B1EA6" w:rsidRDefault="000B1EA6" w:rsidP="000B1EA6">
      <w:pPr>
        <w:shd w:val="clear" w:color="auto" w:fill="FFFFFF"/>
        <w:spacing w:before="300" w:after="300" w:line="380" w:lineRule="atLeast"/>
        <w:outlineLvl w:val="1"/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</w:pPr>
    </w:p>
    <w:p w:rsidR="000B1EA6" w:rsidRDefault="000B1EA6" w:rsidP="000B1EA6">
      <w:pPr>
        <w:shd w:val="clear" w:color="auto" w:fill="FFFFFF"/>
        <w:spacing w:before="300" w:after="300" w:line="380" w:lineRule="atLeast"/>
        <w:outlineLvl w:val="1"/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</w:pPr>
      <w:r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  <w:t xml:space="preserve">SID </w:t>
      </w:r>
      <w:proofErr w:type="gramStart"/>
      <w:r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  <w:t>«  dictée</w:t>
      </w:r>
      <w:proofErr w:type="gramEnd"/>
      <w:r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  <w:t xml:space="preserve"> du 28 mars 2022</w:t>
      </w:r>
    </w:p>
    <w:p w:rsidR="000B1EA6" w:rsidRPr="00406226" w:rsidRDefault="000B1EA6" w:rsidP="000B1EA6">
      <w:pPr>
        <w:shd w:val="clear" w:color="auto" w:fill="FFFFFF"/>
        <w:spacing w:before="300" w:after="300" w:line="380" w:lineRule="atLeast"/>
        <w:outlineLvl w:val="1"/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</w:pPr>
      <w:bookmarkStart w:id="0" w:name="_GoBack"/>
      <w:bookmarkEnd w:id="0"/>
      <w:r w:rsidRPr="00406226">
        <w:rPr>
          <w:rFonts w:ascii="Arial" w:eastAsia="Times New Roman" w:hAnsi="Arial" w:cs="Arial"/>
          <w:b/>
          <w:bCs/>
          <w:spacing w:val="8"/>
          <w:sz w:val="34"/>
          <w:szCs w:val="34"/>
          <w:lang w:val="fr-FR" w:eastAsia="fr-FR"/>
        </w:rPr>
        <w:t>Le renforcement de la coordination économique après la crise</w:t>
      </w:r>
    </w:p>
    <w:p w:rsidR="000B1EA6" w:rsidRPr="00406226" w:rsidRDefault="000B1EA6" w:rsidP="000B1EA6">
      <w:p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</w:pPr>
      <w:r w:rsidRPr="00406226"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  <w:t>La crise économique et financière de 2008 a mis en lumière un certain nombre de lacunes dans la coordination économique des Etats européens : manque de convergence entre les économies, mécanismes de solidarité inefficaces, faiblesse des banques, absence de gouvernance budgétaire…</w:t>
      </w:r>
    </w:p>
    <w:p w:rsidR="000B1EA6" w:rsidRPr="00406226" w:rsidRDefault="000B1EA6" w:rsidP="000B1EA6">
      <w:p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</w:pPr>
      <w:r w:rsidRPr="00406226"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  <w:t>Pour y faire face, plusieurs instruments ont ainsi été créés ou renforcés après la crise. Pour n’en citer que quelques-uns, le </w:t>
      </w:r>
      <w:r w:rsidRPr="00406226">
        <w:rPr>
          <w:rFonts w:ascii="Arial" w:eastAsia="Times New Roman" w:hAnsi="Arial" w:cs="Arial"/>
          <w:b/>
          <w:bCs/>
          <w:spacing w:val="8"/>
          <w:sz w:val="26"/>
          <w:szCs w:val="26"/>
          <w:lang w:val="fr-FR" w:eastAsia="fr-FR"/>
        </w:rPr>
        <w:t>Semestre européen</w:t>
      </w:r>
      <w:r w:rsidRPr="00406226"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  <w:t> permet à l’Union européenne de mieux contrôler les comptes de chaque Etat, afin d’éviter tout dérapage budgétaire de l’un d’entre eux qui pourrait mettre les autres en péril.</w:t>
      </w:r>
    </w:p>
    <w:p w:rsidR="000B1EA6" w:rsidRPr="00406226" w:rsidRDefault="000B1EA6" w:rsidP="000B1EA6">
      <w:p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</w:pPr>
      <w:r w:rsidRPr="00406226"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  <w:t>Plusieurs pays du Sud comme la Grèce ayant été fortement touchés par la crise, </w:t>
      </w:r>
      <w:r w:rsidRPr="00406226">
        <w:rPr>
          <w:rFonts w:ascii="Arial" w:eastAsia="Times New Roman" w:hAnsi="Arial" w:cs="Arial"/>
          <w:b/>
          <w:bCs/>
          <w:spacing w:val="8"/>
          <w:sz w:val="26"/>
          <w:szCs w:val="26"/>
          <w:lang w:val="fr-FR" w:eastAsia="fr-FR"/>
        </w:rPr>
        <w:t>le mécanisme européen de stabilité</w:t>
      </w:r>
      <w:r w:rsidRPr="00406226"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  <w:t> a été fondé afin d'apporter, sous conditions, une aide financière aux États et banques en difficulté.</w:t>
      </w:r>
    </w:p>
    <w:p w:rsidR="000B1EA6" w:rsidRPr="00406226" w:rsidRDefault="000B1EA6" w:rsidP="000B1EA6">
      <w:p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</w:pPr>
      <w:r w:rsidRPr="00406226"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  <w:t>La </w:t>
      </w:r>
      <w:r w:rsidRPr="00406226">
        <w:rPr>
          <w:rFonts w:ascii="Arial" w:eastAsia="Times New Roman" w:hAnsi="Arial" w:cs="Arial"/>
          <w:b/>
          <w:bCs/>
          <w:spacing w:val="8"/>
          <w:sz w:val="26"/>
          <w:szCs w:val="26"/>
          <w:lang w:val="fr-FR" w:eastAsia="fr-FR"/>
        </w:rPr>
        <w:t>Banque centrale européenne</w:t>
      </w:r>
      <w:r w:rsidRPr="00406226">
        <w:rPr>
          <w:rFonts w:ascii="Arial" w:eastAsia="Times New Roman" w:hAnsi="Arial" w:cs="Arial"/>
          <w:spacing w:val="8"/>
          <w:sz w:val="26"/>
          <w:szCs w:val="26"/>
          <w:lang w:val="fr-FR" w:eastAsia="fr-FR"/>
        </w:rPr>
        <w:t> a quant à elle procédé à un rachat de dettes des Etats en difficulté, une mesure longtemps considérée comme taboue, en particulier par l'Allemagne.</w:t>
      </w:r>
    </w:p>
    <w:p w:rsidR="00EE326B" w:rsidRDefault="000B1EA6"/>
    <w:sectPr w:rsidR="00EE3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A6"/>
    <w:rsid w:val="00014B0E"/>
    <w:rsid w:val="000B1EA6"/>
    <w:rsid w:val="0073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4121"/>
  <w15:chartTrackingRefBased/>
  <w15:docId w15:val="{CA3BBB0C-EB75-438D-97D9-46161D1E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1E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Trieste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1</cp:revision>
  <dcterms:created xsi:type="dcterms:W3CDTF">2022-03-28T12:27:00Z</dcterms:created>
  <dcterms:modified xsi:type="dcterms:W3CDTF">2022-03-28T12:28:00Z</dcterms:modified>
</cp:coreProperties>
</file>