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895B" w14:textId="0BA6C0A4" w:rsidR="004C47FE" w:rsidRDefault="004C47FE" w:rsidP="004C47FE">
      <w:pPr>
        <w:jc w:val="both"/>
        <w:rPr>
          <w:rFonts w:ascii="Calibri" w:hAnsi="Calibri"/>
          <w:sz w:val="22"/>
          <w:lang w:val="en-GB"/>
        </w:rPr>
      </w:pPr>
      <w:r>
        <w:rPr>
          <w:rFonts w:ascii="Calibri" w:hAnsi="Calibri"/>
          <w:sz w:val="22"/>
          <w:lang w:val="en-GB"/>
        </w:rPr>
        <w:t>EXERCISE ON FINANCIAL PLANNING</w:t>
      </w:r>
    </w:p>
    <w:p w14:paraId="17391A63" w14:textId="77777777" w:rsidR="004C47FE" w:rsidRDefault="004C47FE" w:rsidP="004C47FE">
      <w:pPr>
        <w:jc w:val="both"/>
        <w:rPr>
          <w:rFonts w:ascii="Calibri" w:hAnsi="Calibri"/>
          <w:sz w:val="22"/>
          <w:lang w:val="en-GB"/>
        </w:rPr>
      </w:pPr>
    </w:p>
    <w:p w14:paraId="7E772B46" w14:textId="7AC4E8C3" w:rsidR="004C47FE" w:rsidRDefault="004C47FE" w:rsidP="004C47FE">
      <w:pPr>
        <w:jc w:val="both"/>
        <w:rPr>
          <w:rFonts w:ascii="Calibri" w:hAnsi="Calibri"/>
          <w:sz w:val="22"/>
          <w:lang w:val="en-GB"/>
        </w:rPr>
      </w:pPr>
      <w:r w:rsidRPr="007457A1">
        <w:rPr>
          <w:rFonts w:ascii="Calibri" w:hAnsi="Calibri"/>
          <w:sz w:val="22"/>
          <w:lang w:val="en-GB"/>
        </w:rPr>
        <w:t>A start</w:t>
      </w:r>
      <w:r>
        <w:rPr>
          <w:rFonts w:ascii="Calibri" w:hAnsi="Calibri"/>
          <w:sz w:val="22"/>
          <w:lang w:val="en-GB"/>
        </w:rPr>
        <w:t>-</w:t>
      </w:r>
      <w:r w:rsidRPr="007457A1">
        <w:rPr>
          <w:rFonts w:ascii="Calibri" w:hAnsi="Calibri"/>
          <w:sz w:val="22"/>
          <w:lang w:val="en-GB"/>
        </w:rPr>
        <w:t>up company</w:t>
      </w:r>
      <w:r>
        <w:rPr>
          <w:rFonts w:ascii="Calibri" w:hAnsi="Calibri"/>
          <w:sz w:val="22"/>
          <w:lang w:val="en-GB"/>
        </w:rPr>
        <w:t xml:space="preserve"> plans to export Italian wines to China. The average cost per bottle is estimated 7€ included import taxes and freight if a total volume of purchase is guaranteed (100.000 units). The average price on the Chinese market is 15 €. Volumes and other expenses are described in table 1. Wine suppliers ask for payments in 60 days, while sales are paid at delivery in China. The firm plans to pay rentals, staff and other operating expenses within the financial period in which they incur.</w:t>
      </w:r>
    </w:p>
    <w:p w14:paraId="3CC417FD" w14:textId="77777777" w:rsidR="004C47FE" w:rsidRDefault="004C47FE" w:rsidP="004C47FE">
      <w:pPr>
        <w:jc w:val="both"/>
        <w:rPr>
          <w:rFonts w:ascii="Calibri" w:hAnsi="Calibri"/>
          <w:sz w:val="22"/>
          <w:lang w:val="en-GB"/>
        </w:rPr>
      </w:pPr>
    </w:p>
    <w:tbl>
      <w:tblPr>
        <w:tblStyle w:val="Grigliatabella"/>
        <w:tblW w:w="0" w:type="auto"/>
        <w:jc w:val="center"/>
        <w:tblLook w:val="04A0" w:firstRow="1" w:lastRow="0" w:firstColumn="1" w:lastColumn="0" w:noHBand="0" w:noVBand="1"/>
      </w:tblPr>
      <w:tblGrid>
        <w:gridCol w:w="4843"/>
        <w:gridCol w:w="1418"/>
        <w:gridCol w:w="1427"/>
        <w:gridCol w:w="1242"/>
      </w:tblGrid>
      <w:tr w:rsidR="004C47FE" w:rsidRPr="004730B0" w14:paraId="39EA1227" w14:textId="77777777" w:rsidTr="00756AE4">
        <w:trPr>
          <w:jc w:val="center"/>
        </w:trPr>
        <w:tc>
          <w:tcPr>
            <w:tcW w:w="4843" w:type="dxa"/>
          </w:tcPr>
          <w:p w14:paraId="49D90C9E" w14:textId="77777777" w:rsidR="004C47FE" w:rsidRPr="004730B0" w:rsidRDefault="004C47FE" w:rsidP="00756AE4">
            <w:pPr>
              <w:jc w:val="center"/>
              <w:rPr>
                <w:rFonts w:ascii="Calibri" w:hAnsi="Calibri"/>
                <w:i/>
                <w:sz w:val="22"/>
                <w:lang w:val="en-GB"/>
              </w:rPr>
            </w:pPr>
          </w:p>
        </w:tc>
        <w:tc>
          <w:tcPr>
            <w:tcW w:w="1418" w:type="dxa"/>
          </w:tcPr>
          <w:p w14:paraId="26C5DCB8" w14:textId="77777777" w:rsidR="004C47FE" w:rsidRPr="004730B0" w:rsidRDefault="004C47FE" w:rsidP="00756AE4">
            <w:pPr>
              <w:jc w:val="center"/>
              <w:rPr>
                <w:rFonts w:ascii="Calibri" w:hAnsi="Calibri"/>
                <w:i/>
                <w:sz w:val="22"/>
                <w:lang w:val="en-GB"/>
              </w:rPr>
            </w:pPr>
            <w:r w:rsidRPr="004730B0">
              <w:rPr>
                <w:rFonts w:ascii="Calibri" w:hAnsi="Calibri"/>
                <w:i/>
                <w:sz w:val="22"/>
                <w:lang w:val="en-GB"/>
              </w:rPr>
              <w:t>First year</w:t>
            </w:r>
          </w:p>
        </w:tc>
        <w:tc>
          <w:tcPr>
            <w:tcW w:w="1427" w:type="dxa"/>
          </w:tcPr>
          <w:p w14:paraId="0FB15816" w14:textId="77777777" w:rsidR="004C47FE" w:rsidRPr="004730B0" w:rsidRDefault="004C47FE" w:rsidP="00756AE4">
            <w:pPr>
              <w:jc w:val="center"/>
              <w:rPr>
                <w:rFonts w:ascii="Calibri" w:hAnsi="Calibri"/>
                <w:i/>
                <w:sz w:val="22"/>
                <w:lang w:val="en-GB"/>
              </w:rPr>
            </w:pPr>
            <w:r w:rsidRPr="004730B0">
              <w:rPr>
                <w:rFonts w:ascii="Calibri" w:hAnsi="Calibri"/>
                <w:i/>
                <w:sz w:val="22"/>
                <w:lang w:val="en-GB"/>
              </w:rPr>
              <w:t>Second Year</w:t>
            </w:r>
          </w:p>
        </w:tc>
        <w:tc>
          <w:tcPr>
            <w:tcW w:w="1242" w:type="dxa"/>
          </w:tcPr>
          <w:p w14:paraId="218D0448" w14:textId="77777777" w:rsidR="004C47FE" w:rsidRPr="004730B0" w:rsidRDefault="004C47FE" w:rsidP="00756AE4">
            <w:pPr>
              <w:jc w:val="center"/>
              <w:rPr>
                <w:rFonts w:ascii="Calibri" w:hAnsi="Calibri"/>
                <w:i/>
                <w:sz w:val="22"/>
                <w:lang w:val="en-GB"/>
              </w:rPr>
            </w:pPr>
            <w:r w:rsidRPr="004730B0">
              <w:rPr>
                <w:rFonts w:ascii="Calibri" w:hAnsi="Calibri"/>
                <w:i/>
                <w:sz w:val="22"/>
                <w:lang w:val="en-GB"/>
              </w:rPr>
              <w:t>Third Year</w:t>
            </w:r>
          </w:p>
        </w:tc>
      </w:tr>
      <w:tr w:rsidR="004C47FE" w14:paraId="63E2CD1E" w14:textId="77777777" w:rsidTr="00756AE4">
        <w:trPr>
          <w:jc w:val="center"/>
        </w:trPr>
        <w:tc>
          <w:tcPr>
            <w:tcW w:w="4843" w:type="dxa"/>
          </w:tcPr>
          <w:p w14:paraId="63C72D65" w14:textId="77777777" w:rsidR="004C47FE" w:rsidRDefault="004C47FE" w:rsidP="00756AE4">
            <w:pPr>
              <w:jc w:val="both"/>
              <w:rPr>
                <w:rFonts w:ascii="Calibri" w:hAnsi="Calibri"/>
                <w:sz w:val="22"/>
                <w:lang w:val="en-GB"/>
              </w:rPr>
            </w:pPr>
            <w:r>
              <w:rPr>
                <w:rFonts w:ascii="Calibri" w:hAnsi="Calibri"/>
                <w:sz w:val="22"/>
                <w:lang w:val="en-GB"/>
              </w:rPr>
              <w:t>Sales volume</w:t>
            </w:r>
          </w:p>
        </w:tc>
        <w:tc>
          <w:tcPr>
            <w:tcW w:w="1418" w:type="dxa"/>
          </w:tcPr>
          <w:p w14:paraId="6B25639D" w14:textId="77777777" w:rsidR="004C47FE" w:rsidRDefault="004C47FE" w:rsidP="00756AE4">
            <w:pPr>
              <w:jc w:val="right"/>
              <w:rPr>
                <w:rFonts w:ascii="Calibri" w:hAnsi="Calibri"/>
                <w:sz w:val="22"/>
                <w:lang w:val="en-GB"/>
              </w:rPr>
            </w:pPr>
            <w:r>
              <w:rPr>
                <w:rFonts w:ascii="Calibri" w:hAnsi="Calibri"/>
                <w:sz w:val="22"/>
                <w:lang w:val="en-GB"/>
              </w:rPr>
              <w:t>40.000</w:t>
            </w:r>
          </w:p>
        </w:tc>
        <w:tc>
          <w:tcPr>
            <w:tcW w:w="1427" w:type="dxa"/>
          </w:tcPr>
          <w:p w14:paraId="146B7BC5" w14:textId="77777777" w:rsidR="004C47FE" w:rsidRDefault="004C47FE" w:rsidP="00756AE4">
            <w:pPr>
              <w:jc w:val="right"/>
              <w:rPr>
                <w:rFonts w:ascii="Calibri" w:hAnsi="Calibri"/>
                <w:sz w:val="22"/>
                <w:lang w:val="en-GB"/>
              </w:rPr>
            </w:pPr>
            <w:r>
              <w:rPr>
                <w:rFonts w:ascii="Calibri" w:hAnsi="Calibri"/>
                <w:sz w:val="22"/>
                <w:lang w:val="en-GB"/>
              </w:rPr>
              <w:t>70.000</w:t>
            </w:r>
          </w:p>
        </w:tc>
        <w:tc>
          <w:tcPr>
            <w:tcW w:w="1242" w:type="dxa"/>
          </w:tcPr>
          <w:p w14:paraId="7A77E03F" w14:textId="77777777" w:rsidR="004C47FE" w:rsidRDefault="004C47FE" w:rsidP="00756AE4">
            <w:pPr>
              <w:jc w:val="right"/>
              <w:rPr>
                <w:rFonts w:ascii="Calibri" w:hAnsi="Calibri"/>
                <w:sz w:val="22"/>
                <w:lang w:val="en-GB"/>
              </w:rPr>
            </w:pPr>
            <w:r>
              <w:rPr>
                <w:rFonts w:ascii="Calibri" w:hAnsi="Calibri"/>
                <w:sz w:val="22"/>
                <w:lang w:val="en-GB"/>
              </w:rPr>
              <w:t>120.000</w:t>
            </w:r>
          </w:p>
        </w:tc>
      </w:tr>
      <w:tr w:rsidR="004C47FE" w14:paraId="6C9C3FFE" w14:textId="77777777" w:rsidTr="00756AE4">
        <w:trPr>
          <w:jc w:val="center"/>
        </w:trPr>
        <w:tc>
          <w:tcPr>
            <w:tcW w:w="4843" w:type="dxa"/>
          </w:tcPr>
          <w:p w14:paraId="0EE3D809" w14:textId="77777777" w:rsidR="004C47FE" w:rsidRDefault="004C47FE" w:rsidP="00756AE4">
            <w:pPr>
              <w:jc w:val="both"/>
              <w:rPr>
                <w:rFonts w:ascii="Calibri" w:hAnsi="Calibri"/>
                <w:sz w:val="22"/>
                <w:lang w:val="en-GB"/>
              </w:rPr>
            </w:pPr>
            <w:r>
              <w:rPr>
                <w:rFonts w:ascii="Calibri" w:hAnsi="Calibri"/>
                <w:sz w:val="22"/>
                <w:lang w:val="en-GB"/>
              </w:rPr>
              <w:t>Purchase volumes</w:t>
            </w:r>
          </w:p>
        </w:tc>
        <w:tc>
          <w:tcPr>
            <w:tcW w:w="1418" w:type="dxa"/>
          </w:tcPr>
          <w:p w14:paraId="55E38678" w14:textId="77777777" w:rsidR="004C47FE" w:rsidRDefault="004C47FE" w:rsidP="00756AE4">
            <w:pPr>
              <w:jc w:val="right"/>
              <w:rPr>
                <w:rFonts w:ascii="Calibri" w:hAnsi="Calibri"/>
                <w:sz w:val="22"/>
                <w:lang w:val="en-GB"/>
              </w:rPr>
            </w:pPr>
            <w:r>
              <w:rPr>
                <w:rFonts w:ascii="Calibri" w:hAnsi="Calibri"/>
                <w:sz w:val="22"/>
                <w:lang w:val="en-GB"/>
              </w:rPr>
              <w:t>100.000</w:t>
            </w:r>
          </w:p>
        </w:tc>
        <w:tc>
          <w:tcPr>
            <w:tcW w:w="1427" w:type="dxa"/>
          </w:tcPr>
          <w:p w14:paraId="14AA8216" w14:textId="77777777" w:rsidR="004C47FE" w:rsidRDefault="004C47FE" w:rsidP="00756AE4">
            <w:pPr>
              <w:jc w:val="right"/>
              <w:rPr>
                <w:rFonts w:ascii="Calibri" w:hAnsi="Calibri"/>
                <w:sz w:val="22"/>
                <w:lang w:val="en-GB"/>
              </w:rPr>
            </w:pPr>
            <w:r>
              <w:rPr>
                <w:rFonts w:ascii="Calibri" w:hAnsi="Calibri"/>
                <w:sz w:val="22"/>
                <w:lang w:val="en-GB"/>
              </w:rPr>
              <w:t>100.000</w:t>
            </w:r>
          </w:p>
        </w:tc>
        <w:tc>
          <w:tcPr>
            <w:tcW w:w="1242" w:type="dxa"/>
          </w:tcPr>
          <w:p w14:paraId="6C4D4D52" w14:textId="77777777" w:rsidR="004C47FE" w:rsidRDefault="004C47FE" w:rsidP="00756AE4">
            <w:pPr>
              <w:jc w:val="right"/>
              <w:rPr>
                <w:rFonts w:ascii="Calibri" w:hAnsi="Calibri"/>
                <w:sz w:val="22"/>
                <w:lang w:val="en-GB"/>
              </w:rPr>
            </w:pPr>
            <w:r>
              <w:rPr>
                <w:rFonts w:ascii="Calibri" w:hAnsi="Calibri"/>
                <w:sz w:val="22"/>
                <w:lang w:val="en-GB"/>
              </w:rPr>
              <w:t>100.000</w:t>
            </w:r>
          </w:p>
        </w:tc>
      </w:tr>
      <w:tr w:rsidR="004C47FE" w14:paraId="6BCF3577" w14:textId="77777777" w:rsidTr="00756AE4">
        <w:trPr>
          <w:jc w:val="center"/>
        </w:trPr>
        <w:tc>
          <w:tcPr>
            <w:tcW w:w="4843" w:type="dxa"/>
          </w:tcPr>
          <w:p w14:paraId="414FE132" w14:textId="77777777" w:rsidR="004C47FE" w:rsidRDefault="004C47FE" w:rsidP="00756AE4">
            <w:pPr>
              <w:jc w:val="both"/>
              <w:rPr>
                <w:rFonts w:ascii="Calibri" w:hAnsi="Calibri"/>
                <w:sz w:val="22"/>
                <w:lang w:val="en-GB"/>
              </w:rPr>
            </w:pPr>
            <w:r>
              <w:rPr>
                <w:rFonts w:ascii="Calibri" w:hAnsi="Calibri"/>
                <w:sz w:val="22"/>
                <w:lang w:val="en-GB"/>
              </w:rPr>
              <w:t xml:space="preserve">Other </w:t>
            </w:r>
            <w:proofErr w:type="spellStart"/>
            <w:r>
              <w:rPr>
                <w:rFonts w:ascii="Calibri" w:hAnsi="Calibri"/>
                <w:sz w:val="22"/>
                <w:lang w:val="en-GB"/>
              </w:rPr>
              <w:t>oper</w:t>
            </w:r>
            <w:proofErr w:type="spellEnd"/>
            <w:r>
              <w:rPr>
                <w:rFonts w:ascii="Calibri" w:hAnsi="Calibri"/>
                <w:sz w:val="22"/>
                <w:lang w:val="en-GB"/>
              </w:rPr>
              <w:t>. Expenses:</w:t>
            </w:r>
          </w:p>
        </w:tc>
        <w:tc>
          <w:tcPr>
            <w:tcW w:w="1418" w:type="dxa"/>
          </w:tcPr>
          <w:p w14:paraId="307F00A0" w14:textId="77777777" w:rsidR="004C47FE" w:rsidRDefault="004C47FE" w:rsidP="00756AE4">
            <w:pPr>
              <w:jc w:val="right"/>
              <w:rPr>
                <w:rFonts w:ascii="Calibri" w:hAnsi="Calibri"/>
                <w:sz w:val="22"/>
                <w:lang w:val="en-GB"/>
              </w:rPr>
            </w:pPr>
          </w:p>
        </w:tc>
        <w:tc>
          <w:tcPr>
            <w:tcW w:w="1427" w:type="dxa"/>
          </w:tcPr>
          <w:p w14:paraId="1347BC37" w14:textId="77777777" w:rsidR="004C47FE" w:rsidRDefault="004C47FE" w:rsidP="00756AE4">
            <w:pPr>
              <w:jc w:val="right"/>
              <w:rPr>
                <w:rFonts w:ascii="Calibri" w:hAnsi="Calibri"/>
                <w:sz w:val="22"/>
                <w:lang w:val="en-GB"/>
              </w:rPr>
            </w:pPr>
          </w:p>
        </w:tc>
        <w:tc>
          <w:tcPr>
            <w:tcW w:w="1242" w:type="dxa"/>
          </w:tcPr>
          <w:p w14:paraId="420C4566" w14:textId="77777777" w:rsidR="004C47FE" w:rsidRDefault="004C47FE" w:rsidP="00756AE4">
            <w:pPr>
              <w:jc w:val="right"/>
              <w:rPr>
                <w:rFonts w:ascii="Calibri" w:hAnsi="Calibri"/>
                <w:sz w:val="22"/>
                <w:lang w:val="en-GB"/>
              </w:rPr>
            </w:pPr>
          </w:p>
        </w:tc>
      </w:tr>
      <w:tr w:rsidR="004C47FE" w14:paraId="34A0F93F" w14:textId="77777777" w:rsidTr="00756AE4">
        <w:trPr>
          <w:jc w:val="center"/>
        </w:trPr>
        <w:tc>
          <w:tcPr>
            <w:tcW w:w="4843" w:type="dxa"/>
          </w:tcPr>
          <w:p w14:paraId="07430727" w14:textId="77777777" w:rsidR="004C47FE" w:rsidRDefault="004C47FE" w:rsidP="00756AE4">
            <w:pPr>
              <w:jc w:val="both"/>
              <w:rPr>
                <w:rFonts w:ascii="Calibri" w:hAnsi="Calibri"/>
                <w:sz w:val="22"/>
                <w:lang w:val="en-GB"/>
              </w:rPr>
            </w:pPr>
            <w:r>
              <w:rPr>
                <w:rFonts w:ascii="Calibri" w:hAnsi="Calibri"/>
                <w:sz w:val="22"/>
                <w:lang w:val="en-GB"/>
              </w:rPr>
              <w:t>Rentals</w:t>
            </w:r>
          </w:p>
        </w:tc>
        <w:tc>
          <w:tcPr>
            <w:tcW w:w="1418" w:type="dxa"/>
          </w:tcPr>
          <w:p w14:paraId="31760C74" w14:textId="77777777" w:rsidR="004C47FE" w:rsidRDefault="004C47FE" w:rsidP="00756AE4">
            <w:pPr>
              <w:jc w:val="right"/>
              <w:rPr>
                <w:rFonts w:ascii="Calibri" w:hAnsi="Calibri"/>
                <w:sz w:val="22"/>
                <w:lang w:val="en-GB"/>
              </w:rPr>
            </w:pPr>
            <w:r>
              <w:rPr>
                <w:rFonts w:ascii="Calibri" w:hAnsi="Calibri"/>
                <w:sz w:val="22"/>
                <w:lang w:val="en-GB"/>
              </w:rPr>
              <w:t>€ 15.000</w:t>
            </w:r>
          </w:p>
        </w:tc>
        <w:tc>
          <w:tcPr>
            <w:tcW w:w="1427" w:type="dxa"/>
          </w:tcPr>
          <w:p w14:paraId="18C89B34" w14:textId="77777777" w:rsidR="004C47FE" w:rsidRDefault="004C47FE" w:rsidP="00756AE4">
            <w:pPr>
              <w:jc w:val="right"/>
              <w:rPr>
                <w:rFonts w:ascii="Calibri" w:hAnsi="Calibri"/>
                <w:sz w:val="22"/>
                <w:lang w:val="en-GB"/>
              </w:rPr>
            </w:pPr>
            <w:r>
              <w:rPr>
                <w:rFonts w:ascii="Calibri" w:hAnsi="Calibri"/>
                <w:sz w:val="22"/>
                <w:lang w:val="en-GB"/>
              </w:rPr>
              <w:t>€15.000</w:t>
            </w:r>
          </w:p>
        </w:tc>
        <w:tc>
          <w:tcPr>
            <w:tcW w:w="1242" w:type="dxa"/>
          </w:tcPr>
          <w:p w14:paraId="62F6E44B" w14:textId="77777777" w:rsidR="004C47FE" w:rsidRDefault="004C47FE" w:rsidP="00756AE4">
            <w:pPr>
              <w:jc w:val="right"/>
              <w:rPr>
                <w:rFonts w:ascii="Calibri" w:hAnsi="Calibri"/>
                <w:sz w:val="22"/>
                <w:lang w:val="en-GB"/>
              </w:rPr>
            </w:pPr>
            <w:r>
              <w:rPr>
                <w:rFonts w:ascii="Calibri" w:hAnsi="Calibri"/>
                <w:sz w:val="22"/>
                <w:lang w:val="en-GB"/>
              </w:rPr>
              <w:t>€ 15.000</w:t>
            </w:r>
          </w:p>
        </w:tc>
      </w:tr>
      <w:tr w:rsidR="004C47FE" w14:paraId="156D25B1" w14:textId="77777777" w:rsidTr="00756AE4">
        <w:trPr>
          <w:jc w:val="center"/>
        </w:trPr>
        <w:tc>
          <w:tcPr>
            <w:tcW w:w="4843" w:type="dxa"/>
          </w:tcPr>
          <w:p w14:paraId="1E86C439" w14:textId="77777777" w:rsidR="004C47FE" w:rsidRDefault="004C47FE" w:rsidP="00756AE4">
            <w:pPr>
              <w:jc w:val="both"/>
              <w:rPr>
                <w:rFonts w:ascii="Calibri" w:hAnsi="Calibri"/>
                <w:sz w:val="22"/>
                <w:lang w:val="en-GB"/>
              </w:rPr>
            </w:pPr>
            <w:r>
              <w:rPr>
                <w:rFonts w:ascii="Calibri" w:hAnsi="Calibri"/>
                <w:sz w:val="22"/>
                <w:lang w:val="en-GB"/>
              </w:rPr>
              <w:t>Staff</w:t>
            </w:r>
          </w:p>
        </w:tc>
        <w:tc>
          <w:tcPr>
            <w:tcW w:w="1418" w:type="dxa"/>
          </w:tcPr>
          <w:p w14:paraId="33228C7C" w14:textId="77777777" w:rsidR="004C47FE" w:rsidRDefault="004C47FE" w:rsidP="00756AE4">
            <w:pPr>
              <w:jc w:val="right"/>
              <w:rPr>
                <w:rFonts w:ascii="Calibri" w:hAnsi="Calibri"/>
                <w:sz w:val="22"/>
                <w:lang w:val="en-GB"/>
              </w:rPr>
            </w:pPr>
            <w:proofErr w:type="gramStart"/>
            <w:r>
              <w:rPr>
                <w:rFonts w:ascii="Calibri" w:hAnsi="Calibri"/>
                <w:sz w:val="22"/>
                <w:lang w:val="en-GB"/>
              </w:rPr>
              <w:t>€  60</w:t>
            </w:r>
            <w:proofErr w:type="gramEnd"/>
            <w:r>
              <w:rPr>
                <w:rFonts w:ascii="Calibri" w:hAnsi="Calibri"/>
                <w:sz w:val="22"/>
                <w:lang w:val="en-GB"/>
              </w:rPr>
              <w:t>.000</w:t>
            </w:r>
          </w:p>
        </w:tc>
        <w:tc>
          <w:tcPr>
            <w:tcW w:w="1427" w:type="dxa"/>
          </w:tcPr>
          <w:p w14:paraId="4F74395A" w14:textId="77777777" w:rsidR="004C47FE" w:rsidRDefault="004C47FE" w:rsidP="00756AE4">
            <w:pPr>
              <w:jc w:val="right"/>
              <w:rPr>
                <w:rFonts w:ascii="Calibri" w:hAnsi="Calibri"/>
                <w:sz w:val="22"/>
                <w:lang w:val="en-GB"/>
              </w:rPr>
            </w:pPr>
            <w:r>
              <w:rPr>
                <w:rFonts w:ascii="Calibri" w:hAnsi="Calibri"/>
                <w:sz w:val="22"/>
                <w:lang w:val="en-GB"/>
              </w:rPr>
              <w:t>€ 70.000</w:t>
            </w:r>
          </w:p>
        </w:tc>
        <w:tc>
          <w:tcPr>
            <w:tcW w:w="1242" w:type="dxa"/>
          </w:tcPr>
          <w:p w14:paraId="38C91666" w14:textId="77777777" w:rsidR="004C47FE" w:rsidRDefault="004C47FE" w:rsidP="00756AE4">
            <w:pPr>
              <w:jc w:val="right"/>
              <w:rPr>
                <w:rFonts w:ascii="Calibri" w:hAnsi="Calibri"/>
                <w:sz w:val="22"/>
                <w:lang w:val="en-GB"/>
              </w:rPr>
            </w:pPr>
            <w:r>
              <w:rPr>
                <w:rFonts w:ascii="Calibri" w:hAnsi="Calibri"/>
                <w:sz w:val="22"/>
                <w:lang w:val="en-GB"/>
              </w:rPr>
              <w:t>€ 80.000</w:t>
            </w:r>
          </w:p>
        </w:tc>
      </w:tr>
      <w:tr w:rsidR="004C47FE" w14:paraId="71C24F05" w14:textId="77777777" w:rsidTr="00756AE4">
        <w:trPr>
          <w:jc w:val="center"/>
        </w:trPr>
        <w:tc>
          <w:tcPr>
            <w:tcW w:w="4843" w:type="dxa"/>
          </w:tcPr>
          <w:p w14:paraId="174BBA97" w14:textId="77777777" w:rsidR="004C47FE" w:rsidRDefault="004C47FE" w:rsidP="00756AE4">
            <w:pPr>
              <w:jc w:val="both"/>
              <w:rPr>
                <w:rFonts w:ascii="Calibri" w:hAnsi="Calibri"/>
                <w:sz w:val="22"/>
                <w:lang w:val="en-GB"/>
              </w:rPr>
            </w:pPr>
            <w:r>
              <w:rPr>
                <w:rFonts w:ascii="Calibri" w:hAnsi="Calibri"/>
                <w:sz w:val="22"/>
                <w:lang w:val="en-GB"/>
              </w:rPr>
              <w:t>Other: distribution, marketing and admin. Services</w:t>
            </w:r>
          </w:p>
        </w:tc>
        <w:tc>
          <w:tcPr>
            <w:tcW w:w="1418" w:type="dxa"/>
          </w:tcPr>
          <w:p w14:paraId="4F41EAAD" w14:textId="77777777" w:rsidR="004C47FE" w:rsidRDefault="004C47FE" w:rsidP="00756AE4">
            <w:pPr>
              <w:jc w:val="right"/>
              <w:rPr>
                <w:rFonts w:ascii="Calibri" w:hAnsi="Calibri"/>
                <w:sz w:val="22"/>
                <w:lang w:val="en-GB"/>
              </w:rPr>
            </w:pPr>
            <w:r>
              <w:rPr>
                <w:rFonts w:ascii="Calibri" w:hAnsi="Calibri"/>
                <w:sz w:val="22"/>
                <w:lang w:val="en-GB"/>
              </w:rPr>
              <w:t>€ 150.000</w:t>
            </w:r>
          </w:p>
        </w:tc>
        <w:tc>
          <w:tcPr>
            <w:tcW w:w="1427" w:type="dxa"/>
          </w:tcPr>
          <w:p w14:paraId="2ED4D50D" w14:textId="77777777" w:rsidR="004C47FE" w:rsidRDefault="004C47FE" w:rsidP="00756AE4">
            <w:pPr>
              <w:jc w:val="right"/>
              <w:rPr>
                <w:rFonts w:ascii="Calibri" w:hAnsi="Calibri"/>
                <w:sz w:val="22"/>
                <w:lang w:val="en-GB"/>
              </w:rPr>
            </w:pPr>
            <w:r>
              <w:rPr>
                <w:rFonts w:ascii="Calibri" w:hAnsi="Calibri"/>
                <w:sz w:val="22"/>
                <w:lang w:val="en-GB"/>
              </w:rPr>
              <w:t>€ 150.000</w:t>
            </w:r>
          </w:p>
        </w:tc>
        <w:tc>
          <w:tcPr>
            <w:tcW w:w="1242" w:type="dxa"/>
          </w:tcPr>
          <w:p w14:paraId="35FE2446" w14:textId="77777777" w:rsidR="004C47FE" w:rsidRDefault="004C47FE" w:rsidP="00756AE4">
            <w:pPr>
              <w:jc w:val="right"/>
              <w:rPr>
                <w:rFonts w:ascii="Calibri" w:hAnsi="Calibri"/>
                <w:sz w:val="22"/>
                <w:lang w:val="en-GB"/>
              </w:rPr>
            </w:pPr>
            <w:r>
              <w:rPr>
                <w:rFonts w:ascii="Calibri" w:hAnsi="Calibri"/>
                <w:sz w:val="22"/>
                <w:lang w:val="en-GB"/>
              </w:rPr>
              <w:t>€ 160.000</w:t>
            </w:r>
          </w:p>
        </w:tc>
      </w:tr>
      <w:tr w:rsidR="004C47FE" w14:paraId="47B9B85C" w14:textId="77777777" w:rsidTr="00756AE4">
        <w:trPr>
          <w:jc w:val="center"/>
        </w:trPr>
        <w:tc>
          <w:tcPr>
            <w:tcW w:w="4843" w:type="dxa"/>
          </w:tcPr>
          <w:p w14:paraId="465E587E" w14:textId="77777777" w:rsidR="004C47FE" w:rsidRDefault="004C47FE" w:rsidP="00756AE4">
            <w:pPr>
              <w:jc w:val="both"/>
              <w:rPr>
                <w:rFonts w:ascii="Calibri" w:hAnsi="Calibri"/>
                <w:sz w:val="22"/>
                <w:lang w:val="en-GB"/>
              </w:rPr>
            </w:pPr>
            <w:r>
              <w:rPr>
                <w:rFonts w:ascii="Calibri" w:hAnsi="Calibri"/>
                <w:sz w:val="22"/>
                <w:lang w:val="en-GB"/>
              </w:rPr>
              <w:t>Contributions from owners (cash)</w:t>
            </w:r>
          </w:p>
        </w:tc>
        <w:tc>
          <w:tcPr>
            <w:tcW w:w="1418" w:type="dxa"/>
          </w:tcPr>
          <w:p w14:paraId="2C75C659" w14:textId="77777777" w:rsidR="004C47FE" w:rsidRDefault="004C47FE" w:rsidP="00756AE4">
            <w:pPr>
              <w:jc w:val="right"/>
              <w:rPr>
                <w:rFonts w:ascii="Calibri" w:hAnsi="Calibri"/>
                <w:sz w:val="22"/>
                <w:lang w:val="en-GB"/>
              </w:rPr>
            </w:pPr>
            <w:r>
              <w:rPr>
                <w:rFonts w:ascii="Calibri" w:hAnsi="Calibri"/>
                <w:sz w:val="22"/>
                <w:lang w:val="en-GB"/>
              </w:rPr>
              <w:t>€ 20.000</w:t>
            </w:r>
          </w:p>
        </w:tc>
        <w:tc>
          <w:tcPr>
            <w:tcW w:w="1427" w:type="dxa"/>
          </w:tcPr>
          <w:p w14:paraId="3D46FF60" w14:textId="77777777" w:rsidR="004C47FE" w:rsidRDefault="004C47FE" w:rsidP="00756AE4">
            <w:pPr>
              <w:jc w:val="right"/>
              <w:rPr>
                <w:rFonts w:ascii="Calibri" w:hAnsi="Calibri"/>
                <w:sz w:val="22"/>
                <w:lang w:val="en-GB"/>
              </w:rPr>
            </w:pPr>
          </w:p>
        </w:tc>
        <w:tc>
          <w:tcPr>
            <w:tcW w:w="1242" w:type="dxa"/>
          </w:tcPr>
          <w:p w14:paraId="67BFE4CF" w14:textId="77777777" w:rsidR="004C47FE" w:rsidRDefault="004C47FE" w:rsidP="00756AE4">
            <w:pPr>
              <w:keepNext/>
              <w:jc w:val="right"/>
              <w:rPr>
                <w:rFonts w:ascii="Calibri" w:hAnsi="Calibri"/>
                <w:sz w:val="22"/>
                <w:lang w:val="en-GB"/>
              </w:rPr>
            </w:pPr>
          </w:p>
        </w:tc>
      </w:tr>
    </w:tbl>
    <w:p w14:paraId="3AE26F20" w14:textId="77777777" w:rsidR="004C47FE" w:rsidRDefault="004C47FE" w:rsidP="004C47FE">
      <w:pPr>
        <w:pStyle w:val="Didascalia"/>
        <w:ind w:firstLine="708"/>
        <w:rPr>
          <w:rFonts w:ascii="Calibri" w:hAnsi="Calibri"/>
          <w:sz w:val="22"/>
          <w:lang w:val="en-GB"/>
        </w:rPr>
      </w:pPr>
      <w:r>
        <w:t xml:space="preserve">Table </w:t>
      </w:r>
      <w:r>
        <w:fldChar w:fldCharType="begin"/>
      </w:r>
      <w:r>
        <w:instrText xml:space="preserve"> SEQ Table \* ARABIC </w:instrText>
      </w:r>
      <w:r>
        <w:fldChar w:fldCharType="separate"/>
      </w:r>
      <w:r>
        <w:rPr>
          <w:noProof/>
        </w:rPr>
        <w:t>1</w:t>
      </w:r>
      <w:r>
        <w:fldChar w:fldCharType="end"/>
      </w:r>
    </w:p>
    <w:p w14:paraId="1BCDDFF7" w14:textId="77777777" w:rsidR="004C47FE" w:rsidRDefault="004C47FE" w:rsidP="004C47FE">
      <w:pPr>
        <w:jc w:val="both"/>
        <w:rPr>
          <w:rFonts w:ascii="Calibri" w:hAnsi="Calibri"/>
          <w:sz w:val="22"/>
          <w:lang w:val="en-GB"/>
        </w:rPr>
      </w:pPr>
      <w:r>
        <w:rPr>
          <w:rFonts w:ascii="Calibri" w:hAnsi="Calibri"/>
          <w:sz w:val="22"/>
          <w:lang w:val="en-GB"/>
        </w:rPr>
        <w:t xml:space="preserve">Requested: </w:t>
      </w:r>
    </w:p>
    <w:p w14:paraId="4415C931" w14:textId="77777777" w:rsidR="004C47FE" w:rsidRPr="004730B0" w:rsidRDefault="004C47FE" w:rsidP="004C47FE">
      <w:pPr>
        <w:pStyle w:val="Paragrafoelenco"/>
        <w:numPr>
          <w:ilvl w:val="0"/>
          <w:numId w:val="1"/>
        </w:numPr>
        <w:jc w:val="both"/>
        <w:rPr>
          <w:rFonts w:ascii="Calibri" w:hAnsi="Calibri"/>
          <w:sz w:val="22"/>
          <w:lang w:val="en-GB"/>
        </w:rPr>
      </w:pPr>
      <w:r w:rsidRPr="004730B0">
        <w:rPr>
          <w:rFonts w:ascii="Calibri" w:hAnsi="Calibri"/>
          <w:sz w:val="22"/>
          <w:lang w:val="en-GB"/>
        </w:rPr>
        <w:t>prepare the plan of the performance (income statements) for the next three years</w:t>
      </w:r>
      <w:r>
        <w:rPr>
          <w:rFonts w:ascii="Calibri" w:hAnsi="Calibri"/>
          <w:sz w:val="22"/>
          <w:lang w:val="en-GB"/>
        </w:rPr>
        <w:t>, assuming a 30% tax rate and a 6% interest rate on short term borrowings.</w:t>
      </w:r>
    </w:p>
    <w:p w14:paraId="12D43B10" w14:textId="77777777" w:rsidR="004C47FE" w:rsidRDefault="004C47FE" w:rsidP="004C47FE">
      <w:pPr>
        <w:pStyle w:val="Paragrafoelenco"/>
        <w:numPr>
          <w:ilvl w:val="0"/>
          <w:numId w:val="1"/>
        </w:numPr>
        <w:jc w:val="both"/>
        <w:rPr>
          <w:rFonts w:ascii="Calibri" w:hAnsi="Calibri"/>
          <w:sz w:val="22"/>
          <w:lang w:val="en-GB"/>
        </w:rPr>
      </w:pPr>
      <w:r>
        <w:rPr>
          <w:rFonts w:ascii="Calibri" w:hAnsi="Calibri"/>
          <w:sz w:val="22"/>
          <w:lang w:val="en-GB"/>
        </w:rPr>
        <w:t>prepare the statements of the financial position (balance sheets) at the end of each period.</w:t>
      </w:r>
    </w:p>
    <w:p w14:paraId="2663A658" w14:textId="77777777" w:rsidR="005322A9" w:rsidRPr="004C47FE" w:rsidRDefault="005322A9">
      <w:pPr>
        <w:rPr>
          <w:lang w:val="en-GB"/>
        </w:rPr>
      </w:pPr>
    </w:p>
    <w:sectPr w:rsidR="005322A9" w:rsidRPr="004C47FE" w:rsidSect="000C2D9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B11EB"/>
    <w:multiLevelType w:val="hybridMultilevel"/>
    <w:tmpl w:val="0C16EC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FE"/>
    <w:rsid w:val="000C2D94"/>
    <w:rsid w:val="004C47FE"/>
    <w:rsid w:val="005322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D690F7"/>
  <w15:chartTrackingRefBased/>
  <w15:docId w15:val="{91D31F21-5F3B-6344-AAE1-0AED8566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47FE"/>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47FE"/>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C47FE"/>
    <w:pPr>
      <w:ind w:left="720"/>
      <w:contextualSpacing/>
    </w:pPr>
  </w:style>
  <w:style w:type="paragraph" w:styleId="Didascalia">
    <w:name w:val="caption"/>
    <w:basedOn w:val="Normale"/>
    <w:next w:val="Normale"/>
    <w:uiPriority w:val="35"/>
    <w:unhideWhenUsed/>
    <w:qFormat/>
    <w:rsid w:val="004C47FE"/>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MODUGNO GUIDO</dc:creator>
  <cp:keywords/>
  <dc:description/>
  <cp:lastModifiedBy>MODUGNO GUIDO</cp:lastModifiedBy>
  <cp:revision>1</cp:revision>
  <dcterms:created xsi:type="dcterms:W3CDTF">2022-05-05T14:55:00Z</dcterms:created>
  <dcterms:modified xsi:type="dcterms:W3CDTF">2022-05-05T14:56:00Z</dcterms:modified>
</cp:coreProperties>
</file>