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26E1" w14:textId="51AF0937" w:rsidR="00AA5F45" w:rsidRPr="00C16372" w:rsidRDefault="00962C6A" w:rsidP="009C75E5">
      <w:pPr>
        <w:pStyle w:val="Titolo1"/>
        <w:rPr>
          <w:sz w:val="36"/>
        </w:rPr>
      </w:pPr>
      <w:r>
        <w:rPr>
          <w:sz w:val="36"/>
        </w:rPr>
        <w:t>Realizzazione CMOS</w:t>
      </w:r>
    </w:p>
    <w:p w14:paraId="6D35421F" w14:textId="77777777" w:rsidR="00703AAF" w:rsidRPr="00703AAF" w:rsidRDefault="00703AAF" w:rsidP="00703AAF"/>
    <w:p w14:paraId="169AF8BF" w14:textId="0F3A0A4F" w:rsidR="008E4188" w:rsidRDefault="008E4188" w:rsidP="00FA6BBA">
      <w:pPr>
        <w:pStyle w:val="Nessunaspaziatura"/>
        <w:rPr>
          <w:rStyle w:val="Riferimentointenso"/>
        </w:rPr>
      </w:pPr>
      <w:r w:rsidRPr="00FA6BBA">
        <w:rPr>
          <w:rStyle w:val="Riferimentointenso"/>
        </w:rPr>
        <w:t>Realizzare secondo la tecnologia CMOS la seguente funzione</w:t>
      </w:r>
      <w:r w:rsidR="00703AAF" w:rsidRPr="00FA6BBA">
        <w:rPr>
          <w:rStyle w:val="Riferimentointenso"/>
        </w:rPr>
        <w:t>:</w:t>
      </w:r>
    </w:p>
    <w:p w14:paraId="40AA3325" w14:textId="77777777" w:rsidR="00FA6BBA" w:rsidRPr="00FA6BBA" w:rsidRDefault="00FA6BBA" w:rsidP="00FA6BBA">
      <w:pPr>
        <w:pStyle w:val="Nessunaspaziatura"/>
        <w:rPr>
          <w:rStyle w:val="Riferimentointenso"/>
        </w:rPr>
      </w:pPr>
    </w:p>
    <w:p w14:paraId="38C14C44" w14:textId="488E2B06" w:rsidR="008E4188" w:rsidRDefault="008E4188" w:rsidP="00962C6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color w:val="auto"/>
              <w:sz w:val="36"/>
            </w:rPr>
            <m:t>y=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color w:val="auto"/>
                  <w:sz w:val="36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color w:val="auto"/>
                  <w:sz w:val="36"/>
                </w:rPr>
                <m:t>c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color w:val="auto"/>
                  <w:sz w:val="36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color w:val="auto"/>
                  <w:sz w:val="36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color w:val="auto"/>
              <w:sz w:val="36"/>
            </w:rPr>
            <m:t>+c(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color w:val="auto"/>
                  <w:sz w:val="36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color w:val="auto"/>
                  <w:sz w:val="36"/>
                </w:rPr>
                <m:t>a</m:t>
              </m:r>
            </m:e>
          </m:acc>
          <m:r>
            <w:rPr>
              <w:rStyle w:val="Riferimentointenso"/>
              <w:rFonts w:ascii="Cambria Math" w:hAnsi="Cambria Math"/>
              <w:color w:val="auto"/>
              <w:sz w:val="36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color w:val="auto"/>
                  <w:sz w:val="36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color w:val="auto"/>
                  <w:sz w:val="36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color w:val="auto"/>
              <w:sz w:val="36"/>
            </w:rPr>
            <m:t>)</m:t>
          </m:r>
        </m:oMath>
      </m:oMathPara>
    </w:p>
    <w:p w14:paraId="1F0B9CEC" w14:textId="560DFD7A" w:rsidR="008E4188" w:rsidRDefault="008E4188" w:rsidP="008E418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8E4188">
        <w:rPr>
          <w:rStyle w:val="Riferimentointenso"/>
          <w:b w:val="0"/>
          <w:bCs w:val="0"/>
          <w:smallCaps w:val="0"/>
          <w:color w:val="auto"/>
          <w:spacing w:val="0"/>
        </w:rPr>
        <w:t xml:space="preserve">Sfruttando per semplicità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le mappe di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Karnaugh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individuiamo una forma canonica della funzione inversa:</w:t>
      </w:r>
    </w:p>
    <w:p w14:paraId="71C226E1" w14:textId="405A85B7" w:rsidR="008E4188" w:rsidRDefault="008E4188" w:rsidP="008E418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2EEB012" w14:textId="77777777" w:rsidR="00A22829" w:rsidRDefault="00A22829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BC8A09C" w14:textId="54D8CCD1" w:rsidR="008E4188" w:rsidRDefault="008E4188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Funzione diretta</w:t>
      </w:r>
      <w:r w:rsidR="00962C6A"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tbl>
      <w:tblPr>
        <w:tblW w:w="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</w:tblGrid>
      <w:tr w:rsidR="00962C6A" w:rsidRPr="00962C6A" w14:paraId="14318E82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26C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ab\cd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C2E4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6D82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CF569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872D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962C6A" w:rsidRPr="00962C6A" w14:paraId="4ED3CD74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DCE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2DF3BE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393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E1AA70A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F872645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62C6A" w:rsidRPr="00962C6A" w14:paraId="1AAEE6D5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14F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07F932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04D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4B8291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DCD39D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62C6A" w:rsidRPr="00962C6A" w14:paraId="0DF1C902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714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E5B1F7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398E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AD8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7DA4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62C6A" w:rsidRPr="00962C6A" w14:paraId="20BC8D0D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FB2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9BDB75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F64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72D201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EF41D0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1C36618B" w14:textId="77777777" w:rsidR="00962C6A" w:rsidRDefault="00962C6A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1AA8E80" w14:textId="77777777" w:rsidR="00962C6A" w:rsidRDefault="00962C6A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648C4BC" w14:textId="4DA0085D" w:rsidR="00A22829" w:rsidRDefault="00A22829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Funzione inversa</w:t>
      </w:r>
      <w:r w:rsidR="00962C6A"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0F6DA6EA" w14:textId="77777777" w:rsidR="00962C6A" w:rsidRDefault="00962C6A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</w:tblGrid>
      <w:tr w:rsidR="00962C6A" w:rsidRPr="00962C6A" w14:paraId="5D02EA3D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7D3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ab\cd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8146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62A7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5CD6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521C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962C6A" w:rsidRPr="00962C6A" w14:paraId="4EFADC06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1FD8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AB4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635867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61ED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9A44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62C6A" w:rsidRPr="00962C6A" w14:paraId="1E8FDECA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A4D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076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91CA51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4B09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84C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62C6A" w:rsidRPr="00962C6A" w14:paraId="08ADD3F5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A130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5716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EFC25E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9006A65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FFEAFDF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62C6A" w:rsidRPr="00962C6A" w14:paraId="20393481" w14:textId="77777777" w:rsidTr="00962C6A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E98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76B9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627850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62C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E7D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4AB0" w14:textId="77777777" w:rsidR="00962C6A" w:rsidRPr="00962C6A" w:rsidRDefault="00962C6A" w:rsidP="009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74B37E8" w14:textId="77777777" w:rsidR="00962C6A" w:rsidRDefault="00962C6A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5E2B224" w14:textId="77777777" w:rsidR="00962C6A" w:rsidRDefault="00962C6A" w:rsidP="00A228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68089FB" w14:textId="1B537B25" w:rsidR="008E4188" w:rsidRPr="00FA6BBA" w:rsidRDefault="00A22829" w:rsidP="00FA6BBA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FA6BBA">
        <w:rPr>
          <w:rStyle w:val="Riferimentointenso"/>
          <w:b w:val="0"/>
          <w:bCs w:val="0"/>
          <w:smallCaps w:val="0"/>
          <w:color w:val="auto"/>
          <w:spacing w:val="0"/>
        </w:rPr>
        <w:t xml:space="preserve">Da cui si desume che la funzione </w:t>
      </w:r>
      <w:r w:rsidRPr="00FA6BBA">
        <w:t>di partenza può essere</w:t>
      </w:r>
      <w:r w:rsidRPr="00FA6BBA">
        <w:rPr>
          <w:rStyle w:val="Riferimentointenso"/>
          <w:b w:val="0"/>
          <w:bCs w:val="0"/>
          <w:smallCaps w:val="0"/>
          <w:color w:val="auto"/>
          <w:spacing w:val="0"/>
        </w:rPr>
        <w:t xml:space="preserve"> espressa nella forma:</w:t>
      </w:r>
    </w:p>
    <w:p w14:paraId="750AC323" w14:textId="5A196A8C" w:rsidR="00A22829" w:rsidRDefault="00A22829" w:rsidP="008E418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C197379" w14:textId="1F3D7E77" w:rsidR="00A22829" w:rsidRDefault="00A22829" w:rsidP="00A22829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y=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y1+y2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  <w:sz w:val="32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  <w:sz w:val="32"/>
                    </w:rPr>
                    <m:t>c</m:t>
                  </m:r>
                </m:e>
              </m:acc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d+abc</m:t>
              </m:r>
            </m:e>
          </m:acc>
        </m:oMath>
      </m:oMathPara>
    </w:p>
    <w:p w14:paraId="3F970990" w14:textId="7C003A58" w:rsidR="000F487F" w:rsidRDefault="000F487F" w:rsidP="00A22829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</w:p>
    <w:p w14:paraId="2FCB459E" w14:textId="77487D35" w:rsidR="000F487F" w:rsidRDefault="000F487F" w:rsidP="000F487F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0F487F">
        <w:rPr>
          <w:rStyle w:val="Riferimentointenso"/>
          <w:b w:val="0"/>
          <w:bCs w:val="0"/>
          <w:smallCaps w:val="0"/>
          <w:color w:val="auto"/>
          <w:spacing w:val="0"/>
        </w:rPr>
        <w:t>Che pertanto potrebbe essere realizzata secondo lo schema seguente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32F84939" w14:textId="5E1D8D0D" w:rsidR="000F487F" w:rsidRDefault="000F487F" w:rsidP="000F487F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EB917D8" w14:textId="4C5773CB" w:rsidR="000F487F" w:rsidRDefault="000F487F" w:rsidP="000F487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  <w:lang w:eastAsia="it-IT"/>
        </w:rPr>
        <w:drawing>
          <wp:inline distT="0" distB="0" distL="0" distR="0" wp14:anchorId="0038B99E" wp14:editId="22AF8B23">
            <wp:extent cx="3316408" cy="2559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OS layout-Page-3.draw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635" cy="257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2059E" w14:textId="64F21897" w:rsidR="00C42955" w:rsidRDefault="00962C6A" w:rsidP="00C4295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lastRenderedPageBreak/>
        <w:br/>
        <w:t xml:space="preserve">E successivamente schematizzata ad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esempio </w:t>
      </w:r>
      <w:r w:rsidR="00C42955">
        <w:rPr>
          <w:rStyle w:val="Riferimentointenso"/>
          <w:b w:val="0"/>
          <w:bCs w:val="0"/>
          <w:smallCaps w:val="0"/>
          <w:color w:val="auto"/>
          <w:spacing w:val="0"/>
        </w:rPr>
        <w:t xml:space="preserve"> secondo</w:t>
      </w:r>
      <w:proofErr w:type="gramEnd"/>
      <w:r w:rsidR="00C42955">
        <w:rPr>
          <w:rStyle w:val="Riferimentointenso"/>
          <w:b w:val="0"/>
          <w:bCs w:val="0"/>
          <w:smallCaps w:val="0"/>
          <w:color w:val="auto"/>
          <w:spacing w:val="0"/>
        </w:rPr>
        <w:t xml:space="preserve"> il seguente “</w:t>
      </w:r>
      <w:proofErr w:type="spellStart"/>
      <w:r w:rsidR="00C42955">
        <w:rPr>
          <w:rStyle w:val="Riferimentointenso"/>
          <w:b w:val="0"/>
          <w:bCs w:val="0"/>
          <w:smallCaps w:val="0"/>
          <w:color w:val="auto"/>
          <w:spacing w:val="0"/>
        </w:rPr>
        <w:t>stick</w:t>
      </w:r>
      <w:proofErr w:type="spellEnd"/>
      <w:r w:rsidR="00C42955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proofErr w:type="spellStart"/>
      <w:r w:rsidR="00C42955">
        <w:rPr>
          <w:rStyle w:val="Riferimentointenso"/>
          <w:b w:val="0"/>
          <w:bCs w:val="0"/>
          <w:smallCaps w:val="0"/>
          <w:color w:val="auto"/>
          <w:spacing w:val="0"/>
        </w:rPr>
        <w:t>diagram</w:t>
      </w:r>
      <w:proofErr w:type="spellEnd"/>
      <w:r w:rsidR="00C42955">
        <w:rPr>
          <w:rStyle w:val="Riferimentointenso"/>
          <w:b w:val="0"/>
          <w:bCs w:val="0"/>
          <w:smallCaps w:val="0"/>
          <w:color w:val="auto"/>
          <w:spacing w:val="0"/>
        </w:rPr>
        <w:t>”</w:t>
      </w:r>
    </w:p>
    <w:p w14:paraId="0C32B47F" w14:textId="7B8DAB48" w:rsidR="00C42955" w:rsidRDefault="00C42955" w:rsidP="00C42955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04F0D043" wp14:editId="7B28B678">
            <wp:extent cx="4410075" cy="44100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OS layout-Page-4.draw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B2EEA9" w14:textId="77B4AB78" w:rsidR="00C42955" w:rsidRPr="00C42955" w:rsidRDefault="00C42955" w:rsidP="00C4295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Dove è stato inserito all’estrema destra un invertitore per generare (ove ve ne sia bisogno</w:t>
      </w:r>
      <w:r w:rsidR="00962C6A"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variabile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(c) dalla variabile c. Inoltre non sono stati evidenziati i collegamenti con i quali portare le variabili in ingresso ed in uscita </w:t>
      </w:r>
      <w:r w:rsidR="00962C6A">
        <w:rPr>
          <w:rStyle w:val="Riferimentointenso"/>
          <w:b w:val="0"/>
          <w:bCs w:val="0"/>
          <w:smallCaps w:val="0"/>
          <w:color w:val="auto"/>
          <w:spacing w:val="0"/>
        </w:rPr>
        <w:t xml:space="preserve">al circuito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in quanto questi potrebbero dipendere dall’applicazione specifica.</w:t>
      </w:r>
    </w:p>
    <w:p w14:paraId="48F4E326" w14:textId="77777777" w:rsidR="00C42955" w:rsidRPr="000F487F" w:rsidRDefault="00C42955" w:rsidP="000F487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sectPr w:rsidR="00C42955" w:rsidRPr="000F4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36F"/>
    <w:multiLevelType w:val="hybridMultilevel"/>
    <w:tmpl w:val="82B8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B9F"/>
    <w:multiLevelType w:val="hybridMultilevel"/>
    <w:tmpl w:val="8510181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F39"/>
    <w:multiLevelType w:val="hybridMultilevel"/>
    <w:tmpl w:val="A22C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1EC3"/>
    <w:multiLevelType w:val="hybridMultilevel"/>
    <w:tmpl w:val="921A5D76"/>
    <w:lvl w:ilvl="0" w:tplc="C248B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75D6"/>
    <w:multiLevelType w:val="hybridMultilevel"/>
    <w:tmpl w:val="BA0A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40489"/>
    <w:multiLevelType w:val="hybridMultilevel"/>
    <w:tmpl w:val="684E0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F2BC3"/>
    <w:multiLevelType w:val="hybridMultilevel"/>
    <w:tmpl w:val="071E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2B01"/>
    <w:multiLevelType w:val="hybridMultilevel"/>
    <w:tmpl w:val="3B30EE7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45"/>
    <w:rsid w:val="00052621"/>
    <w:rsid w:val="00091367"/>
    <w:rsid w:val="00091D4A"/>
    <w:rsid w:val="000C0828"/>
    <w:rsid w:val="000E6B57"/>
    <w:rsid w:val="000F487F"/>
    <w:rsid w:val="000F52F1"/>
    <w:rsid w:val="00137016"/>
    <w:rsid w:val="001613D2"/>
    <w:rsid w:val="001C0992"/>
    <w:rsid w:val="001C7793"/>
    <w:rsid w:val="001E1ABE"/>
    <w:rsid w:val="001E550C"/>
    <w:rsid w:val="002007DC"/>
    <w:rsid w:val="00205F1D"/>
    <w:rsid w:val="00211205"/>
    <w:rsid w:val="002D4932"/>
    <w:rsid w:val="002E3E8A"/>
    <w:rsid w:val="002F73B7"/>
    <w:rsid w:val="00301534"/>
    <w:rsid w:val="00340BB9"/>
    <w:rsid w:val="0037645A"/>
    <w:rsid w:val="0039643B"/>
    <w:rsid w:val="003B18E3"/>
    <w:rsid w:val="003B56E1"/>
    <w:rsid w:val="003C6350"/>
    <w:rsid w:val="003C6D18"/>
    <w:rsid w:val="0042173F"/>
    <w:rsid w:val="00455134"/>
    <w:rsid w:val="004B57F2"/>
    <w:rsid w:val="004E3AC0"/>
    <w:rsid w:val="004F375D"/>
    <w:rsid w:val="00526127"/>
    <w:rsid w:val="0058684F"/>
    <w:rsid w:val="005B03C9"/>
    <w:rsid w:val="005C1097"/>
    <w:rsid w:val="005F4270"/>
    <w:rsid w:val="006072E3"/>
    <w:rsid w:val="00616435"/>
    <w:rsid w:val="00641207"/>
    <w:rsid w:val="00644FE0"/>
    <w:rsid w:val="00657307"/>
    <w:rsid w:val="006737EC"/>
    <w:rsid w:val="00676000"/>
    <w:rsid w:val="00677F42"/>
    <w:rsid w:val="00693232"/>
    <w:rsid w:val="006B34F1"/>
    <w:rsid w:val="006B7ED8"/>
    <w:rsid w:val="006F6BE7"/>
    <w:rsid w:val="00703AAF"/>
    <w:rsid w:val="00727835"/>
    <w:rsid w:val="00766235"/>
    <w:rsid w:val="00770F67"/>
    <w:rsid w:val="00774D27"/>
    <w:rsid w:val="007C3ACB"/>
    <w:rsid w:val="007C6633"/>
    <w:rsid w:val="008D6D2B"/>
    <w:rsid w:val="008E4188"/>
    <w:rsid w:val="008E690E"/>
    <w:rsid w:val="008F3E38"/>
    <w:rsid w:val="00912453"/>
    <w:rsid w:val="0091272C"/>
    <w:rsid w:val="00936295"/>
    <w:rsid w:val="00937D56"/>
    <w:rsid w:val="00962C6A"/>
    <w:rsid w:val="009645B8"/>
    <w:rsid w:val="00976493"/>
    <w:rsid w:val="00996B26"/>
    <w:rsid w:val="009A5A33"/>
    <w:rsid w:val="009C75E5"/>
    <w:rsid w:val="009E5204"/>
    <w:rsid w:val="009E763C"/>
    <w:rsid w:val="00A01E7F"/>
    <w:rsid w:val="00A05618"/>
    <w:rsid w:val="00A14F8B"/>
    <w:rsid w:val="00A22829"/>
    <w:rsid w:val="00A24658"/>
    <w:rsid w:val="00A27159"/>
    <w:rsid w:val="00A3176D"/>
    <w:rsid w:val="00A57788"/>
    <w:rsid w:val="00AA5F45"/>
    <w:rsid w:val="00AA6978"/>
    <w:rsid w:val="00B005DC"/>
    <w:rsid w:val="00B111FE"/>
    <w:rsid w:val="00B23818"/>
    <w:rsid w:val="00B3073E"/>
    <w:rsid w:val="00B40BB0"/>
    <w:rsid w:val="00B43697"/>
    <w:rsid w:val="00B44EDC"/>
    <w:rsid w:val="00B47E88"/>
    <w:rsid w:val="00B515B4"/>
    <w:rsid w:val="00B5519E"/>
    <w:rsid w:val="00B657EC"/>
    <w:rsid w:val="00BA4D6D"/>
    <w:rsid w:val="00BC4642"/>
    <w:rsid w:val="00BD0A54"/>
    <w:rsid w:val="00BD5144"/>
    <w:rsid w:val="00BD544B"/>
    <w:rsid w:val="00BE0006"/>
    <w:rsid w:val="00C16372"/>
    <w:rsid w:val="00C30075"/>
    <w:rsid w:val="00C31917"/>
    <w:rsid w:val="00C42955"/>
    <w:rsid w:val="00C52F75"/>
    <w:rsid w:val="00C85DBA"/>
    <w:rsid w:val="00CB0417"/>
    <w:rsid w:val="00CC0C17"/>
    <w:rsid w:val="00CF1D7E"/>
    <w:rsid w:val="00D17E19"/>
    <w:rsid w:val="00D600B3"/>
    <w:rsid w:val="00D627EC"/>
    <w:rsid w:val="00D6315E"/>
    <w:rsid w:val="00D6652B"/>
    <w:rsid w:val="00D666AB"/>
    <w:rsid w:val="00D77066"/>
    <w:rsid w:val="00DA1B90"/>
    <w:rsid w:val="00E22ECC"/>
    <w:rsid w:val="00E4593E"/>
    <w:rsid w:val="00E47B65"/>
    <w:rsid w:val="00E629B6"/>
    <w:rsid w:val="00E648FE"/>
    <w:rsid w:val="00E65C95"/>
    <w:rsid w:val="00E73D39"/>
    <w:rsid w:val="00E97B59"/>
    <w:rsid w:val="00EF4C81"/>
    <w:rsid w:val="00F13C2B"/>
    <w:rsid w:val="00F2665A"/>
    <w:rsid w:val="00F4014D"/>
    <w:rsid w:val="00F45145"/>
    <w:rsid w:val="00F8517B"/>
    <w:rsid w:val="00F973A8"/>
    <w:rsid w:val="00FA6BBA"/>
    <w:rsid w:val="00FB153A"/>
    <w:rsid w:val="00FD4A71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2" ma:contentTypeDescription="Creare un nuovo documento." ma:contentTypeScope="" ma:versionID="10c1f858c26fa56e6b8e0561a9b1bfa5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c76450988867a3ce43a9b272c7248d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98407-63B2-4606-91CE-9929926CE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D54CF-E536-474D-B26A-71CB225A0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194E6-CC70-4A26-9FE2-6979068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27</cp:revision>
  <cp:lastPrinted>2022-07-15T09:48:00Z</cp:lastPrinted>
  <dcterms:created xsi:type="dcterms:W3CDTF">2022-08-26T08:21:00Z</dcterms:created>
  <dcterms:modified xsi:type="dcterms:W3CDTF">2022-09-23T18:59:00Z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