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CACF" w14:textId="32A3A272" w:rsidR="00E86926" w:rsidRPr="00E86926" w:rsidRDefault="00E86926" w:rsidP="00E86926">
      <w:pPr>
        <w:jc w:val="center"/>
        <w:rPr>
          <w:rFonts w:ascii="Bahnschrift" w:hAnsi="Bahnschrift"/>
          <w:sz w:val="28"/>
          <w:szCs w:val="28"/>
          <w:u w:val="single"/>
        </w:rPr>
      </w:pPr>
      <w:r w:rsidRPr="00E86926">
        <w:rPr>
          <w:rFonts w:ascii="Bahnschrift" w:hAnsi="Bahnschrift"/>
          <w:sz w:val="28"/>
          <w:szCs w:val="28"/>
          <w:u w:val="single"/>
        </w:rPr>
        <w:t>Prüfungsmodalitäten</w:t>
      </w:r>
    </w:p>
    <w:p w14:paraId="7ACAFBE3" w14:textId="0268A8E3" w:rsidR="00E86926" w:rsidRPr="006A4394" w:rsidRDefault="00E86926" w:rsidP="00E86926">
      <w:pPr>
        <w:rPr>
          <w:rFonts w:ascii="Bahnschrift" w:hAnsi="Bahnschrift"/>
          <w:color w:val="0070C0"/>
          <w:sz w:val="24"/>
          <w:szCs w:val="24"/>
          <w:u w:val="single"/>
        </w:rPr>
      </w:pPr>
      <w:r w:rsidRPr="006A4394">
        <w:rPr>
          <w:rFonts w:ascii="Bahnschrift" w:hAnsi="Bahnschrift"/>
          <w:color w:val="0070C0"/>
          <w:sz w:val="24"/>
          <w:szCs w:val="24"/>
          <w:u w:val="single"/>
        </w:rPr>
        <w:t xml:space="preserve">Prüfung:                Voraussetzung: </w:t>
      </w:r>
      <w:r w:rsidRPr="006A4394">
        <w:rPr>
          <w:rFonts w:ascii="Bahnschrift" w:hAnsi="Bahnschrift"/>
          <w:i/>
          <w:iCs/>
          <w:color w:val="0070C0"/>
          <w:sz w:val="24"/>
          <w:szCs w:val="24"/>
          <w:u w:val="single"/>
        </w:rPr>
        <w:t>regelmäßige</w:t>
      </w:r>
      <w:r w:rsidRPr="006A4394">
        <w:rPr>
          <w:rFonts w:ascii="Bahnschrift" w:hAnsi="Bahnschrift"/>
          <w:color w:val="0070C0"/>
          <w:sz w:val="24"/>
          <w:szCs w:val="24"/>
          <w:u w:val="single"/>
        </w:rPr>
        <w:t xml:space="preserve"> und </w:t>
      </w:r>
      <w:r w:rsidRPr="006A4394">
        <w:rPr>
          <w:rFonts w:ascii="Bahnschrift" w:hAnsi="Bahnschrift"/>
          <w:i/>
          <w:iCs/>
          <w:color w:val="0070C0"/>
          <w:sz w:val="24"/>
          <w:szCs w:val="24"/>
          <w:u w:val="single"/>
        </w:rPr>
        <w:t>aktive</w:t>
      </w:r>
      <w:r w:rsidRPr="006A4394">
        <w:rPr>
          <w:rFonts w:ascii="Bahnschrift" w:hAnsi="Bahnschrift"/>
          <w:color w:val="0070C0"/>
          <w:sz w:val="24"/>
          <w:szCs w:val="24"/>
          <w:u w:val="single"/>
        </w:rPr>
        <w:t xml:space="preserve"> Teilnahme</w:t>
      </w:r>
    </w:p>
    <w:p w14:paraId="582E1E63" w14:textId="77777777" w:rsidR="00E86926" w:rsidRPr="006A4394" w:rsidRDefault="00E86926" w:rsidP="00E86926">
      <w:pPr>
        <w:rPr>
          <w:rFonts w:ascii="Bahnschrift" w:hAnsi="Bahnschrift"/>
          <w:sz w:val="24"/>
          <w:szCs w:val="24"/>
        </w:rPr>
      </w:pPr>
      <w:r w:rsidRPr="006A4394">
        <w:rPr>
          <w:rFonts w:ascii="Bahnschrift" w:hAnsi="Bahnschrift"/>
          <w:smallCaps/>
          <w:sz w:val="24"/>
          <w:szCs w:val="24"/>
        </w:rPr>
        <w:t>Schriftliche Prüfung</w:t>
      </w:r>
      <w:r w:rsidRPr="006A4394">
        <w:rPr>
          <w:rFonts w:ascii="Bahnschrift" w:hAnsi="Bahnschrift"/>
          <w:sz w:val="24"/>
          <w:szCs w:val="24"/>
        </w:rPr>
        <w:t xml:space="preserve"> (90 Min.) </w:t>
      </w:r>
    </w:p>
    <w:p w14:paraId="7C509D98" w14:textId="77777777" w:rsidR="00E86926" w:rsidRPr="006A4394" w:rsidRDefault="00E86926" w:rsidP="00E86926">
      <w:pPr>
        <w:rPr>
          <w:rFonts w:ascii="Bahnschrift" w:hAnsi="Bahnschrift"/>
          <w:b w:val="0"/>
          <w:bCs w:val="0"/>
          <w:sz w:val="24"/>
          <w:szCs w:val="24"/>
        </w:rPr>
      </w:pP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1) Grammatik und Verstehen </w:t>
      </w:r>
    </w:p>
    <w:p w14:paraId="3BBAC40F" w14:textId="77777777" w:rsidR="00E86926" w:rsidRPr="006A4394" w:rsidRDefault="00E86926" w:rsidP="00E86926">
      <w:pPr>
        <w:rPr>
          <w:rFonts w:ascii="Bahnschrift" w:hAnsi="Bahnschrift"/>
          <w:b w:val="0"/>
          <w:bCs w:val="0"/>
          <w:sz w:val="24"/>
          <w:szCs w:val="24"/>
        </w:rPr>
      </w:pP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2) Textsorten und Textkonventionen, Wortschatz </w:t>
      </w:r>
    </w:p>
    <w:p w14:paraId="07004666" w14:textId="77777777" w:rsidR="00E86926" w:rsidRDefault="00E86926" w:rsidP="00E86926">
      <w:pPr>
        <w:rPr>
          <w:rFonts w:ascii="Bahnschrift" w:hAnsi="Bahnschrift"/>
          <w:b w:val="0"/>
          <w:bCs w:val="0"/>
          <w:sz w:val="24"/>
          <w:szCs w:val="24"/>
        </w:rPr>
      </w:pP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3) Übersetzung aus dem Italienischen ins Deutsche </w:t>
      </w:r>
    </w:p>
    <w:p w14:paraId="30996D74" w14:textId="77777777" w:rsidR="00E86926" w:rsidRPr="006A4394" w:rsidRDefault="00E86926" w:rsidP="00E86926">
      <w:pPr>
        <w:rPr>
          <w:rFonts w:ascii="Bahnschrift" w:hAnsi="Bahnschrift"/>
          <w:b w:val="0"/>
          <w:bCs w:val="0"/>
          <w:i/>
          <w:iCs/>
          <w:sz w:val="24"/>
          <w:szCs w:val="24"/>
        </w:rPr>
      </w:pPr>
      <w:r>
        <w:rPr>
          <w:rFonts w:ascii="Bahnschrift" w:hAnsi="Bahnschrift"/>
          <w:b w:val="0"/>
          <w:bCs w:val="0"/>
          <w:sz w:val="24"/>
          <w:szCs w:val="24"/>
        </w:rPr>
        <w:t xml:space="preserve">                            </w:t>
      </w:r>
      <w:r w:rsidRPr="006A4394">
        <w:rPr>
          <w:rFonts w:ascii="Bahnschrift" w:hAnsi="Bahnschrift"/>
          <w:b w:val="0"/>
          <w:bCs w:val="0"/>
          <w:i/>
          <w:iCs/>
          <w:sz w:val="24"/>
          <w:szCs w:val="24"/>
        </w:rPr>
        <w:t>(Wörterbücher</w:t>
      </w:r>
      <w:r>
        <w:rPr>
          <w:rFonts w:ascii="Bahnschrift" w:hAnsi="Bahnschrift"/>
          <w:b w:val="0"/>
          <w:bCs w:val="0"/>
          <w:i/>
          <w:iCs/>
          <w:sz w:val="24"/>
          <w:szCs w:val="24"/>
        </w:rPr>
        <w:t xml:space="preserve">: </w:t>
      </w:r>
      <w:r w:rsidRPr="006A4394">
        <w:rPr>
          <w:rFonts w:ascii="Bahnschrift" w:hAnsi="Bahnschrift"/>
          <w:b w:val="0"/>
          <w:bCs w:val="0"/>
          <w:i/>
          <w:iCs/>
          <w:sz w:val="24"/>
          <w:szCs w:val="24"/>
        </w:rPr>
        <w:t>erlaubt, keine elektronischen Geräte erlaubt)</w:t>
      </w:r>
    </w:p>
    <w:p w14:paraId="0908D00A" w14:textId="77777777" w:rsidR="00E86926" w:rsidRPr="006A4394" w:rsidRDefault="00E86926" w:rsidP="00E86926">
      <w:pPr>
        <w:rPr>
          <w:rFonts w:ascii="Bahnschrift" w:hAnsi="Bahnschrift"/>
          <w:b w:val="0"/>
          <w:bCs w:val="0"/>
          <w:sz w:val="24"/>
          <w:szCs w:val="24"/>
        </w:rPr>
      </w:pPr>
      <w:r w:rsidRPr="006A4394">
        <w:rPr>
          <w:rFonts w:ascii="Bahnschrift" w:hAnsi="Bahnschrift"/>
          <w:smallCaps/>
          <w:sz w:val="24"/>
          <w:szCs w:val="24"/>
        </w:rPr>
        <w:t>Mündliche Prüfung</w:t>
      </w: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 </w:t>
      </w:r>
      <w:r w:rsidRPr="006A4394">
        <w:rPr>
          <w:rFonts w:ascii="Bahnschrift" w:hAnsi="Bahnschrift"/>
          <w:sz w:val="24"/>
          <w:szCs w:val="24"/>
        </w:rPr>
        <w:t>(10 Min.)</w:t>
      </w: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 </w:t>
      </w:r>
    </w:p>
    <w:p w14:paraId="3221BB64" w14:textId="77777777" w:rsidR="00E86926" w:rsidRPr="006A4394" w:rsidRDefault="00E86926" w:rsidP="00E86926">
      <w:pPr>
        <w:rPr>
          <w:rFonts w:ascii="Bahnschrift" w:hAnsi="Bahnschrift"/>
          <w:b w:val="0"/>
          <w:bCs w:val="0"/>
          <w:sz w:val="24"/>
          <w:szCs w:val="24"/>
        </w:rPr>
      </w:pP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Vortrag/Referat zu einem landeskundlich und (fach)sprachlich relevanten Thema + Diskussion </w:t>
      </w:r>
    </w:p>
    <w:p w14:paraId="531EC82A" w14:textId="77777777" w:rsidR="00E86926" w:rsidRPr="006A4394" w:rsidRDefault="00E86926" w:rsidP="00E86926">
      <w:pPr>
        <w:rPr>
          <w:rFonts w:ascii="Bahnschrift" w:hAnsi="Bahnschrift"/>
          <w:b w:val="0"/>
          <w:bCs w:val="0"/>
          <w:sz w:val="24"/>
          <w:szCs w:val="24"/>
        </w:rPr>
      </w:pPr>
    </w:p>
    <w:p w14:paraId="5EF1CF1E" w14:textId="77777777" w:rsidR="00E86926" w:rsidRPr="006A4394" w:rsidRDefault="00E86926" w:rsidP="00E86926">
      <w:pPr>
        <w:rPr>
          <w:rFonts w:ascii="Bahnschrift" w:hAnsi="Bahnschrift"/>
          <w:b w:val="0"/>
          <w:bCs w:val="0"/>
          <w:sz w:val="24"/>
          <w:szCs w:val="24"/>
        </w:rPr>
      </w:pPr>
      <w:r w:rsidRPr="006A4394">
        <w:rPr>
          <w:rFonts w:ascii="Bahnschrift" w:hAnsi="Bahnschrift"/>
          <w:sz w:val="24"/>
          <w:szCs w:val="24"/>
        </w:rPr>
        <w:t>Literatur</w:t>
      </w: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: 1) Handapparat, 2) Wortschatz- und Grammatiktests (moodle), 3) SIMON, Heike/FUNK-BAKER, Gisela (2017): </w:t>
      </w:r>
      <w:proofErr w:type="gramStart"/>
      <w:r w:rsidRPr="006A4394">
        <w:rPr>
          <w:rFonts w:ascii="Bahnschrift" w:hAnsi="Bahnschrift"/>
          <w:b w:val="0"/>
          <w:bCs w:val="0"/>
          <w:sz w:val="24"/>
          <w:szCs w:val="24"/>
        </w:rPr>
        <w:t>Deutsche</w:t>
      </w:r>
      <w:proofErr w:type="gramEnd"/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 Rechtssprache. Ein Studien- und Arbeitsbuch mit Einführung in das deutsche Recht. München: C. H. Beck (Kap 4. </w:t>
      </w:r>
      <w:r w:rsidRPr="006A4394">
        <w:rPr>
          <w:rFonts w:ascii="Bahnschrift" w:hAnsi="Bahnschrift"/>
          <w:b w:val="0"/>
          <w:bCs w:val="0"/>
          <w:i/>
          <w:iCs/>
          <w:sz w:val="24"/>
          <w:szCs w:val="24"/>
        </w:rPr>
        <w:t>Verträge und andere Rechtsgeschäfte</w:t>
      </w: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 und 6. </w:t>
      </w:r>
      <w:r w:rsidRPr="006A4394">
        <w:rPr>
          <w:rFonts w:ascii="Bahnschrift" w:hAnsi="Bahnschrift"/>
          <w:b w:val="0"/>
          <w:bCs w:val="0"/>
          <w:i/>
          <w:iCs/>
          <w:sz w:val="24"/>
          <w:szCs w:val="24"/>
        </w:rPr>
        <w:t>Handels-, Gesellschafts- und Arbeitsrecht</w:t>
      </w:r>
      <w:r w:rsidRPr="006A4394">
        <w:rPr>
          <w:rFonts w:ascii="Bahnschrift" w:hAnsi="Bahnschrift"/>
          <w:b w:val="0"/>
          <w:bCs w:val="0"/>
          <w:sz w:val="24"/>
          <w:szCs w:val="24"/>
        </w:rPr>
        <w:t xml:space="preserve">). </w:t>
      </w:r>
    </w:p>
    <w:p w14:paraId="7DA3A642" w14:textId="77777777" w:rsidR="00E86926" w:rsidRDefault="00E86926" w:rsidP="00E86926">
      <w:pPr>
        <w:rPr>
          <w:rFonts w:ascii="Arial Narrow" w:hAnsi="Arial Narrow"/>
          <w:color w:val="0070C0"/>
          <w:sz w:val="28"/>
          <w:szCs w:val="28"/>
          <w:u w:val="single"/>
        </w:rPr>
      </w:pPr>
    </w:p>
    <w:p w14:paraId="0A2E358E" w14:textId="77777777" w:rsidR="00E86926" w:rsidRPr="0083235C" w:rsidRDefault="00E86926" w:rsidP="00E86926">
      <w:pPr>
        <w:rPr>
          <w:rFonts w:ascii="Arial Narrow" w:hAnsi="Arial Narrow"/>
          <w:color w:val="0070C0"/>
          <w:sz w:val="28"/>
          <w:szCs w:val="28"/>
          <w:u w:val="single"/>
        </w:rPr>
      </w:pPr>
      <w:r w:rsidRPr="0083235C">
        <w:rPr>
          <w:rFonts w:ascii="Arial Narrow" w:hAnsi="Arial Narrow"/>
          <w:color w:val="0070C0"/>
          <w:sz w:val="28"/>
          <w:szCs w:val="28"/>
          <w:u w:val="single"/>
        </w:rPr>
        <w:t>Referatsthemen (Vorschläge)</w:t>
      </w:r>
      <w:r w:rsidRPr="0083235C">
        <w:rPr>
          <w:rFonts w:ascii="Arial Narrow" w:hAnsi="Arial Narrow"/>
          <w:color w:val="0070C0"/>
          <w:sz w:val="28"/>
          <w:szCs w:val="28"/>
          <w:u w:val="single"/>
        </w:rPr>
        <w:tab/>
      </w:r>
      <w:r w:rsidRPr="0083235C">
        <w:rPr>
          <w:rFonts w:ascii="Arial Narrow" w:hAnsi="Arial Narrow"/>
          <w:color w:val="0070C0"/>
          <w:sz w:val="28"/>
          <w:szCs w:val="28"/>
          <w:u w:val="single"/>
        </w:rPr>
        <w:tab/>
      </w:r>
      <w:r w:rsidRPr="0083235C">
        <w:rPr>
          <w:rFonts w:ascii="Arial Narrow" w:hAnsi="Arial Narrow"/>
          <w:color w:val="0070C0"/>
          <w:sz w:val="28"/>
          <w:szCs w:val="28"/>
          <w:u w:val="single"/>
        </w:rPr>
        <w:tab/>
      </w:r>
      <w:r w:rsidRPr="0083235C">
        <w:rPr>
          <w:rFonts w:ascii="Arial Narrow" w:hAnsi="Arial Narrow"/>
          <w:color w:val="0070C0"/>
          <w:sz w:val="28"/>
          <w:szCs w:val="28"/>
          <w:u w:val="single"/>
        </w:rPr>
        <w:tab/>
      </w:r>
      <w:r w:rsidRPr="0083235C">
        <w:rPr>
          <w:rFonts w:ascii="Arial Narrow" w:hAnsi="Arial Narrow"/>
          <w:color w:val="0070C0"/>
          <w:sz w:val="28"/>
          <w:szCs w:val="28"/>
          <w:u w:val="single"/>
        </w:rPr>
        <w:tab/>
      </w:r>
      <w:r w:rsidRPr="0083235C">
        <w:rPr>
          <w:rFonts w:ascii="Arial Narrow" w:hAnsi="Arial Narrow"/>
          <w:color w:val="0070C0"/>
          <w:sz w:val="28"/>
          <w:szCs w:val="28"/>
          <w:u w:val="single"/>
        </w:rPr>
        <w:tab/>
      </w:r>
      <w:r w:rsidRPr="0083235C">
        <w:rPr>
          <w:rFonts w:ascii="Arial Narrow" w:hAnsi="Arial Narrow"/>
          <w:color w:val="0070C0"/>
          <w:sz w:val="28"/>
          <w:szCs w:val="28"/>
          <w:u w:val="single"/>
        </w:rPr>
        <w:tab/>
      </w:r>
      <w:r w:rsidRPr="0083235C">
        <w:rPr>
          <w:rFonts w:ascii="Arial Narrow" w:hAnsi="Arial Narrow"/>
          <w:color w:val="0070C0"/>
          <w:sz w:val="28"/>
          <w:szCs w:val="28"/>
          <w:u w:val="single"/>
        </w:rPr>
        <w:tab/>
        <w:t xml:space="preserve"> www.bpb.de</w:t>
      </w:r>
    </w:p>
    <w:p w14:paraId="29C93A91" w14:textId="77777777" w:rsidR="00E86926" w:rsidRPr="00C92C26" w:rsidRDefault="00E86926" w:rsidP="00E86926">
      <w:pPr>
        <w:spacing w:after="60"/>
        <w:rPr>
          <w:rFonts w:ascii="Arial Narrow" w:hAnsi="Arial Narrow"/>
          <w:bCs w:val="0"/>
          <w:color w:val="FF0000"/>
          <w:sz w:val="28"/>
          <w:szCs w:val="28"/>
        </w:rPr>
      </w:pPr>
      <w:r w:rsidRPr="00C92C26">
        <w:rPr>
          <w:rFonts w:ascii="Arial Narrow" w:hAnsi="Arial Narrow"/>
          <w:bCs w:val="0"/>
          <w:color w:val="FF0000"/>
          <w:sz w:val="28"/>
          <w:szCs w:val="28"/>
        </w:rPr>
        <w:t>Sprache und Beruf</w:t>
      </w:r>
    </w:p>
    <w:p w14:paraId="27D88613" w14:textId="77777777" w:rsidR="00E86926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Sprache und Recht (z.B. Sprachgebrauch im Autonomiestatut (Südtirol); Gesetze über Sprachvereinfachung in D., Behindertenrechtskonvention in vertschiedenen Sprachen)</w:t>
      </w:r>
    </w:p>
    <w:p w14:paraId="389C3FA0" w14:textId="77777777" w:rsidR="00E86926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Sprachliche Vereinfachung für Menschen mit Leseschwierigkeiten: </w:t>
      </w:r>
      <w:r w:rsidRPr="00F44F97">
        <w:rPr>
          <w:rFonts w:ascii="Arial Narrow" w:hAnsi="Arial Narrow"/>
          <w:b w:val="0"/>
          <w:i/>
          <w:iCs/>
          <w:sz w:val="28"/>
          <w:szCs w:val="28"/>
        </w:rPr>
        <w:t>Leichte Sprache</w:t>
      </w:r>
      <w:r>
        <w:rPr>
          <w:rFonts w:ascii="Arial Narrow" w:hAnsi="Arial Narrow"/>
          <w:b w:val="0"/>
          <w:sz w:val="28"/>
          <w:szCs w:val="28"/>
        </w:rPr>
        <w:t xml:space="preserve"> </w:t>
      </w:r>
    </w:p>
    <w:p w14:paraId="5D41A3DB" w14:textId="77777777" w:rsidR="00E86926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Sprache und Automatisierung </w:t>
      </w:r>
    </w:p>
    <w:p w14:paraId="3A37F462" w14:textId="77777777" w:rsidR="00E86926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Karriere als Sprachmittler/Übersetzer (z.B. EPSO, Berufsprofile, Auswahlverfahren)</w:t>
      </w:r>
    </w:p>
    <w:p w14:paraId="0FA715B1" w14:textId="77777777" w:rsidR="00E86926" w:rsidRPr="00C92C26" w:rsidRDefault="00E86926" w:rsidP="00E86926">
      <w:pPr>
        <w:spacing w:after="120"/>
        <w:rPr>
          <w:rFonts w:ascii="Arial Narrow" w:hAnsi="Arial Narrow"/>
          <w:bCs w:val="0"/>
          <w:color w:val="FF0000"/>
          <w:sz w:val="28"/>
          <w:szCs w:val="28"/>
        </w:rPr>
      </w:pPr>
      <w:r w:rsidRPr="00C92C26">
        <w:rPr>
          <w:rFonts w:ascii="Arial Narrow" w:hAnsi="Arial Narrow"/>
          <w:bCs w:val="0"/>
          <w:color w:val="FF0000"/>
          <w:sz w:val="28"/>
          <w:szCs w:val="28"/>
        </w:rPr>
        <w:t>Geschichte, Gesellschaft, Politik</w:t>
      </w:r>
      <w:r>
        <w:rPr>
          <w:rFonts w:ascii="Arial Narrow" w:hAnsi="Arial Narrow"/>
          <w:bCs w:val="0"/>
          <w:color w:val="FF0000"/>
          <w:sz w:val="28"/>
          <w:szCs w:val="28"/>
        </w:rPr>
        <w:t>, Gesetze</w:t>
      </w:r>
    </w:p>
    <w:p w14:paraId="17F7E2B9" w14:textId="77777777" w:rsidR="00E86926" w:rsidRPr="00063581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 w:rsidRPr="00063581">
        <w:rPr>
          <w:rFonts w:ascii="Arial Narrow" w:hAnsi="Arial Narrow"/>
          <w:b w:val="0"/>
          <w:sz w:val="28"/>
          <w:szCs w:val="28"/>
        </w:rPr>
        <w:t>Die Prozesse gegen die Weiße Rose</w:t>
      </w:r>
    </w:p>
    <w:p w14:paraId="1BC18842" w14:textId="77777777" w:rsidR="00E86926" w:rsidRPr="00063581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 w:rsidRPr="00063581">
        <w:rPr>
          <w:rFonts w:ascii="Arial Narrow" w:hAnsi="Arial Narrow"/>
          <w:b w:val="0"/>
          <w:sz w:val="28"/>
          <w:szCs w:val="28"/>
        </w:rPr>
        <w:t>Die Nürnberger Prozesse</w:t>
      </w:r>
    </w:p>
    <w:p w14:paraId="6A951687" w14:textId="77777777" w:rsidR="00E86926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 w:rsidRPr="00063581">
        <w:rPr>
          <w:rFonts w:ascii="Arial Narrow" w:hAnsi="Arial Narrow"/>
          <w:b w:val="0"/>
          <w:sz w:val="28"/>
          <w:szCs w:val="28"/>
        </w:rPr>
        <w:t xml:space="preserve">Frauenfußballverbot (bpb.de &gt; </w:t>
      </w:r>
      <w:r w:rsidRPr="00063581">
        <w:rPr>
          <w:rFonts w:ascii="Arial Narrow" w:hAnsi="Arial Narrow"/>
          <w:b w:val="0"/>
          <w:i/>
          <w:iCs/>
          <w:sz w:val="28"/>
          <w:szCs w:val="28"/>
        </w:rPr>
        <w:t>Gesellschaft</w:t>
      </w:r>
      <w:r w:rsidRPr="00063581">
        <w:rPr>
          <w:rFonts w:ascii="Arial Narrow" w:hAnsi="Arial Narrow"/>
          <w:b w:val="0"/>
          <w:sz w:val="28"/>
          <w:szCs w:val="28"/>
        </w:rPr>
        <w:t xml:space="preserve"> &gt; </w:t>
      </w:r>
      <w:r w:rsidRPr="00063581">
        <w:rPr>
          <w:rFonts w:ascii="Arial Narrow" w:hAnsi="Arial Narrow"/>
          <w:b w:val="0"/>
          <w:i/>
          <w:iCs/>
          <w:sz w:val="28"/>
          <w:szCs w:val="28"/>
        </w:rPr>
        <w:t>Gender</w:t>
      </w:r>
      <w:r w:rsidRPr="00063581">
        <w:rPr>
          <w:rFonts w:ascii="Arial Narrow" w:hAnsi="Arial Narrow"/>
          <w:b w:val="0"/>
          <w:sz w:val="28"/>
          <w:szCs w:val="28"/>
        </w:rPr>
        <w:t xml:space="preserve"> &gt; </w:t>
      </w:r>
      <w:r w:rsidRPr="00063581">
        <w:rPr>
          <w:rFonts w:ascii="Arial Narrow" w:hAnsi="Arial Narrow"/>
          <w:b w:val="0"/>
          <w:i/>
          <w:iCs/>
          <w:sz w:val="28"/>
          <w:szCs w:val="28"/>
        </w:rPr>
        <w:t>die graue Spielzeit</w:t>
      </w:r>
      <w:r w:rsidRPr="00063581">
        <w:rPr>
          <w:rFonts w:ascii="Arial Narrow" w:hAnsi="Arial Narrow"/>
          <w:b w:val="0"/>
          <w:sz w:val="28"/>
          <w:szCs w:val="28"/>
        </w:rPr>
        <w:t>)</w:t>
      </w:r>
    </w:p>
    <w:p w14:paraId="748E2EFA" w14:textId="77777777" w:rsidR="00E86926" w:rsidRDefault="00E86926" w:rsidP="00E86926">
      <w:pPr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Einen Film vorstellen (ohne Vorspielen von Filmszenen!) </w:t>
      </w:r>
    </w:p>
    <w:p w14:paraId="0DAD2948" w14:textId="77777777" w:rsidR="00E86926" w:rsidRDefault="00E86926" w:rsidP="00E86926">
      <w:pPr>
        <w:numPr>
          <w:ilvl w:val="0"/>
          <w:numId w:val="2"/>
        </w:numPr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Drehbuch </w:t>
      </w:r>
      <w:r w:rsidRPr="00063581">
        <w:rPr>
          <w:rFonts w:ascii="Arial Narrow" w:hAnsi="Arial Narrow"/>
          <w:b w:val="0"/>
          <w:sz w:val="28"/>
          <w:szCs w:val="28"/>
        </w:rPr>
        <w:t>HANNAH ARENDT</w:t>
      </w:r>
      <w:r>
        <w:rPr>
          <w:rFonts w:ascii="Arial Narrow" w:hAnsi="Arial Narrow"/>
          <w:b w:val="0"/>
          <w:sz w:val="28"/>
          <w:szCs w:val="28"/>
        </w:rPr>
        <w:t xml:space="preserve">: </w:t>
      </w:r>
      <w:r w:rsidRPr="00063581">
        <w:rPr>
          <w:rFonts w:ascii="Arial Narrow" w:hAnsi="Arial Narrow"/>
          <w:b w:val="0"/>
          <w:sz w:val="28"/>
          <w:szCs w:val="28"/>
        </w:rPr>
        <w:t xml:space="preserve">Reihe </w:t>
      </w:r>
      <w:r w:rsidRPr="00F44F97">
        <w:rPr>
          <w:rFonts w:ascii="Arial Narrow" w:hAnsi="Arial Narrow"/>
          <w:b w:val="0"/>
          <w:i/>
          <w:iCs/>
          <w:sz w:val="28"/>
          <w:szCs w:val="28"/>
        </w:rPr>
        <w:t>Deutsche Drehbücher der Deutschen Filmakademie</w:t>
      </w:r>
    </w:p>
    <w:p w14:paraId="47155765" w14:textId="77777777" w:rsidR="00E86926" w:rsidRPr="00C95D29" w:rsidRDefault="00E86926" w:rsidP="00E86926">
      <w:pPr>
        <w:numPr>
          <w:ilvl w:val="0"/>
          <w:numId w:val="2"/>
        </w:numPr>
        <w:spacing w:before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Drehbuch IM LABYRINTH DES SCHWEIGENS</w:t>
      </w:r>
    </w:p>
    <w:p w14:paraId="18C685ED" w14:textId="77777777" w:rsidR="00E86926" w:rsidRPr="00C92C26" w:rsidRDefault="00E86926" w:rsidP="00E86926">
      <w:pPr>
        <w:spacing w:after="120"/>
        <w:rPr>
          <w:rFonts w:ascii="Arial Narrow" w:hAnsi="Arial Narrow"/>
          <w:bCs w:val="0"/>
          <w:color w:val="FF0000"/>
          <w:sz w:val="28"/>
          <w:szCs w:val="28"/>
        </w:rPr>
      </w:pPr>
      <w:r w:rsidRPr="00C92C26">
        <w:rPr>
          <w:rFonts w:ascii="Arial Narrow" w:hAnsi="Arial Narrow"/>
          <w:bCs w:val="0"/>
          <w:color w:val="FF0000"/>
          <w:sz w:val="28"/>
          <w:szCs w:val="28"/>
        </w:rPr>
        <w:t xml:space="preserve">Deutsche und italienische </w:t>
      </w:r>
      <w:r>
        <w:rPr>
          <w:rFonts w:ascii="Arial Narrow" w:hAnsi="Arial Narrow"/>
          <w:bCs w:val="0"/>
          <w:color w:val="FF0000"/>
          <w:sz w:val="28"/>
          <w:szCs w:val="28"/>
        </w:rPr>
        <w:t>Gesellschaft und Gesetzgebung im Vergleich</w:t>
      </w:r>
    </w:p>
    <w:p w14:paraId="130C8C79" w14:textId="77777777" w:rsidR="00E86926" w:rsidRPr="00063581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 w:rsidRPr="00063581">
        <w:rPr>
          <w:rFonts w:ascii="Arial Narrow" w:hAnsi="Arial Narrow"/>
          <w:b w:val="0"/>
          <w:sz w:val="28"/>
          <w:szCs w:val="28"/>
        </w:rPr>
        <w:t xml:space="preserve">Frauenwahlrecht – Deutschland und Italien in Vergleich </w:t>
      </w:r>
    </w:p>
    <w:p w14:paraId="6375BA59" w14:textId="77777777" w:rsidR="00E86926" w:rsidRPr="00063581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 w:rsidRPr="00063581">
        <w:rPr>
          <w:rFonts w:ascii="Arial Narrow" w:hAnsi="Arial Narrow"/>
          <w:b w:val="0"/>
          <w:sz w:val="28"/>
          <w:szCs w:val="28"/>
        </w:rPr>
        <w:t>Die Rechtsstellung von Trans*personen – internationaler Vergleich</w:t>
      </w:r>
    </w:p>
    <w:p w14:paraId="367AD19B" w14:textId="77777777" w:rsidR="00E86926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 w:rsidRPr="00063581">
        <w:rPr>
          <w:rFonts w:ascii="Arial Narrow" w:hAnsi="Arial Narrow"/>
          <w:b w:val="0"/>
          <w:sz w:val="28"/>
          <w:szCs w:val="28"/>
        </w:rPr>
        <w:t>Die Rechtsstellung gleichgeschlechtlicher Paare in Deutschland</w:t>
      </w:r>
    </w:p>
    <w:p w14:paraId="20C80904" w14:textId="77777777" w:rsidR="00E86926" w:rsidRPr="00063581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Mutterschutz und Erziehungsurlaub im intersprachlichen/internationalen Vergleich &gt; Vertiefung des II.J</w:t>
      </w:r>
    </w:p>
    <w:p w14:paraId="350EB2E6" w14:textId="77777777" w:rsidR="00E86926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 w:rsidRPr="00063581">
        <w:rPr>
          <w:rFonts w:ascii="Arial Narrow" w:hAnsi="Arial Narrow"/>
          <w:b w:val="0"/>
          <w:sz w:val="28"/>
          <w:szCs w:val="28"/>
        </w:rPr>
        <w:t>Das Grundgesetz</w:t>
      </w:r>
      <w:r>
        <w:rPr>
          <w:rFonts w:ascii="Arial Narrow" w:hAnsi="Arial Narrow"/>
          <w:b w:val="0"/>
          <w:sz w:val="28"/>
          <w:szCs w:val="28"/>
        </w:rPr>
        <w:t xml:space="preserve"> (Hilfe: </w:t>
      </w:r>
      <w:hyperlink r:id="rId5" w:history="1">
        <w:r w:rsidRPr="00E13825">
          <w:rPr>
            <w:rStyle w:val="Collegamentoipertestuale"/>
            <w:rFonts w:ascii="Arial Narrow" w:hAnsi="Arial Narrow"/>
            <w:b w:val="0"/>
            <w:sz w:val="28"/>
            <w:szCs w:val="28"/>
          </w:rPr>
          <w:t>http://www.bpb.de/politik/grundfragen/politik-einfach-fuer-alle/236724/die-wuerde-des-menschen-ist-unantastbar</w:t>
        </w:r>
      </w:hyperlink>
      <w:r>
        <w:rPr>
          <w:rFonts w:ascii="Arial Narrow" w:hAnsi="Arial Narrow"/>
          <w:b w:val="0"/>
          <w:sz w:val="28"/>
          <w:szCs w:val="28"/>
        </w:rPr>
        <w:t xml:space="preserve">; </w:t>
      </w:r>
      <w:r w:rsidRPr="00063581">
        <w:rPr>
          <w:rFonts w:ascii="Arial Narrow" w:hAnsi="Arial Narrow"/>
          <w:b w:val="0"/>
          <w:i/>
          <w:iCs/>
          <w:sz w:val="28"/>
          <w:szCs w:val="28"/>
        </w:rPr>
        <w:t>Grundgesetz einfach erklärt</w:t>
      </w:r>
      <w:r w:rsidRPr="00063581">
        <w:rPr>
          <w:rFonts w:ascii="Arial Narrow" w:hAnsi="Arial Narrow"/>
          <w:b w:val="0"/>
          <w:sz w:val="28"/>
          <w:szCs w:val="28"/>
        </w:rPr>
        <w:t>)</w:t>
      </w:r>
    </w:p>
    <w:p w14:paraId="0FF1F03C" w14:textId="77777777" w:rsidR="00E86926" w:rsidRDefault="00E86926" w:rsidP="00E86926">
      <w:pPr>
        <w:spacing w:after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Geschlechteridentität und Gesetze. </w:t>
      </w:r>
      <w:r w:rsidRPr="00755891">
        <w:rPr>
          <w:rFonts w:ascii="Arial Narrow" w:hAnsi="Arial Narrow"/>
          <w:b w:val="0"/>
          <w:sz w:val="24"/>
          <w:szCs w:val="24"/>
        </w:rPr>
        <w:t xml:space="preserve">Gesetzesentwurf: </w:t>
      </w:r>
      <w:r w:rsidRPr="00755891">
        <w:rPr>
          <w:rFonts w:ascii="Arial Narrow" w:hAnsi="Arial Narrow"/>
          <w:b w:val="0"/>
          <w:i/>
          <w:iCs/>
          <w:sz w:val="24"/>
          <w:szCs w:val="24"/>
        </w:rPr>
        <w:t>Die Ampel-Regierung will das Transsexuellen-Gesetz von 1981 durch ein neues Selbstbestimmungsgesetz ablösen. Betroffene Menschen können dann ihr Geschlecht und ihren Namen viel leichter als bisher ändern</w:t>
      </w:r>
      <w:r w:rsidRPr="00755891">
        <w:rPr>
          <w:rFonts w:ascii="Arial Narrow" w:hAnsi="Arial Narrow"/>
          <w:b w:val="0"/>
          <w:sz w:val="24"/>
          <w:szCs w:val="24"/>
        </w:rPr>
        <w:t>.</w:t>
      </w:r>
      <w:r w:rsidRPr="00C92C26">
        <w:t xml:space="preserve"> </w:t>
      </w:r>
      <w:hyperlink r:id="rId6" w:history="1">
        <w:r w:rsidRPr="009F6AD3">
          <w:rPr>
            <w:rStyle w:val="Collegamentoipertestuale"/>
            <w:rFonts w:ascii="Arial Narrow" w:hAnsi="Arial Narrow"/>
            <w:b w:val="0"/>
            <w:sz w:val="28"/>
            <w:szCs w:val="28"/>
          </w:rPr>
          <w:t>https://www.zdf.de/nachrichten/panorama/selbstbestimmungsgesetz-geschlecht-vorname-aendern-standesamt-100.html</w:t>
        </w:r>
      </w:hyperlink>
      <w:r>
        <w:rPr>
          <w:rFonts w:ascii="Arial Narrow" w:hAnsi="Arial Narrow"/>
          <w:b w:val="0"/>
          <w:sz w:val="28"/>
          <w:szCs w:val="28"/>
        </w:rPr>
        <w:t xml:space="preserve"> </w:t>
      </w:r>
    </w:p>
    <w:p w14:paraId="42180BC8" w14:textId="77777777" w:rsidR="00E86926" w:rsidRDefault="00E86926" w:rsidP="00E86926">
      <w:pPr>
        <w:spacing w:before="120"/>
        <w:rPr>
          <w:rFonts w:ascii="Arial Narrow" w:hAnsi="Arial Narrow"/>
          <w:bCs w:val="0"/>
          <w:sz w:val="28"/>
          <w:szCs w:val="28"/>
          <w:u w:val="single"/>
        </w:rPr>
      </w:pPr>
    </w:p>
    <w:p w14:paraId="2E051061" w14:textId="77777777" w:rsidR="00E86926" w:rsidRDefault="00E86926" w:rsidP="00E86926">
      <w:pPr>
        <w:spacing w:before="120"/>
        <w:rPr>
          <w:rFonts w:ascii="Arial Narrow" w:hAnsi="Arial Narrow"/>
          <w:bCs w:val="0"/>
          <w:sz w:val="28"/>
          <w:szCs w:val="28"/>
          <w:u w:val="single"/>
        </w:rPr>
      </w:pPr>
    </w:p>
    <w:p w14:paraId="4F99D6A2" w14:textId="6EB9DE67" w:rsidR="00E86926" w:rsidRDefault="00E86926" w:rsidP="00E86926">
      <w:pPr>
        <w:spacing w:before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Cs w:val="0"/>
          <w:sz w:val="28"/>
          <w:szCs w:val="28"/>
          <w:u w:val="single"/>
        </w:rPr>
        <w:lastRenderedPageBreak/>
        <w:t xml:space="preserve">Referat: </w:t>
      </w:r>
      <w:r w:rsidRPr="00B55043">
        <w:rPr>
          <w:rFonts w:ascii="Arial Narrow" w:hAnsi="Arial Narrow"/>
          <w:bCs w:val="0"/>
          <w:sz w:val="28"/>
          <w:szCs w:val="28"/>
          <w:u w:val="single"/>
        </w:rPr>
        <w:t>Bewertungskriterien</w:t>
      </w:r>
      <w:r>
        <w:rPr>
          <w:rFonts w:ascii="Arial Narrow" w:hAnsi="Arial Narrow"/>
          <w:b w:val="0"/>
          <w:sz w:val="28"/>
          <w:szCs w:val="28"/>
        </w:rPr>
        <w:t xml:space="preserve">: </w:t>
      </w:r>
    </w:p>
    <w:p w14:paraId="5BCBDE77" w14:textId="77777777" w:rsidR="00E86926" w:rsidRDefault="00E86926" w:rsidP="00E86926">
      <w:pPr>
        <w:spacing w:before="120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>Sprache (frei Sprechen, Aussprache und Wortbetonung, Stil, Handout, Ppt), Moderation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4224"/>
      </w:tblGrid>
      <w:tr w:rsidR="00E86926" w:rsidRPr="00DC111B" w14:paraId="3520EC73" w14:textId="77777777" w:rsidTr="00EE3B0F">
        <w:tc>
          <w:tcPr>
            <w:tcW w:w="6232" w:type="dxa"/>
            <w:shd w:val="clear" w:color="auto" w:fill="auto"/>
          </w:tcPr>
          <w:p w14:paraId="37225E5D" w14:textId="77777777" w:rsidR="00E86926" w:rsidRPr="00DC111B" w:rsidRDefault="00E86926" w:rsidP="00EE3B0F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>Originaltext</w:t>
            </w:r>
          </w:p>
        </w:tc>
        <w:tc>
          <w:tcPr>
            <w:tcW w:w="4224" w:type="dxa"/>
            <w:shd w:val="clear" w:color="auto" w:fill="auto"/>
          </w:tcPr>
          <w:p w14:paraId="3C8AD52D" w14:textId="77777777" w:rsidR="00E86926" w:rsidRPr="00DC111B" w:rsidRDefault="00E86926" w:rsidP="00EE3B0F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>Ihr Referat</w:t>
            </w:r>
          </w:p>
        </w:tc>
      </w:tr>
      <w:tr w:rsidR="00E86926" w:rsidRPr="00DC111B" w14:paraId="5221996A" w14:textId="77777777" w:rsidTr="00EE3B0F">
        <w:tc>
          <w:tcPr>
            <w:tcW w:w="6232" w:type="dxa"/>
            <w:shd w:val="clear" w:color="auto" w:fill="auto"/>
          </w:tcPr>
          <w:p w14:paraId="4B1BCE18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Die häufigste und zugleich von den amtlichen Rechtschreibregeln abgedeckte verkürzte Form der sprachlichen Gleichstellung der Geschlechter war bisher die Variante mit Schrägstrich und Bindestrich: Mitarbeiter/-innen, Lektor/-in, Buchhalter/-innen. </w:t>
            </w:r>
          </w:p>
          <w:p w14:paraId="04BE5227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shd w:val="clear" w:color="auto" w:fill="auto"/>
          </w:tcPr>
          <w:p w14:paraId="14625712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Laut … kann man den Schrägstrich und den Bindestrich benutzen. </w:t>
            </w:r>
          </w:p>
          <w:p w14:paraId="1BB30A29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>Hier ist ein Beispiel:</w:t>
            </w:r>
          </w:p>
          <w:p w14:paraId="3E997859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>Das ist der Schrägstrich „/“ und das ist der Bindestrich: /</w:t>
            </w:r>
          </w:p>
          <w:p w14:paraId="20AAC3AD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Das ist die häufigste Form der… Sie </w:t>
            </w:r>
            <w:proofErr w:type="gramStart"/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>entspricht..</w:t>
            </w:r>
            <w:proofErr w:type="gramEnd"/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86926" w:rsidRPr="00DC111B" w14:paraId="27BC45A3" w14:textId="77777777" w:rsidTr="00EE3B0F">
        <w:tc>
          <w:tcPr>
            <w:tcW w:w="6232" w:type="dxa"/>
            <w:shd w:val="clear" w:color="auto" w:fill="auto"/>
          </w:tcPr>
          <w:p w14:paraId="6E0761FA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In der öffentlichen Diskussion um geschlechtergerechten Sprachgebrauch spielt der Ausdruck „generisches Maskulinum“ eine große Rolle. </w:t>
            </w:r>
          </w:p>
          <w:p w14:paraId="2C46B84C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>Geschlechtergerechter Sprachgebrauch: Doppelnennung und Schrägstrich</w:t>
            </w:r>
          </w:p>
          <w:p w14:paraId="3018F47B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  <w:lang w:eastAsia="en-US"/>
              </w:rPr>
            </w:pPr>
            <w:hyperlink r:id="rId7" w:history="1">
              <w:r w:rsidRPr="00DC111B">
                <w:rPr>
                  <w:rFonts w:ascii="Calibri" w:eastAsia="Calibri" w:hAnsi="Calibri" w:cs="Times New Roman"/>
                  <w:b w:val="0"/>
                  <w:bCs w:val="0"/>
                  <w:color w:val="0563C1"/>
                  <w:sz w:val="16"/>
                  <w:szCs w:val="16"/>
                  <w:u w:val="single"/>
                  <w:lang w:eastAsia="en-US"/>
                </w:rPr>
                <w:t>https://www.duden.de/sprachwissen/sprachratgeber/Geschlechtergerechter-Sprachgebrauch-Doppelnennung-und-Schr%C3%A4gstrich</w:t>
              </w:r>
            </w:hyperlink>
            <w:r w:rsidRPr="00DC111B"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  <w:lang w:eastAsia="en-US"/>
              </w:rPr>
              <w:t xml:space="preserve"> (letzter Zugriff am 14.10.21)</w:t>
            </w:r>
          </w:p>
        </w:tc>
        <w:tc>
          <w:tcPr>
            <w:tcW w:w="4224" w:type="dxa"/>
            <w:shd w:val="clear" w:color="auto" w:fill="auto"/>
          </w:tcPr>
          <w:p w14:paraId="4867E75A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14:paraId="55234B46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In der Öffentlichkeit diskutiert man über… </w:t>
            </w:r>
          </w:p>
          <w:p w14:paraId="460BA5A1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Dabei spielt der Ausdruck… eine große Rolle. </w:t>
            </w:r>
          </w:p>
          <w:p w14:paraId="47DDEC3A" w14:textId="77777777" w:rsidR="00E86926" w:rsidRPr="00DC111B" w:rsidRDefault="00E86926" w:rsidP="00EE3B0F">
            <w:pPr>
              <w:spacing w:line="360" w:lineRule="auto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DC111B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eastAsia="en-US"/>
              </w:rPr>
              <w:t>Was bedeutet das?</w:t>
            </w:r>
          </w:p>
        </w:tc>
      </w:tr>
    </w:tbl>
    <w:p w14:paraId="7CC84C83" w14:textId="77777777" w:rsidR="00E86926" w:rsidRPr="00063581" w:rsidRDefault="00E86926" w:rsidP="00E86926">
      <w:pPr>
        <w:spacing w:before="120"/>
        <w:rPr>
          <w:rFonts w:ascii="Arial Narrow" w:hAnsi="Arial Narrow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7"/>
        <w:gridCol w:w="7794"/>
      </w:tblGrid>
      <w:tr w:rsidR="00E86926" w:rsidRPr="008057E9" w14:paraId="24337B82" w14:textId="77777777" w:rsidTr="00EE3B0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B2C36AD" w14:textId="77777777" w:rsidR="00E86926" w:rsidRDefault="00E86926" w:rsidP="00EE3B0F">
            <w:pPr>
              <w:rPr>
                <w:rFonts w:ascii="Arial Narrow" w:hAnsi="Arial Narrow"/>
                <w:color w:val="0070C0"/>
                <w:sz w:val="28"/>
                <w:szCs w:val="28"/>
                <w:u w:val="single"/>
              </w:rPr>
            </w:pPr>
            <w:r w:rsidRPr="008057E9">
              <w:rPr>
                <w:rFonts w:ascii="Arial Narrow" w:hAnsi="Arial Narrow"/>
                <w:color w:val="0070C0"/>
                <w:sz w:val="28"/>
                <w:szCs w:val="28"/>
                <w:u w:val="single"/>
              </w:rPr>
              <w:t>Handout zum Referat</w:t>
            </w:r>
          </w:p>
          <w:p w14:paraId="5A3A52B4" w14:textId="77777777" w:rsidR="00E86926" w:rsidRPr="008057E9" w:rsidRDefault="00E86926" w:rsidP="00EE3B0F">
            <w:pPr>
              <w:rPr>
                <w:rFonts w:ascii="Arial Narrow" w:hAnsi="Arial Narrow"/>
                <w:bCs w:val="0"/>
                <w:color w:val="CC0099"/>
                <w:sz w:val="28"/>
                <w:szCs w:val="28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A4A7" w14:textId="77777777" w:rsidR="00E86926" w:rsidRPr="004D6753" w:rsidRDefault="00E86926" w:rsidP="00EE3B0F">
            <w:pPr>
              <w:spacing w:before="1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8057E9">
              <w:rPr>
                <w:rFonts w:ascii="Arial Narrow" w:hAnsi="Arial Narrow"/>
                <w:b w:val="0"/>
                <w:color w:val="CC0099"/>
              </w:rPr>
              <w:t>Name</w:t>
            </w:r>
            <w:r>
              <w:rPr>
                <w:rFonts w:ascii="Arial Narrow" w:hAnsi="Arial Narrow"/>
                <w:b w:val="0"/>
                <w:color w:val="CC0099"/>
              </w:rPr>
              <w:t>(n)</w:t>
            </w: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>, Datum, Kurs</w:t>
            </w:r>
          </w:p>
          <w:p w14:paraId="7750454D" w14:textId="77777777" w:rsidR="00E86926" w:rsidRPr="004D6753" w:rsidRDefault="00E86926" w:rsidP="00EE3B0F">
            <w:pPr>
              <w:spacing w:before="120"/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  <w:t xml:space="preserve">                                           Titel</w:t>
            </w:r>
          </w:p>
          <w:p w14:paraId="5D7F825F" w14:textId="77777777" w:rsidR="00E86926" w:rsidRPr="004D6753" w:rsidRDefault="00E86926" w:rsidP="00EE3B0F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>xxxxxxxxxxxxxxxxxxxxxxxxxxxxxx</w:t>
            </w:r>
          </w:p>
          <w:p w14:paraId="7FB969D3" w14:textId="77777777" w:rsidR="00E86926" w:rsidRPr="004D6753" w:rsidRDefault="00E86926" w:rsidP="00EE3B0F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>xxxxxxxxxxxxxxxxxxxxxxxxxxxxxx</w:t>
            </w:r>
          </w:p>
          <w:p w14:paraId="071DB266" w14:textId="77777777" w:rsidR="00E86926" w:rsidRPr="004D6753" w:rsidRDefault="00E86926" w:rsidP="00EE3B0F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>xxxxxxxxxxxxxxxxxxxxxxxxxxxxxx</w:t>
            </w:r>
          </w:p>
          <w:p w14:paraId="1951B884" w14:textId="19E1B1A4" w:rsidR="00E86926" w:rsidRPr="004D6753" w:rsidRDefault="00E86926" w:rsidP="00EE3B0F">
            <w:pPr>
              <w:spacing w:before="1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noProof/>
                <w:color w:val="CC00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94E5B" wp14:editId="16B0DB8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150495</wp:posOffset>
                      </wp:positionV>
                      <wp:extent cx="809625" cy="409575"/>
                      <wp:effectExtent l="10160" t="11430" r="8890" b="7620"/>
                      <wp:wrapNone/>
                      <wp:docPr id="3" name="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09575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ABBDE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 3" o:spid="_x0000_s1026" type="#_x0000_t124" style="position:absolute;margin-left:118.85pt;margin-top:11.85pt;width:6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"/>
                  </w:pict>
                </mc:Fallback>
              </mc:AlternateContent>
            </w:r>
            <w:r w:rsidRPr="004D6753">
              <w:rPr>
                <w:rFonts w:ascii="Arial Narrow" w:hAnsi="Arial Narrow"/>
                <w:b w:val="0"/>
                <w:noProof/>
                <w:color w:val="CC00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FE04F" wp14:editId="476E4D17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113665</wp:posOffset>
                      </wp:positionV>
                      <wp:extent cx="1133475" cy="429260"/>
                      <wp:effectExtent l="10160" t="12700" r="8890" b="571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6F55" id="Rettangolo 2" o:spid="_x0000_s1026" style="position:absolute;margin-left:237.35pt;margin-top:8.95pt;width:89.2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"/>
                  </w:pict>
                </mc:Fallback>
              </mc:AlternateContent>
            </w:r>
            <w:r w:rsidRPr="004D6753">
              <w:rPr>
                <w:rFonts w:ascii="Arial Narrow" w:hAnsi="Arial Narrow"/>
                <w:b w:val="0"/>
                <w:noProof/>
                <w:color w:val="CC009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D1C13" wp14:editId="489B867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200025</wp:posOffset>
                      </wp:positionV>
                      <wp:extent cx="733425" cy="323850"/>
                      <wp:effectExtent l="10160" t="13335" r="8890" b="571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6863B" id="Rettangolo 1" o:spid="_x0000_s1026" style="position:absolute;margin-left:16.1pt;margin-top:15.75pt;width:5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"/>
                  </w:pict>
                </mc:Fallback>
              </mc:AlternateContent>
            </w:r>
          </w:p>
          <w:p w14:paraId="6F20620A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  <w:t xml:space="preserve">                   </w:t>
            </w:r>
          </w:p>
          <w:p w14:paraId="485DFB6A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 w:val="0"/>
                <w:color w:val="808080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808080"/>
                <w:sz w:val="24"/>
                <w:szCs w:val="24"/>
              </w:rPr>
              <w:t>(Quelle</w:t>
            </w:r>
            <w:r>
              <w:rPr>
                <w:rFonts w:ascii="Arial Narrow" w:hAnsi="Arial Narrow"/>
                <w:b w:val="0"/>
                <w:color w:val="808080"/>
                <w:sz w:val="24"/>
                <w:szCs w:val="24"/>
              </w:rPr>
              <w:t>n</w:t>
            </w:r>
            <w:r w:rsidRPr="004D6753">
              <w:rPr>
                <w:rFonts w:ascii="Arial Narrow" w:hAnsi="Arial Narrow"/>
                <w:b w:val="0"/>
                <w:color w:val="808080"/>
                <w:sz w:val="24"/>
                <w:szCs w:val="24"/>
              </w:rPr>
              <w:t xml:space="preserve"> der Bilder/Grafiken angeben!)                             </w:t>
            </w:r>
          </w:p>
          <w:p w14:paraId="5882ECFE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</w:pPr>
            <w:r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  <w:t xml:space="preserve">                                 </w:t>
            </w:r>
            <w:r w:rsidRPr="004D6753"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  <w:t>Glossar</w:t>
            </w:r>
            <w:r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  <w:t xml:space="preserve"> </w:t>
            </w:r>
            <w:r w:rsidRPr="004D6753">
              <w:rPr>
                <w:rFonts w:ascii="Arial Narrow" w:hAnsi="Arial Narrow"/>
                <w:b w:val="0"/>
                <w:color w:val="808080"/>
                <w:sz w:val="24"/>
                <w:szCs w:val="24"/>
              </w:rPr>
              <w:t>(2-10 Ausdrücke mit Üb. Und gramm.Inf.)</w:t>
            </w:r>
          </w:p>
          <w:p w14:paraId="31CAC429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  <w:t xml:space="preserve">                     </w:t>
            </w: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 xml:space="preserve">-s Xxxxx / xx – xxxx </w:t>
            </w:r>
            <w:r w:rsidRPr="004D6753">
              <w:rPr>
                <w:rFonts w:ascii="Arial Narrow" w:hAnsi="Arial Narrow"/>
                <w:b w:val="0"/>
                <w:color w:val="808080"/>
                <w:sz w:val="24"/>
                <w:szCs w:val="24"/>
              </w:rPr>
              <w:t>(it. Übersetzung/dt. Erklärung)</w:t>
            </w:r>
          </w:p>
          <w:p w14:paraId="4AD42459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 xml:space="preserve">                     -r Xxxx / xx – xxxx</w:t>
            </w:r>
          </w:p>
          <w:p w14:paraId="478340CD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 xml:space="preserve">                     -e Xxxxx / xx – xxxx</w:t>
            </w:r>
          </w:p>
          <w:p w14:paraId="1159C37B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 xml:space="preserve">                     -r Xxxx / xx – xxxx</w:t>
            </w:r>
          </w:p>
          <w:p w14:paraId="3BACF257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>beschlagnahmen (Prät. beschlagnahmte, Perf. h. beschlagnahmt) - xxxxx</w:t>
            </w:r>
          </w:p>
          <w:p w14:paraId="74D9D755" w14:textId="77777777" w:rsidR="00E86926" w:rsidRDefault="00E86926" w:rsidP="00EE3B0F">
            <w:pPr>
              <w:spacing w:before="120"/>
              <w:rPr>
                <w:rFonts w:ascii="Arial Narrow" w:hAnsi="Arial Narrow"/>
                <w:b w:val="0"/>
                <w:color w:val="808080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 xml:space="preserve">ein Gewerbe anmelden / betreiben / abmelden – xxx </w:t>
            </w:r>
            <w:r w:rsidRPr="004D6753">
              <w:rPr>
                <w:rFonts w:ascii="Arial Narrow" w:hAnsi="Arial Narrow"/>
                <w:b w:val="0"/>
                <w:color w:val="808080"/>
                <w:sz w:val="24"/>
                <w:szCs w:val="24"/>
              </w:rPr>
              <w:t>(FVG, Kollokationen)</w:t>
            </w:r>
          </w:p>
          <w:p w14:paraId="6426CF03" w14:textId="77777777" w:rsidR="00E86926" w:rsidRPr="004D6753" w:rsidRDefault="00E86926" w:rsidP="00EE3B0F">
            <w:pPr>
              <w:spacing w:before="120"/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</w:pPr>
          </w:p>
          <w:p w14:paraId="3FE09F19" w14:textId="77777777" w:rsidR="00E86926" w:rsidRPr="004D6753" w:rsidRDefault="00E86926" w:rsidP="00EE3B0F">
            <w:pPr>
              <w:spacing w:before="120"/>
              <w:ind w:left="7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color w:val="CC0099"/>
                <w:sz w:val="24"/>
                <w:szCs w:val="24"/>
              </w:rPr>
              <w:t xml:space="preserve">                               </w:t>
            </w:r>
            <w:r w:rsidRPr="004D6753">
              <w:rPr>
                <w:rFonts w:ascii="Arial Narrow" w:hAnsi="Arial Narrow"/>
                <w:bCs w:val="0"/>
                <w:color w:val="CC0099"/>
                <w:sz w:val="24"/>
                <w:szCs w:val="24"/>
              </w:rPr>
              <w:t>Quellen</w:t>
            </w:r>
          </w:p>
          <w:p w14:paraId="27446956" w14:textId="77777777" w:rsidR="00E86926" w:rsidRPr="004D6753" w:rsidRDefault="00E86926" w:rsidP="00EE3B0F">
            <w:pPr>
              <w:spacing w:before="1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>Nachname, Vorname (Jahr) Titel. Stadt: Verlag.</w:t>
            </w:r>
          </w:p>
          <w:p w14:paraId="0689C743" w14:textId="77777777" w:rsidR="00E86926" w:rsidRPr="004D6753" w:rsidRDefault="00E86926" w:rsidP="00EE3B0F">
            <w:pPr>
              <w:spacing w:before="120"/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>Nachname, Vorname (Jahr) Titel. www.xxxxx (12.10.20)</w:t>
            </w:r>
          </w:p>
          <w:p w14:paraId="6EADFF99" w14:textId="77777777" w:rsidR="00E86926" w:rsidRPr="00824090" w:rsidRDefault="00E86926" w:rsidP="00EE3B0F">
            <w:pPr>
              <w:rPr>
                <w:rFonts w:ascii="Arial Narrow" w:hAnsi="Arial Narrow"/>
                <w:color w:val="0070C0"/>
                <w:sz w:val="28"/>
                <w:szCs w:val="28"/>
                <w:u w:val="single"/>
              </w:rPr>
            </w:pP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 xml:space="preserve">Titel, </w:t>
            </w:r>
            <w:hyperlink r:id="rId8" w:history="1">
              <w:r w:rsidRPr="004D6753">
                <w:rPr>
                  <w:b w:val="0"/>
                  <w:color w:val="CC0099"/>
                  <w:sz w:val="24"/>
                  <w:szCs w:val="24"/>
                </w:rPr>
                <w:t>www.xxxxx</w:t>
              </w:r>
            </w:hyperlink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</w:rPr>
              <w:t xml:space="preserve"> (12.10.19)   </w:t>
            </w:r>
            <w:r w:rsidRPr="004D6753">
              <w:rPr>
                <w:rFonts w:ascii="Arial Narrow" w:hAnsi="Arial Narrow"/>
                <w:b w:val="0"/>
                <w:color w:val="CC0099"/>
                <w:sz w:val="24"/>
                <w:szCs w:val="24"/>
                <w:highlight w:val="yellow"/>
              </w:rPr>
              <w:t>Bitte die Quellen korrekt und vollständig zitieren!!</w:t>
            </w:r>
          </w:p>
        </w:tc>
      </w:tr>
    </w:tbl>
    <w:p w14:paraId="73199C82" w14:textId="77777777" w:rsidR="00E86926" w:rsidRDefault="00E86926" w:rsidP="00E86926">
      <w:pPr>
        <w:spacing w:line="259" w:lineRule="auto"/>
        <w:rPr>
          <w:rFonts w:ascii="Calibri" w:eastAsia="Calibri" w:hAnsi="Calibri" w:cs="Times New Roman"/>
          <w:b w:val="0"/>
          <w:sz w:val="24"/>
          <w:szCs w:val="24"/>
          <w:lang w:eastAsia="en-US"/>
        </w:rPr>
      </w:pPr>
    </w:p>
    <w:p w14:paraId="6615E57E" w14:textId="6B95F65F" w:rsidR="00E86926" w:rsidRPr="004D6753" w:rsidRDefault="00E86926" w:rsidP="00E86926">
      <w:pPr>
        <w:spacing w:line="259" w:lineRule="auto"/>
        <w:rPr>
          <w:rFonts w:ascii="Calibri" w:eastAsia="Calibri" w:hAnsi="Calibri" w:cs="Times New Roman"/>
          <w:b w:val="0"/>
          <w:sz w:val="24"/>
          <w:szCs w:val="24"/>
          <w:lang w:eastAsia="en-US"/>
        </w:rPr>
      </w:pPr>
      <w:r>
        <w:rPr>
          <w:rFonts w:ascii="Calibri" w:eastAsia="Calibri" w:hAnsi="Calibri" w:cs="Times New Roman"/>
          <w:b w:val="0"/>
          <w:sz w:val="24"/>
          <w:szCs w:val="24"/>
          <w:lang w:eastAsia="en-US"/>
        </w:rPr>
        <w:t>WICHTIG:</w:t>
      </w:r>
      <w:r w:rsidRPr="004D6753">
        <w:rPr>
          <w:rFonts w:ascii="Calibri" w:eastAsia="Calibri" w:hAnsi="Calibri" w:cs="Times New Roman"/>
          <w:b w:val="0"/>
          <w:sz w:val="24"/>
          <w:szCs w:val="24"/>
          <w:lang w:eastAsia="en-US"/>
        </w:rPr>
        <w:t xml:space="preserve"> das Handout (auch bei Gruppenreferaten) auf </w:t>
      </w:r>
      <w:r w:rsidRPr="004D6753">
        <w:rPr>
          <w:rFonts w:ascii="Calibri" w:eastAsia="Calibri" w:hAnsi="Calibri" w:cs="Times New Roman"/>
          <w:bCs w:val="0"/>
          <w:sz w:val="24"/>
          <w:szCs w:val="24"/>
          <w:lang w:eastAsia="en-US"/>
        </w:rPr>
        <w:t>eine</w:t>
      </w:r>
      <w:r w:rsidRPr="004D6753">
        <w:rPr>
          <w:rFonts w:ascii="Calibri" w:eastAsia="Calibri" w:hAnsi="Calibri" w:cs="Times New Roman"/>
          <w:b w:val="0"/>
          <w:sz w:val="24"/>
          <w:szCs w:val="24"/>
          <w:lang w:eastAsia="en-US"/>
        </w:rPr>
        <w:t xml:space="preserve"> Seite begrenzen und </w:t>
      </w:r>
      <w:r w:rsidRPr="004D6753">
        <w:rPr>
          <w:rFonts w:ascii="Calibri" w:eastAsia="Calibri" w:hAnsi="Calibri" w:cs="Times New Roman"/>
          <w:bCs w:val="0"/>
          <w:sz w:val="24"/>
          <w:szCs w:val="24"/>
          <w:lang w:eastAsia="en-US"/>
        </w:rPr>
        <w:t>eine Woche</w:t>
      </w:r>
      <w:r w:rsidRPr="004D6753">
        <w:rPr>
          <w:rFonts w:ascii="Calibri" w:eastAsia="Calibri" w:hAnsi="Calibri" w:cs="Times New Roman"/>
          <w:b w:val="0"/>
          <w:sz w:val="24"/>
          <w:szCs w:val="24"/>
          <w:lang w:eastAsia="en-US"/>
        </w:rPr>
        <w:t xml:space="preserve"> vor dem Referat</w:t>
      </w:r>
      <w:r>
        <w:rPr>
          <w:rFonts w:ascii="Calibri" w:eastAsia="Calibri" w:hAnsi="Calibri" w:cs="Times New Roman"/>
          <w:b w:val="0"/>
          <w:sz w:val="24"/>
          <w:szCs w:val="24"/>
          <w:lang w:eastAsia="en-US"/>
        </w:rPr>
        <w:t xml:space="preserve"> an die Dozentin schicken.</w:t>
      </w:r>
    </w:p>
    <w:p w14:paraId="08528880" w14:textId="77777777" w:rsidR="00F56656" w:rsidRDefault="00F56656"/>
    <w:sectPr w:rsidR="00F56656" w:rsidSect="00E869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943D7"/>
    <w:multiLevelType w:val="hybridMultilevel"/>
    <w:tmpl w:val="8DF2F3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425B0"/>
    <w:multiLevelType w:val="hybridMultilevel"/>
    <w:tmpl w:val="E1A2C7C6"/>
    <w:lvl w:ilvl="0" w:tplc="28ACD57E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2963">
    <w:abstractNumId w:val="0"/>
  </w:num>
  <w:num w:numId="2" w16cid:durableId="181471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26"/>
    <w:rsid w:val="00674E8A"/>
    <w:rsid w:val="00E86926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5FA8"/>
  <w15:chartTrackingRefBased/>
  <w15:docId w15:val="{ED0A6E17-E0C2-4B81-9BF1-EC57954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926"/>
    <w:pPr>
      <w:spacing w:after="0" w:line="240" w:lineRule="auto"/>
    </w:pPr>
    <w:rPr>
      <w:rFonts w:ascii="Century" w:eastAsia="Times New Roman" w:hAnsi="Century" w:cs="Arial"/>
      <w:b/>
      <w:bCs/>
      <w:lang w:val="de-D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86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den.de/sprachwissen/sprachratgeber/Geschlechtergerechter-Sprachgebrauch-Doppelnennung-und-Schr%C3%A4gstr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f.de/nachrichten/panorama/selbstbestimmungsgesetz-geschlecht-vorname-aendern-standesamt-100.html" TargetMode="External"/><Relationship Id="rId5" Type="http://schemas.openxmlformats.org/officeDocument/2006/relationships/hyperlink" Target="http://www.bpb.de/politik/grundfragen/politik-einfach-fuer-alle/236724/die-wuerde-des-menschen-ist-unantastb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</cp:revision>
  <dcterms:created xsi:type="dcterms:W3CDTF">2022-10-18T10:58:00Z</dcterms:created>
  <dcterms:modified xsi:type="dcterms:W3CDTF">2022-10-18T11:00:00Z</dcterms:modified>
</cp:coreProperties>
</file>