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39" w:rsidRPr="00261939" w:rsidRDefault="00261939" w:rsidP="000C76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</w:pPr>
      <w:r w:rsidRPr="0026193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En un </w:t>
      </w:r>
      <w:proofErr w:type="spellStart"/>
      <w:r w:rsidRPr="0026193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lugar</w:t>
      </w:r>
      <w:proofErr w:type="spellEnd"/>
      <w:r w:rsidRPr="0026193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 xml:space="preserve"> de la </w:t>
      </w:r>
      <w:proofErr w:type="spellStart"/>
      <w:r w:rsidRPr="00261939">
        <w:rPr>
          <w:rFonts w:ascii="Times New Roman" w:eastAsia="Times New Roman" w:hAnsi="Times New Roman" w:cs="Times New Roman"/>
          <w:b/>
          <w:bCs/>
          <w:i/>
          <w:iCs/>
          <w:color w:val="111111"/>
          <w:kern w:val="36"/>
          <w:sz w:val="28"/>
          <w:szCs w:val="28"/>
          <w:lang w:eastAsia="it-IT"/>
        </w:rPr>
        <w:t>Mancha</w:t>
      </w:r>
      <w:proofErr w:type="spellEnd"/>
    </w:p>
    <w:p w:rsidR="00261939" w:rsidRPr="00261939" w:rsidRDefault="00261939" w:rsidP="000C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  <w:r w:rsidRPr="00261939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it-IT"/>
        </w:rPr>
        <w:drawing>
          <wp:inline distT="0" distB="0" distL="0" distR="0" wp14:anchorId="61C610AA" wp14:editId="765E4944">
            <wp:extent cx="952500" cy="952500"/>
            <wp:effectExtent l="0" t="0" r="0" b="0"/>
            <wp:docPr id="1" name="Picture 1" descr="Andrés Trap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és Trapie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39" w:rsidRPr="00261939" w:rsidRDefault="00261939" w:rsidP="000C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it-IT"/>
        </w:rPr>
      </w:pPr>
      <w:hyperlink r:id="rId5" w:anchor="?rel=author_top" w:tooltip="Ver todas las noticias de Andrés Trapiello" w:history="1">
        <w:r w:rsidRPr="00261939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u w:val="single"/>
            <w:lang w:eastAsia="it-IT"/>
          </w:rPr>
          <w:t>ANDRÉS TRAPIELLO</w:t>
        </w:r>
      </w:hyperlink>
    </w:p>
    <w:p w:rsidR="00261939" w:rsidRPr="00261939" w:rsidRDefault="00261939" w:rsidP="000C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it-IT"/>
        </w:rPr>
      </w:pPr>
      <w:hyperlink r:id="rId6" w:history="1">
        <w:r w:rsidRPr="00261939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it-IT"/>
          </w:rPr>
          <w:t>23 ABR 1998 - 00:00 CEST</w:t>
        </w:r>
      </w:hyperlink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"En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lugar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Mancha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cuyo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nombre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quiero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acordarme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..." es,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sabe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incluso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aquellos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la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leído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principio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admirable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irrepetible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novela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escrito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paradójico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sin embargo, 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hallaremos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firme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cumplida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comienzo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vacilante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vago y poco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prometedor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clase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ambigüedades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misteriosas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omisiones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está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lleno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duda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hecho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historia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concienzudamente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editada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escrutada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estudiada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interpretada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nuestra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literatura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Decía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Chesterton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san Juan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pudieran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comentarios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hecho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Apocalipsis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sobrevendría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gram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 risa</w:t>
      </w:r>
      <w:proofErr w:type="gram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cólico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miserere,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espantados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monstruos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bestias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según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escoliastas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teólogos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habían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echado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encima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cristiandad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juego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espejos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en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perpetuación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hidalgo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enloqueció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leyendo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novelas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caballería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propiciado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pequeños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desquiciado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páginas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escudriñando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creído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significados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ocultos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claves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venganzas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su autor contra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éste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aquél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alusiones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venenosas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taimadas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ocultaciones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vergonzantes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naturaleza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turbia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mil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pequeños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asuntos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trascendentales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irrelevantes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Hace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treinta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años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críticos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académicos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profesores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celebraron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centenario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muerte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Velázquez con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monumentales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dio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título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Varia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velazqueña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colaboraciones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razonablemente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serias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olvidaban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tema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tratado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allí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era Velázquez, pero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parece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constante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humanidad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hombres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genio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convoquen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gentes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juicio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descacharrado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intención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acometen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realidad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inverosímil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trabajos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singular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analizaba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cuadro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hilanderas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Como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recordará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esta pintura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mostraba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añadido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quienes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creyeron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mejorarla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siglo XVIII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cosiendo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la tela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original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figuraba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ventanas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llamadas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ojo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buey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Sólo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hace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poco se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sabido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ésta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pintada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Velázquez, pero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entonces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este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pormenor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ignoraba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obstante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aquel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estudioso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centró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precisamente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ensayo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ojo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buey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encontraba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importante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composición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tesis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probaba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una serie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gráficos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alambicadas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triangulaciones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probaban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manera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irrefutable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canon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aúlico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Velázquez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seguido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pintar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cuadro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engañosamente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sencillo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tema da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hablar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lee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haya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decir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hyperlink r:id="rId7" w:anchor="/campaign?cid=ZWxwYWlzX3JlZGFjY2lvbl9ta3Rjb250ZW50X2VkaXRvcmlhbF9jdGFzZWNjaW9uX29waW5pb25fRVM=&amp;prod=SUSDIG&amp;o=susdig_camp&amp;prm=nwl_suscrip_cta_articulo_Subscription_espa%C3%B1a" w:history="1">
        <w:r w:rsidRPr="00261939">
          <w:rPr>
            <w:rFonts w:ascii="Times New Roman" w:eastAsia="Times New Roman" w:hAnsi="Times New Roman" w:cs="Times New Roman"/>
            <w:b/>
            <w:bCs/>
            <w:caps/>
            <w:color w:val="0000FF"/>
            <w:sz w:val="28"/>
            <w:szCs w:val="28"/>
            <w:u w:val="single"/>
            <w:shd w:val="clear" w:color="auto" w:fill="F7CF3C"/>
            <w:lang w:eastAsia="it-IT"/>
          </w:rPr>
          <w:t>SUSCRÍBETE AQUÍ</w:t>
        </w:r>
      </w:hyperlink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lastRenderedPageBreak/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y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extensión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propio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Cervantes,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apenas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conocemos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docena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hechos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éstos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tampoco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demasiado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significativos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alumbren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personalidad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se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prestado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antiguo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interpretaciones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igualmente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demenciales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algún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fundamento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escaso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ninguno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Cada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época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proyectado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libro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propios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acuciantes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problemas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ejemplo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hecho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sucesivamente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Cervantes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judío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homosexual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basados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razonables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indicios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cuestiones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punto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irrelevantes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por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menudo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disputas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partidarios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detractores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cada una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doctrinas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enconadas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llevado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protagonistas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actitudes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poco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cervantinas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verdad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guerras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departamentos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universitarios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conjuras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filólogos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cervantistas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zancadillas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puñaladas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traperas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oscuros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congresos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remotas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ciudades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...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misterioso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veces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ni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siquiera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estaban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juego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interpretaciones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carácter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humanístico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literario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casos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Unamuno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Ortega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Gasset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Américo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Castro, sino la tilde de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letra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gram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una coma</w:t>
      </w:r>
      <w:proofErr w:type="gram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mal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puesta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nombre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primo del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tabernero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cuya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mujer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autor de Cervantes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tuvo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hija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cuestión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llegan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primordial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sentido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libro,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sólo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calibre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insultos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podido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cruzarse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uno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otro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bando.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Así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cada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generación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creído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lectura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era, si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única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sí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aguda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inteligente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pero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siguiendo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trabajos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estudiosos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tiene uno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sensación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importado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llevarlos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cabo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precisamente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ni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libro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representar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para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realidad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para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cuestión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abstracta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especulativa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imprevisibles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apocalípticos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resultados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Podría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escribirse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creo, un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buen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relato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chestertonlano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enfrentara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cosas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dicho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Cervantes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hiciese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frente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enormidades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biógrafos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dieron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irrebatibles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probables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lo largo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historia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cierto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buena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parte de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conocemos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hoy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de su autor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llegado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nuestras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sin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dedicación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honestamente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entregaron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la penosa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tarea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desbrozarnos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camino, pero no lo 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menos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bookmarkStart w:id="0" w:name="_GoBack"/>
      <w:bookmarkEnd w:id="0"/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también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puede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sin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haber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leído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una sola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línea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Ésa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grandeza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Celebramos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días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aparición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una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nueva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monumental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edición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responsables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enorgullecen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justicia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Pero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debemos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olvidar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palabras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Manuel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Azaña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su Cervantes y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invención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uno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textos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importantes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escritos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nunca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sobre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libro,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ausente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cierto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babélica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bibliografía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esta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edición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adjunta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cuando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afirmaba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interesaba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eran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"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unas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formas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expresadas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nadie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".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palabra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ha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mantenernos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todos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alejados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prudencial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distancia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triangulaciones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. Por fortuna, y pese al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esfuerzo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contrario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muchos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han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llegado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pensar,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colmo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vanidad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lo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su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trabajo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Quijote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sigue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siendo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lugar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en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el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cada uno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nosotros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cree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hallar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solaz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y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respuesta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nuestras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más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íntimas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tribulaciones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y 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porque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de la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vida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sino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lastRenderedPageBreak/>
        <w:t>porque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nos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devuelve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a ella y a ella nos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liga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religa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como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un texto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sagrado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ya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Dios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de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existir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existiría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siempre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antes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sus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sacerdotes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, por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muy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santos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que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estos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sean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.</w:t>
      </w:r>
    </w:p>
    <w:p w:rsidR="00261939" w:rsidRPr="00261939" w:rsidRDefault="00261939" w:rsidP="000C76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</w:pP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Ándrés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Trapiello</w:t>
      </w:r>
      <w:proofErr w:type="spellEnd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 xml:space="preserve"> es </w:t>
      </w:r>
      <w:proofErr w:type="spellStart"/>
      <w:r w:rsidRPr="00261939">
        <w:rPr>
          <w:rFonts w:ascii="Times New Roman" w:eastAsia="Times New Roman" w:hAnsi="Times New Roman" w:cs="Times New Roman"/>
          <w:color w:val="191919"/>
          <w:sz w:val="28"/>
          <w:szCs w:val="28"/>
          <w:lang w:eastAsia="it-IT"/>
        </w:rPr>
        <w:t>escritor</w:t>
      </w:r>
      <w:proofErr w:type="spellEnd"/>
    </w:p>
    <w:p w:rsidR="0015167E" w:rsidRPr="000C76C1" w:rsidRDefault="0015167E" w:rsidP="000C76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67E" w:rsidRPr="000C7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39"/>
    <w:rsid w:val="000C76C1"/>
    <w:rsid w:val="0015167E"/>
    <w:rsid w:val="0026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5E848-D3F2-42CD-AB84-41CB078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A4A4A"/>
                <w:right w:val="none" w:sz="0" w:space="0" w:color="auto"/>
              </w:divBdr>
            </w:div>
          </w:divsChild>
        </w:div>
        <w:div w:id="1742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services.krxd.net/click_tracker/track?kx_event_uid=N0syfYIF&amp;kx_distribuidor=redaccion&amp;kx_origen=elpais&amp;kx_disciplina=editorial&amp;kx_formato=ctaseccion&amp;kx_creatividad=opinion&amp;kx_formato_creatividad=ctaseccion_opinion&amp;kx_landing_destino=ES&amp;clk=https://elpais.com/landing_ofer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pais.com/hemeroteca/1998-04-22/" TargetMode="External"/><Relationship Id="rId5" Type="http://schemas.openxmlformats.org/officeDocument/2006/relationships/hyperlink" Target="https://elpais.com/autor/andres-trapiell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2</cp:revision>
  <dcterms:created xsi:type="dcterms:W3CDTF">2022-11-21T14:51:00Z</dcterms:created>
  <dcterms:modified xsi:type="dcterms:W3CDTF">2022-11-21T14:52:00Z</dcterms:modified>
</cp:coreProperties>
</file>