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DB" w:rsidRPr="00827BDB" w:rsidRDefault="00827BDB" w:rsidP="00827BDB">
      <w:pPr>
        <w:jc w:val="both"/>
        <w:rPr>
          <w:rFonts w:ascii="Times New Roman" w:hAnsi="Times New Roman" w:cs="Times New Roman"/>
          <w:sz w:val="24"/>
          <w:szCs w:val="24"/>
        </w:rPr>
      </w:pPr>
      <w:r w:rsidRPr="00827BDB">
        <w:rPr>
          <w:rFonts w:ascii="Times New Roman" w:hAnsi="Times New Roman" w:cs="Times New Roman"/>
          <w:sz w:val="24"/>
          <w:szCs w:val="24"/>
        </w:rPr>
        <w:t xml:space="preserve">      TAB.  – </w:t>
      </w:r>
      <w:r>
        <w:rPr>
          <w:rFonts w:ascii="Times New Roman" w:hAnsi="Times New Roman" w:cs="Times New Roman"/>
          <w:sz w:val="24"/>
          <w:szCs w:val="24"/>
        </w:rPr>
        <w:t>Organizzazione dell’amministrazione coloniale ed e</w:t>
      </w:r>
      <w:r w:rsidRPr="00827BDB">
        <w:rPr>
          <w:rFonts w:ascii="Times New Roman" w:hAnsi="Times New Roman" w:cs="Times New Roman"/>
          <w:sz w:val="24"/>
          <w:szCs w:val="24"/>
        </w:rPr>
        <w:t>ffetti sulle società africane</w:t>
      </w:r>
    </w:p>
    <w:tbl>
      <w:tblPr>
        <w:tblStyle w:val="Grigliatabella"/>
        <w:tblW w:w="10124" w:type="dxa"/>
        <w:tblInd w:w="360" w:type="dxa"/>
        <w:tblLook w:val="04A0" w:firstRow="1" w:lastRow="0" w:firstColumn="1" w:lastColumn="0" w:noHBand="0" w:noVBand="1"/>
      </w:tblPr>
      <w:tblGrid>
        <w:gridCol w:w="2329"/>
        <w:gridCol w:w="2551"/>
        <w:gridCol w:w="2551"/>
        <w:gridCol w:w="2693"/>
      </w:tblGrid>
      <w:tr w:rsidR="00AA75E1" w:rsidRPr="00D87D12" w:rsidTr="007A1D55">
        <w:tc>
          <w:tcPr>
            <w:tcW w:w="2329" w:type="dxa"/>
          </w:tcPr>
          <w:p w:rsidR="00AA75E1" w:rsidRPr="00AA75E1" w:rsidRDefault="00AA75E1" w:rsidP="00AA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E1">
              <w:rPr>
                <w:rFonts w:ascii="Times New Roman" w:hAnsi="Times New Roman" w:cs="Times New Roman"/>
                <w:b/>
                <w:sz w:val="24"/>
                <w:szCs w:val="24"/>
              </w:rPr>
              <w:t>A-Aree “utili”</w:t>
            </w:r>
            <w:r w:rsidRPr="00AA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E1">
              <w:rPr>
                <w:rFonts w:ascii="Times New Roman" w:hAnsi="Times New Roman" w:cs="Times New Roman"/>
                <w:sz w:val="20"/>
                <w:szCs w:val="20"/>
              </w:rPr>
              <w:t>(trasformate dal colonialismo, a forte intensità burocratica)</w:t>
            </w:r>
          </w:p>
        </w:tc>
        <w:tc>
          <w:tcPr>
            <w:tcW w:w="2551" w:type="dxa"/>
          </w:tcPr>
          <w:p w:rsidR="00AA75E1" w:rsidRPr="00AA75E1" w:rsidRDefault="00AA75E1" w:rsidP="00AA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5E1" w:rsidRPr="00AA75E1" w:rsidRDefault="009046E7" w:rsidP="00AA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Società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centralizzate</w:t>
            </w:r>
            <w:proofErr w:type="spellEnd"/>
          </w:p>
        </w:tc>
        <w:tc>
          <w:tcPr>
            <w:tcW w:w="2693" w:type="dxa"/>
          </w:tcPr>
          <w:p w:rsidR="00AA75E1" w:rsidRPr="00AA75E1" w:rsidRDefault="009046E7" w:rsidP="00AA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Società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segmentarie</w:t>
            </w:r>
            <w:proofErr w:type="spellEnd"/>
          </w:p>
        </w:tc>
      </w:tr>
      <w:tr w:rsidR="00AA75E1" w:rsidRPr="00D87D12" w:rsidTr="007A1D55">
        <w:tc>
          <w:tcPr>
            <w:tcW w:w="2329" w:type="dxa"/>
          </w:tcPr>
          <w:p w:rsidR="00AA75E1" w:rsidRPr="00AA75E1" w:rsidRDefault="00AA75E1" w:rsidP="00AA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E1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2551" w:type="dxa"/>
          </w:tcPr>
          <w:p w:rsidR="00AA75E1" w:rsidRPr="00AA75E1" w:rsidRDefault="00AA75E1" w:rsidP="00AA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Presenza di </w:t>
            </w:r>
            <w:proofErr w:type="spellStart"/>
            <w:r w:rsidRPr="00AA75E1">
              <w:rPr>
                <w:rFonts w:ascii="Times New Roman" w:hAnsi="Times New Roman" w:cs="Times New Roman"/>
                <w:i/>
                <w:sz w:val="24"/>
                <w:szCs w:val="24"/>
              </w:rPr>
              <w:t>settlers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imprese europee</w:t>
            </w:r>
          </w:p>
        </w:tc>
        <w:tc>
          <w:tcPr>
            <w:tcW w:w="2551" w:type="dxa"/>
          </w:tcPr>
          <w:p w:rsidR="00AA75E1" w:rsidRDefault="009046E7" w:rsidP="009046E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46E7">
              <w:rPr>
                <w:rFonts w:ascii="Times New Roman" w:hAnsi="Times New Roman" w:cs="Times New Roman"/>
                <w:sz w:val="20"/>
                <w:szCs w:val="20"/>
              </w:rPr>
              <w:t>Interessi economici europei</w:t>
            </w:r>
          </w:p>
          <w:p w:rsidR="009046E7" w:rsidRPr="009046E7" w:rsidRDefault="009046E7" w:rsidP="009046E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Subordinazione dei sistemi consuetudinari</w:t>
            </w:r>
          </w:p>
        </w:tc>
        <w:tc>
          <w:tcPr>
            <w:tcW w:w="2693" w:type="dxa"/>
          </w:tcPr>
          <w:p w:rsidR="00AA75E1" w:rsidRPr="00AA75E1" w:rsidRDefault="009046E7" w:rsidP="0090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Idem</w:t>
            </w:r>
            <w:r w:rsidR="007A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D55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="007A1D55">
              <w:rPr>
                <w:rFonts w:ascii="Times New Roman" w:hAnsi="Times New Roman" w:cs="Times New Roman"/>
                <w:sz w:val="24"/>
                <w:szCs w:val="24"/>
              </w:rPr>
              <w:t>. centralizzate</w:t>
            </w:r>
          </w:p>
        </w:tc>
      </w:tr>
      <w:tr w:rsidR="00205033" w:rsidRPr="00D87D12" w:rsidTr="007A1D55">
        <w:tc>
          <w:tcPr>
            <w:tcW w:w="2329" w:type="dxa"/>
          </w:tcPr>
          <w:p w:rsidR="00205033" w:rsidRPr="00205033" w:rsidRDefault="00205033" w:rsidP="00A410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5033">
              <w:rPr>
                <w:rFonts w:ascii="Times New Roman" w:hAnsi="Times New Roman" w:cs="Times New Roman"/>
                <w:i/>
                <w:sz w:val="20"/>
                <w:szCs w:val="20"/>
              </w:rPr>
              <w:t>esempi</w:t>
            </w:r>
          </w:p>
        </w:tc>
        <w:tc>
          <w:tcPr>
            <w:tcW w:w="2551" w:type="dxa"/>
          </w:tcPr>
          <w:p w:rsidR="00205033" w:rsidRPr="00AA75E1" w:rsidRDefault="00205033" w:rsidP="00A4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33" w:rsidRPr="007A1D55" w:rsidRDefault="007A1D55" w:rsidP="007A1D55">
            <w:pPr>
              <w:pStyle w:val="Paragrafoelenc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D55">
              <w:rPr>
                <w:rFonts w:ascii="Times New Roman" w:hAnsi="Times New Roman" w:cs="Times New Roman"/>
                <w:i/>
                <w:sz w:val="20"/>
                <w:szCs w:val="20"/>
              </w:rPr>
              <w:t>Rhodesia meridionale</w:t>
            </w:r>
          </w:p>
        </w:tc>
        <w:tc>
          <w:tcPr>
            <w:tcW w:w="2693" w:type="dxa"/>
          </w:tcPr>
          <w:p w:rsidR="00205033" w:rsidRPr="007A1D55" w:rsidRDefault="007A1D55" w:rsidP="007A1D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D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Aree </w:t>
            </w:r>
            <w:proofErr w:type="spellStart"/>
            <w:r w:rsidRPr="007A1D55">
              <w:rPr>
                <w:rFonts w:ascii="Times New Roman" w:hAnsi="Times New Roman" w:cs="Times New Roman"/>
                <w:i/>
                <w:sz w:val="20"/>
                <w:szCs w:val="20"/>
              </w:rPr>
              <w:t>gikuyu</w:t>
            </w:r>
            <w:proofErr w:type="spellEnd"/>
          </w:p>
        </w:tc>
      </w:tr>
      <w:tr w:rsidR="007A1D55" w:rsidRPr="00D87D12" w:rsidTr="007A1D55">
        <w:tc>
          <w:tcPr>
            <w:tcW w:w="2329" w:type="dxa"/>
          </w:tcPr>
          <w:p w:rsidR="007A1D55" w:rsidRPr="00AA75E1" w:rsidRDefault="007A1D55" w:rsidP="007A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E1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2551" w:type="dxa"/>
          </w:tcPr>
          <w:p w:rsidR="007A1D55" w:rsidRPr="00AA75E1" w:rsidRDefault="007A1D55" w:rsidP="007A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Assenza di </w:t>
            </w:r>
            <w:proofErr w:type="spellStart"/>
            <w:r w:rsidRPr="00AA75E1">
              <w:rPr>
                <w:rFonts w:ascii="Times New Roman" w:hAnsi="Times New Roman" w:cs="Times New Roman"/>
                <w:i/>
                <w:sz w:val="24"/>
                <w:szCs w:val="24"/>
              </w:rPr>
              <w:t>settlers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imprese europee</w:t>
            </w:r>
            <w:r w:rsidR="00694E39">
              <w:rPr>
                <w:rFonts w:ascii="Times New Roman" w:hAnsi="Times New Roman" w:cs="Times New Roman"/>
                <w:sz w:val="24"/>
                <w:szCs w:val="24"/>
              </w:rPr>
              <w:t xml:space="preserve"> importanti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A1D55" w:rsidRPr="009046E7" w:rsidRDefault="007A1D55" w:rsidP="007A1D55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046E7">
              <w:rPr>
                <w:rFonts w:ascii="Times New Roman" w:hAnsi="Times New Roman" w:cs="Times New Roman"/>
                <w:sz w:val="20"/>
                <w:szCs w:val="20"/>
              </w:rPr>
              <w:t>Cooptazione dei sistemi consuetudinari</w:t>
            </w:r>
            <w:r w:rsidR="00694E39">
              <w:rPr>
                <w:rFonts w:ascii="Times New Roman" w:hAnsi="Times New Roman" w:cs="Times New Roman"/>
                <w:sz w:val="20"/>
                <w:szCs w:val="20"/>
              </w:rPr>
              <w:t xml:space="preserve"> e loro trasformazione</w:t>
            </w:r>
          </w:p>
        </w:tc>
        <w:tc>
          <w:tcPr>
            <w:tcW w:w="2693" w:type="dxa"/>
          </w:tcPr>
          <w:p w:rsidR="007A1D55" w:rsidRPr="00694E39" w:rsidRDefault="00694E39" w:rsidP="00694E3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4E39">
              <w:rPr>
                <w:rFonts w:ascii="Times New Roman" w:hAnsi="Times New Roman" w:cs="Times New Roman"/>
                <w:sz w:val="20"/>
                <w:szCs w:val="20"/>
              </w:rPr>
              <w:t>Indebolimento dei sistemi consuetudinari e nuovi intermediari</w:t>
            </w:r>
          </w:p>
        </w:tc>
      </w:tr>
      <w:tr w:rsidR="007A1D55" w:rsidRPr="00D87D12" w:rsidTr="007A1D55">
        <w:tc>
          <w:tcPr>
            <w:tcW w:w="2329" w:type="dxa"/>
          </w:tcPr>
          <w:p w:rsidR="007A1D55" w:rsidRPr="00205033" w:rsidRDefault="007A1D55" w:rsidP="00A410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5033">
              <w:rPr>
                <w:rFonts w:ascii="Times New Roman" w:hAnsi="Times New Roman" w:cs="Times New Roman"/>
                <w:i/>
                <w:sz w:val="20"/>
                <w:szCs w:val="20"/>
              </w:rPr>
              <w:t>esempi</w:t>
            </w:r>
          </w:p>
        </w:tc>
        <w:tc>
          <w:tcPr>
            <w:tcW w:w="2551" w:type="dxa"/>
          </w:tcPr>
          <w:p w:rsidR="007A1D55" w:rsidRPr="00AA75E1" w:rsidRDefault="007A1D55" w:rsidP="00A4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1D55" w:rsidRPr="007A1D55" w:rsidRDefault="007A1D55" w:rsidP="00A4106B">
            <w:pPr>
              <w:pStyle w:val="Paragrafoelenc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Buganda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mailo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); Ashanti</w:t>
            </w:r>
          </w:p>
        </w:tc>
        <w:tc>
          <w:tcPr>
            <w:tcW w:w="2693" w:type="dxa"/>
          </w:tcPr>
          <w:p w:rsidR="007A1D55" w:rsidRPr="007A1D55" w:rsidRDefault="007A1D55" w:rsidP="007A1D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D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Aree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igbo</w:t>
            </w:r>
            <w:proofErr w:type="spellEnd"/>
          </w:p>
        </w:tc>
      </w:tr>
      <w:tr w:rsidR="00AA75E1" w:rsidRPr="00AA75E1" w:rsidTr="007A1D55">
        <w:tc>
          <w:tcPr>
            <w:tcW w:w="2329" w:type="dxa"/>
          </w:tcPr>
          <w:p w:rsidR="00AA75E1" w:rsidRPr="00AA75E1" w:rsidRDefault="00AA75E1" w:rsidP="00AA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E1">
              <w:rPr>
                <w:rFonts w:ascii="Times New Roman" w:hAnsi="Times New Roman" w:cs="Times New Roman"/>
                <w:b/>
                <w:sz w:val="24"/>
                <w:szCs w:val="24"/>
              </w:rPr>
              <w:t>B-Aree “inutili”</w:t>
            </w:r>
            <w:r w:rsidRPr="00AA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5033">
              <w:rPr>
                <w:rFonts w:ascii="Times New Roman" w:hAnsi="Times New Roman" w:cs="Times New Roman"/>
                <w:sz w:val="20"/>
                <w:szCs w:val="20"/>
              </w:rPr>
              <w:t xml:space="preserve">periferiche; </w:t>
            </w:r>
            <w:r w:rsidRPr="00AA75E1">
              <w:rPr>
                <w:rFonts w:ascii="Times New Roman" w:hAnsi="Times New Roman" w:cs="Times New Roman"/>
                <w:sz w:val="20"/>
                <w:szCs w:val="20"/>
              </w:rPr>
              <w:t>governo prevalentemente militare)</w:t>
            </w:r>
          </w:p>
        </w:tc>
        <w:tc>
          <w:tcPr>
            <w:tcW w:w="2551" w:type="dxa"/>
          </w:tcPr>
          <w:p w:rsidR="00AA75E1" w:rsidRPr="00AA75E1" w:rsidRDefault="00AA75E1" w:rsidP="00AA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E1">
              <w:rPr>
                <w:rFonts w:ascii="Times New Roman" w:hAnsi="Times New Roman" w:cs="Times New Roman"/>
                <w:sz w:val="24"/>
                <w:szCs w:val="24"/>
              </w:rPr>
              <w:t>Aree “inutili” (governo prevalentemente militare)</w:t>
            </w:r>
          </w:p>
        </w:tc>
        <w:tc>
          <w:tcPr>
            <w:tcW w:w="2551" w:type="dxa"/>
          </w:tcPr>
          <w:p w:rsidR="00AA75E1" w:rsidRPr="00205033" w:rsidRDefault="00205033" w:rsidP="00205033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Preservazione integrale sistemi consuetudinari</w:t>
            </w:r>
          </w:p>
        </w:tc>
        <w:tc>
          <w:tcPr>
            <w:tcW w:w="2693" w:type="dxa"/>
          </w:tcPr>
          <w:p w:rsidR="00AA75E1" w:rsidRPr="00205033" w:rsidRDefault="00205033" w:rsidP="00205033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Preservazione sistemi consuetudinari ma subordinati al principio d’ordine</w:t>
            </w:r>
          </w:p>
        </w:tc>
      </w:tr>
      <w:tr w:rsidR="007A1D55" w:rsidRPr="00D87D12" w:rsidTr="007A1D55">
        <w:tc>
          <w:tcPr>
            <w:tcW w:w="2329" w:type="dxa"/>
          </w:tcPr>
          <w:p w:rsidR="007A1D55" w:rsidRPr="00205033" w:rsidRDefault="007A1D55" w:rsidP="00A410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5033">
              <w:rPr>
                <w:rFonts w:ascii="Times New Roman" w:hAnsi="Times New Roman" w:cs="Times New Roman"/>
                <w:i/>
                <w:sz w:val="20"/>
                <w:szCs w:val="20"/>
              </w:rPr>
              <w:t>esempi</w:t>
            </w:r>
          </w:p>
        </w:tc>
        <w:tc>
          <w:tcPr>
            <w:tcW w:w="2551" w:type="dxa"/>
          </w:tcPr>
          <w:p w:rsidR="007A1D55" w:rsidRPr="00AA75E1" w:rsidRDefault="007A1D55" w:rsidP="00A4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1D55" w:rsidRPr="007A1D55" w:rsidRDefault="007A1D55" w:rsidP="00A4106B">
            <w:pPr>
              <w:pStyle w:val="Paragrafoelenc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Barotseland</w:t>
            </w:r>
            <w:proofErr w:type="spellEnd"/>
          </w:p>
        </w:tc>
        <w:tc>
          <w:tcPr>
            <w:tcW w:w="2693" w:type="dxa"/>
          </w:tcPr>
          <w:p w:rsidR="007A1D55" w:rsidRPr="007A1D55" w:rsidRDefault="007A1D55" w:rsidP="00A410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NEP (Kenya); Nord Uganda</w:t>
            </w:r>
          </w:p>
        </w:tc>
      </w:tr>
    </w:tbl>
    <w:p w:rsidR="00A70520" w:rsidRPr="00AA75E1" w:rsidRDefault="00A70520"/>
    <w:sectPr w:rsidR="00A70520" w:rsidRPr="00AA7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0537"/>
    <w:multiLevelType w:val="hybridMultilevel"/>
    <w:tmpl w:val="0F5A43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C3650"/>
    <w:multiLevelType w:val="hybridMultilevel"/>
    <w:tmpl w:val="ACF0EB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54189E"/>
    <w:multiLevelType w:val="hybridMultilevel"/>
    <w:tmpl w:val="6A6C33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5614C"/>
    <w:multiLevelType w:val="hybridMultilevel"/>
    <w:tmpl w:val="498A98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CC43F3"/>
    <w:multiLevelType w:val="hybridMultilevel"/>
    <w:tmpl w:val="9CB8AE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DB"/>
    <w:rsid w:val="00205033"/>
    <w:rsid w:val="00694E39"/>
    <w:rsid w:val="007A1D55"/>
    <w:rsid w:val="00827BDB"/>
    <w:rsid w:val="009046E7"/>
    <w:rsid w:val="00A70520"/>
    <w:rsid w:val="00A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FF31"/>
  <w15:chartTrackingRefBased/>
  <w15:docId w15:val="{EDDC348C-368B-42DE-8999-4497342A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7B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BATTERA FEDERICO</cp:lastModifiedBy>
  <cp:revision>2</cp:revision>
  <dcterms:created xsi:type="dcterms:W3CDTF">2021-10-19T10:42:00Z</dcterms:created>
  <dcterms:modified xsi:type="dcterms:W3CDTF">2021-10-19T10:42:00Z</dcterms:modified>
</cp:coreProperties>
</file>