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000000" w:themeColor="text1"/>
          <w:kern w:val="2"/>
          <w:lang w:eastAsia="en-US"/>
          <w14:ligatures w14:val="standardContextual"/>
        </w:rPr>
        <w:id w:val="-484700746"/>
        <w:docPartObj>
          <w:docPartGallery w:val="Cover Pages"/>
          <w:docPartUnique/>
        </w:docPartObj>
      </w:sdtPr>
      <w:sdtEndPr>
        <w:rPr>
          <w:rStyle w:val="Collegamentoipertestuale"/>
          <w:b/>
          <w:bCs/>
          <w:i/>
          <w:iCs/>
          <w:caps/>
          <w:u w:val="single"/>
        </w:rPr>
      </w:sdtEndPr>
      <w:sdtContent>
        <w:p w14:paraId="4DC7FE4A" w14:textId="69515DF6" w:rsidR="00034A71" w:rsidRPr="005703FE" w:rsidRDefault="00034A71">
          <w:pPr>
            <w:pStyle w:val="Nessunaspaziatura"/>
            <w:spacing w:before="1540" w:after="240"/>
            <w:jc w:val="center"/>
            <w:rPr>
              <w:color w:val="000000" w:themeColor="text1"/>
            </w:rPr>
          </w:pPr>
          <w:r w:rsidRPr="005703FE">
            <w:rPr>
              <w:noProof/>
              <w:color w:val="000000" w:themeColor="text1"/>
            </w:rPr>
            <w:drawing>
              <wp:inline distT="0" distB="0" distL="0" distR="0" wp14:anchorId="7DD886AB" wp14:editId="5D0F165C">
                <wp:extent cx="6152443" cy="2460977"/>
                <wp:effectExtent l="0" t="0" r="1270" b="0"/>
                <wp:docPr id="143" name="Immagin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" name="Immagine 143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28608" cy="25314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Times New Roman" w:eastAsiaTheme="majorEastAsia" w:hAnsi="Times New Roman" w:cs="Times New Roman"/>
              <w:i/>
              <w:iCs/>
              <w:caps/>
              <w:color w:val="000000" w:themeColor="text1"/>
              <w:sz w:val="72"/>
              <w:szCs w:val="72"/>
            </w:rPr>
            <w:alias w:val="Titolo"/>
            <w:tag w:val=""/>
            <w:id w:val="1735040861"/>
            <w:placeholder>
              <w:docPart w:val="D28BA32E09C54CA9978756F85E6C0CD9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0C734317" w14:textId="38E8B8E6" w:rsidR="00034A71" w:rsidRPr="005703FE" w:rsidRDefault="00F16DE4">
              <w:pPr>
                <w:pStyle w:val="Nessunaspaziatur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80"/>
                  <w:szCs w:val="80"/>
                </w:rPr>
              </w:pPr>
              <w:r w:rsidRPr="005F1574">
                <w:rPr>
                  <w:rFonts w:ascii="Times New Roman" w:eastAsiaTheme="majorEastAsia" w:hAnsi="Times New Roman" w:cs="Times New Roman"/>
                  <w:i/>
                  <w:iCs/>
                  <w:caps/>
                  <w:color w:val="000000" w:themeColor="text1"/>
                  <w:sz w:val="72"/>
                  <w:szCs w:val="72"/>
                </w:rPr>
                <w:t>Istruzione, formazione e apprendimento permanente</w:t>
              </w:r>
            </w:p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alias w:val="Sottotitolo"/>
            <w:tag w:val=""/>
            <w:id w:val="328029620"/>
            <w:placeholder>
              <w:docPart w:val="09F2E52DE4CA477586E5BFBC61A0760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3CE1738A" w14:textId="29D4BB82" w:rsidR="00034A71" w:rsidRPr="005703FE" w:rsidRDefault="005703FE">
              <w:pPr>
                <w:pStyle w:val="Nessunaspaziatura"/>
                <w:jc w:val="center"/>
                <w:rPr>
                  <w:color w:val="000000" w:themeColor="text1"/>
                  <w:sz w:val="28"/>
                  <w:szCs w:val="28"/>
                </w:rPr>
              </w:pPr>
              <w:r w:rsidRPr="005F157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Elaborato Politica economica internazionale</w:t>
              </w:r>
            </w:p>
          </w:sdtContent>
        </w:sdt>
        <w:p w14:paraId="301A5917" w14:textId="77777777" w:rsidR="00034A71" w:rsidRPr="005703FE" w:rsidRDefault="00034A71">
          <w:pPr>
            <w:pStyle w:val="Nessunaspaziatura"/>
            <w:spacing w:before="480"/>
            <w:jc w:val="center"/>
            <w:rPr>
              <w:color w:val="000000" w:themeColor="text1"/>
            </w:rPr>
          </w:pPr>
          <w:r w:rsidRPr="005703FE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4DC99D6" wp14:editId="2E0689E0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asella di tes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caps/>
                                    <w:sz w:val="28"/>
                                    <w:szCs w:val="28"/>
                                  </w:rPr>
                                  <w:alias w:val="Data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3-07-06T00:00:00Z">
                                    <w:dateFormat w:val="d MMMM yyyy"/>
                                    <w:lid w:val="it-IT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4B29A767" w14:textId="442274CF" w:rsidR="00034A71" w:rsidRPr="005F1574" w:rsidRDefault="005703FE">
                                    <w:pPr>
                                      <w:pStyle w:val="Nessunaspaziatura"/>
                                      <w:spacing w:after="4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5F1574">
                                      <w:rPr>
                                        <w:rFonts w:ascii="Times New Roman" w:hAnsi="Times New Roman" w:cs="Times New Roman"/>
                                        <w:caps/>
                                        <w:sz w:val="28"/>
                                        <w:szCs w:val="28"/>
                                      </w:rPr>
                                      <w:t>6 luglio 2023</w:t>
                                    </w:r>
                                  </w:p>
                                </w:sdtContent>
                              </w:sdt>
                              <w:p w14:paraId="1807FF20" w14:textId="3B2EE33F" w:rsidR="00034A71" w:rsidRPr="005F1574" w:rsidRDefault="00000000">
                                <w:pPr>
                                  <w:pStyle w:val="Nessunaspaziatura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</w:rPr>
                                    <w:alias w:val="Società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5703FE" w:rsidRPr="005F1574">
                                      <w:rPr>
                                        <w:rFonts w:ascii="Times New Roman" w:hAnsi="Times New Roman" w:cs="Times New Roman"/>
                                        <w:caps/>
                                      </w:rPr>
                                      <w:t>Leonardo Ombres</w:t>
                                    </w:r>
                                  </w:sdtContent>
                                </w:sdt>
                              </w:p>
                              <w:p w14:paraId="05D326E6" w14:textId="78AA860E" w:rsidR="00034A71" w:rsidRPr="005F1574" w:rsidRDefault="00000000">
                                <w:pPr>
                                  <w:pStyle w:val="Nessunaspaziatura"/>
                                  <w:jc w:val="center"/>
                                  <w:rPr>
                                    <w:rFonts w:ascii="Times New Roman" w:hAnsi="Times New Roman" w:cs="Times New Roman"/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</w:rPr>
                                    <w:alias w:val="Indirizzi"/>
                                    <w:tag w:val=""/>
                                    <w:id w:val="-726379553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5703FE" w:rsidRPr="005F1574">
                                      <w:rPr>
                                        <w:rFonts w:ascii="Times New Roman" w:hAnsi="Times New Roman" w:cs="Times New Roman"/>
                                      </w:rPr>
                                      <w:t>Università degli studi di Trieste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DC99D6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42" o:spid="_x0000_s1026" type="#_x0000_t202" style="position:absolute;left:0;text-align:left;margin-left:0;margin-top:0;width:516pt;height:43.9pt;z-index:251660288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sz w:val="28"/>
                              <w:szCs w:val="28"/>
                            </w:rPr>
                            <w:alias w:val="Data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3-07-06T00:00:00Z">
                              <w:dateFormat w:val="d MMMM yyyy"/>
                              <w:lid w:val="it-IT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4B29A767" w14:textId="442274CF" w:rsidR="00034A71" w:rsidRPr="005F1574" w:rsidRDefault="005703FE">
                              <w:pPr>
                                <w:pStyle w:val="Nessunaspaziatura"/>
                                <w:spacing w:after="40"/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5F1574">
                                <w:rPr>
                                  <w:rFonts w:ascii="Times New Roman" w:hAnsi="Times New Roman" w:cs="Times New Roman"/>
                                  <w:caps/>
                                  <w:sz w:val="28"/>
                                  <w:szCs w:val="28"/>
                                </w:rPr>
                                <w:t>6 luglio 2023</w:t>
                              </w:r>
                            </w:p>
                          </w:sdtContent>
                        </w:sdt>
                        <w:p w14:paraId="1807FF20" w14:textId="3B2EE33F" w:rsidR="00034A71" w:rsidRPr="005F1574" w:rsidRDefault="00000000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</w:rPr>
                              <w:alias w:val="Società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5703FE" w:rsidRPr="005F1574">
                                <w:rPr>
                                  <w:rFonts w:ascii="Times New Roman" w:hAnsi="Times New Roman" w:cs="Times New Roman"/>
                                  <w:caps/>
                                </w:rPr>
                                <w:t>Leonardo Ombres</w:t>
                              </w:r>
                            </w:sdtContent>
                          </w:sdt>
                        </w:p>
                        <w:p w14:paraId="05D326E6" w14:textId="78AA860E" w:rsidR="00034A71" w:rsidRPr="005F1574" w:rsidRDefault="00000000">
                          <w:pPr>
                            <w:pStyle w:val="Nessunaspaziatura"/>
                            <w:jc w:val="center"/>
                            <w:rPr>
                              <w:rFonts w:ascii="Times New Roman" w:hAnsi="Times New Roman" w:cs="Times New Roman"/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alias w:val="Indirizzi"/>
                              <w:tag w:val=""/>
                              <w:id w:val="-726379553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5703FE" w:rsidRPr="005F1574">
                                <w:rPr>
                                  <w:rFonts w:ascii="Times New Roman" w:hAnsi="Times New Roman" w:cs="Times New Roman"/>
                                </w:rPr>
                                <w:t>Università degli studi di Trieste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Pr="005703FE">
            <w:rPr>
              <w:noProof/>
              <w:color w:val="000000" w:themeColor="text1"/>
            </w:rPr>
            <w:drawing>
              <wp:inline distT="0" distB="0" distL="0" distR="0" wp14:anchorId="4BE415C4" wp14:editId="5417C92C">
                <wp:extent cx="758952" cy="478932"/>
                <wp:effectExtent l="0" t="0" r="3175" b="0"/>
                <wp:docPr id="144" name="Immagin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10" cstate="print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10DC45E" w14:textId="09B09ECD" w:rsidR="00034A71" w:rsidRPr="005703FE" w:rsidRDefault="00034A71">
          <w:pPr>
            <w:rPr>
              <w:rStyle w:val="Collegamentoipertestuale"/>
              <w:i/>
              <w:iCs/>
              <w:color w:val="000000" w:themeColor="text1"/>
            </w:rPr>
          </w:pPr>
          <w:r w:rsidRPr="005703FE">
            <w:rPr>
              <w:rStyle w:val="Collegamentoipertestuale"/>
              <w:b/>
              <w:bCs/>
              <w:i/>
              <w:iCs/>
              <w:caps/>
              <w:color w:val="000000" w:themeColor="text1"/>
            </w:rPr>
            <w:br w:type="page"/>
          </w:r>
        </w:p>
      </w:sdtContent>
    </w:sdt>
    <w:p w14:paraId="6C5CA53D" w14:textId="4A790DA8" w:rsidR="00146DDA" w:rsidRPr="005F1574" w:rsidRDefault="00146DDA">
      <w:pPr>
        <w:pStyle w:val="Sommario1"/>
        <w:tabs>
          <w:tab w:val="right" w:pos="9628"/>
        </w:tabs>
        <w:rPr>
          <w:rFonts w:ascii="Times New Roman" w:eastAsiaTheme="minorEastAsia" w:hAnsi="Times New Roman" w:cs="Times New Roman"/>
          <w:b w:val="0"/>
          <w:bCs w:val="0"/>
          <w:caps w:val="0"/>
          <w:noProof/>
          <w:kern w:val="0"/>
          <w:sz w:val="36"/>
          <w:szCs w:val="36"/>
          <w:u w:val="none"/>
          <w:lang w:eastAsia="it-IT"/>
          <w14:ligatures w14:val="none"/>
        </w:rPr>
      </w:pPr>
      <w:r w:rsidRPr="00E210F8">
        <w:rPr>
          <w:b w:val="0"/>
          <w:bCs w:val="0"/>
          <w:caps w:val="0"/>
          <w:sz w:val="52"/>
          <w:szCs w:val="52"/>
        </w:rPr>
        <w:lastRenderedPageBreak/>
        <w:fldChar w:fldCharType="begin"/>
      </w:r>
      <w:r w:rsidRPr="00E210F8">
        <w:rPr>
          <w:b w:val="0"/>
          <w:bCs w:val="0"/>
          <w:caps w:val="0"/>
          <w:sz w:val="52"/>
          <w:szCs w:val="52"/>
        </w:rPr>
        <w:instrText xml:space="preserve"> TOC \o \h \z \u </w:instrText>
      </w:r>
      <w:r w:rsidRPr="00E210F8">
        <w:rPr>
          <w:b w:val="0"/>
          <w:bCs w:val="0"/>
          <w:caps w:val="0"/>
          <w:sz w:val="52"/>
          <w:szCs w:val="52"/>
        </w:rPr>
        <w:fldChar w:fldCharType="separate"/>
      </w:r>
      <w:hyperlink w:anchor="_Toc137804446" w:history="1">
        <w:r w:rsidRPr="005F1574">
          <w:rPr>
            <w:rStyle w:val="Collegamentoipertestuale"/>
            <w:rFonts w:ascii="Times New Roman" w:hAnsi="Times New Roman" w:cs="Times New Roman"/>
            <w:b w:val="0"/>
            <w:bCs w:val="0"/>
            <w:noProof/>
            <w:sz w:val="36"/>
            <w:szCs w:val="36"/>
          </w:rPr>
          <w:t>Introduzione</w:t>
        </w:r>
        <w:r w:rsidRPr="005F1574">
          <w:rPr>
            <w:rFonts w:ascii="Times New Roman" w:hAnsi="Times New Roman" w:cs="Times New Roman"/>
            <w:b w:val="0"/>
            <w:bCs w:val="0"/>
            <w:noProof/>
            <w:webHidden/>
            <w:sz w:val="36"/>
            <w:szCs w:val="36"/>
          </w:rPr>
          <w:tab/>
        </w:r>
        <w:r w:rsidRPr="005F1574">
          <w:rPr>
            <w:rFonts w:ascii="Times New Roman" w:hAnsi="Times New Roman" w:cs="Times New Roman"/>
            <w:b w:val="0"/>
            <w:bCs w:val="0"/>
            <w:noProof/>
            <w:webHidden/>
            <w:sz w:val="36"/>
            <w:szCs w:val="36"/>
          </w:rPr>
          <w:fldChar w:fldCharType="begin"/>
        </w:r>
        <w:r w:rsidRPr="005F1574">
          <w:rPr>
            <w:rFonts w:ascii="Times New Roman" w:hAnsi="Times New Roman" w:cs="Times New Roman"/>
            <w:b w:val="0"/>
            <w:bCs w:val="0"/>
            <w:noProof/>
            <w:webHidden/>
            <w:sz w:val="36"/>
            <w:szCs w:val="36"/>
          </w:rPr>
          <w:instrText xml:space="preserve"> PAGEREF _Toc137804446 \h </w:instrText>
        </w:r>
        <w:r w:rsidRPr="005F1574">
          <w:rPr>
            <w:rFonts w:ascii="Times New Roman" w:hAnsi="Times New Roman" w:cs="Times New Roman"/>
            <w:b w:val="0"/>
            <w:bCs w:val="0"/>
            <w:noProof/>
            <w:webHidden/>
            <w:sz w:val="36"/>
            <w:szCs w:val="36"/>
          </w:rPr>
        </w:r>
        <w:r w:rsidRPr="005F1574">
          <w:rPr>
            <w:rFonts w:ascii="Times New Roman" w:hAnsi="Times New Roman" w:cs="Times New Roman"/>
            <w:b w:val="0"/>
            <w:bCs w:val="0"/>
            <w:noProof/>
            <w:webHidden/>
            <w:sz w:val="36"/>
            <w:szCs w:val="36"/>
          </w:rPr>
          <w:fldChar w:fldCharType="separate"/>
        </w:r>
        <w:r w:rsidRPr="005F1574">
          <w:rPr>
            <w:rFonts w:ascii="Times New Roman" w:hAnsi="Times New Roman" w:cs="Times New Roman"/>
            <w:b w:val="0"/>
            <w:bCs w:val="0"/>
            <w:noProof/>
            <w:webHidden/>
            <w:sz w:val="36"/>
            <w:szCs w:val="36"/>
          </w:rPr>
          <w:t>2</w:t>
        </w:r>
        <w:r w:rsidRPr="005F1574">
          <w:rPr>
            <w:rFonts w:ascii="Times New Roman" w:hAnsi="Times New Roman" w:cs="Times New Roman"/>
            <w:b w:val="0"/>
            <w:bCs w:val="0"/>
            <w:noProof/>
            <w:webHidden/>
            <w:sz w:val="36"/>
            <w:szCs w:val="36"/>
          </w:rPr>
          <w:fldChar w:fldCharType="end"/>
        </w:r>
      </w:hyperlink>
    </w:p>
    <w:p w14:paraId="393C15E3" w14:textId="6ED1BAA2" w:rsidR="00146DDA" w:rsidRPr="005F1574" w:rsidRDefault="00000000">
      <w:pPr>
        <w:pStyle w:val="Sommario2"/>
        <w:tabs>
          <w:tab w:val="right" w:pos="9628"/>
        </w:tabs>
        <w:rPr>
          <w:rFonts w:ascii="Times New Roman" w:eastAsiaTheme="minorEastAsia" w:hAnsi="Times New Roman" w:cs="Times New Roman"/>
          <w:b w:val="0"/>
          <w:bCs w:val="0"/>
          <w:i/>
          <w:iCs/>
          <w:smallCaps w:val="0"/>
          <w:noProof/>
          <w:kern w:val="0"/>
          <w:sz w:val="36"/>
          <w:szCs w:val="36"/>
          <w:lang w:eastAsia="it-IT"/>
          <w14:ligatures w14:val="none"/>
        </w:rPr>
      </w:pPr>
      <w:hyperlink w:anchor="_Toc137804447" w:history="1">
        <w:r w:rsidR="00146DDA" w:rsidRPr="005F1574">
          <w:rPr>
            <w:rStyle w:val="Collegamentoipertestuale"/>
            <w:rFonts w:ascii="Times New Roman" w:hAnsi="Times New Roman" w:cs="Times New Roman"/>
            <w:b w:val="0"/>
            <w:bCs w:val="0"/>
            <w:i/>
            <w:iCs/>
            <w:noProof/>
            <w:sz w:val="36"/>
            <w:szCs w:val="36"/>
          </w:rPr>
          <w:t>Il Pilastro europeo dei diritti sociali</w:t>
        </w:r>
        <w:r w:rsidR="005F1574">
          <w:rPr>
            <w:rStyle w:val="Collegamentoipertestuale"/>
            <w:rFonts w:ascii="Times New Roman" w:hAnsi="Times New Roman" w:cs="Times New Roman"/>
            <w:b w:val="0"/>
            <w:bCs w:val="0"/>
            <w:i/>
            <w:iCs/>
            <w:noProof/>
            <w:sz w:val="36"/>
            <w:szCs w:val="36"/>
          </w:rPr>
          <w:t>……………………………</w:t>
        </w:r>
        <w:r w:rsidR="00146DDA" w:rsidRPr="005F1574">
          <w:rPr>
            <w:rFonts w:ascii="Times New Roman" w:hAnsi="Times New Roman" w:cs="Times New Roman"/>
            <w:b w:val="0"/>
            <w:bCs w:val="0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b w:val="0"/>
            <w:bCs w:val="0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b w:val="0"/>
            <w:bCs w:val="0"/>
            <w:i/>
            <w:iCs/>
            <w:noProof/>
            <w:webHidden/>
            <w:sz w:val="36"/>
            <w:szCs w:val="36"/>
          </w:rPr>
          <w:instrText xml:space="preserve"> PAGEREF _Toc137804447 \h </w:instrText>
        </w:r>
        <w:r w:rsidR="00146DDA" w:rsidRPr="005F1574">
          <w:rPr>
            <w:rFonts w:ascii="Times New Roman" w:hAnsi="Times New Roman" w:cs="Times New Roman"/>
            <w:b w:val="0"/>
            <w:bCs w:val="0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b w:val="0"/>
            <w:bCs w:val="0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b w:val="0"/>
            <w:bCs w:val="0"/>
            <w:i/>
            <w:iCs/>
            <w:noProof/>
            <w:webHidden/>
            <w:sz w:val="36"/>
            <w:szCs w:val="36"/>
          </w:rPr>
          <w:t>2</w:t>
        </w:r>
        <w:r w:rsidR="00146DDA" w:rsidRPr="005F1574">
          <w:rPr>
            <w:rFonts w:ascii="Times New Roman" w:hAnsi="Times New Roman" w:cs="Times New Roman"/>
            <w:b w:val="0"/>
            <w:bCs w:val="0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512081B3" w14:textId="3D555FB4" w:rsidR="00146DDA" w:rsidRPr="005F1574" w:rsidRDefault="00000000">
      <w:pPr>
        <w:pStyle w:val="Sommario3"/>
        <w:tabs>
          <w:tab w:val="right" w:pos="9628"/>
        </w:tabs>
        <w:rPr>
          <w:rFonts w:ascii="Times New Roman" w:eastAsiaTheme="minorEastAsia" w:hAnsi="Times New Roman" w:cs="Times New Roman"/>
          <w:i/>
          <w:iCs/>
          <w:smallCaps w:val="0"/>
          <w:noProof/>
          <w:kern w:val="0"/>
          <w:sz w:val="36"/>
          <w:szCs w:val="36"/>
          <w:lang w:eastAsia="it-IT"/>
          <w14:ligatures w14:val="none"/>
        </w:rPr>
      </w:pPr>
      <w:hyperlink w:anchor="_Toc137804448" w:history="1">
        <w:r w:rsidR="00146DDA" w:rsidRP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L’istruzione e la formazione italiana</w:t>
        </w:r>
        <w:r w:rsid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…………………………….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instrText xml:space="preserve"> PAGEREF _Toc137804448 \h </w:instrTex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>7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671CA0DE" w14:textId="6B2B68CD" w:rsidR="00146DDA" w:rsidRPr="005F1574" w:rsidRDefault="00000000">
      <w:pPr>
        <w:pStyle w:val="Sommario4"/>
        <w:tabs>
          <w:tab w:val="right" w:pos="9628"/>
        </w:tabs>
        <w:rPr>
          <w:rFonts w:ascii="Times New Roman" w:eastAsiaTheme="minorEastAsia" w:hAnsi="Times New Roman" w:cs="Times New Roman"/>
          <w:i/>
          <w:iCs/>
          <w:noProof/>
          <w:kern w:val="0"/>
          <w:sz w:val="36"/>
          <w:szCs w:val="36"/>
          <w:lang w:eastAsia="it-IT"/>
          <w14:ligatures w14:val="none"/>
        </w:rPr>
      </w:pPr>
      <w:hyperlink w:anchor="_Toc137804449" w:history="1">
        <w:r w:rsidR="00146DDA" w:rsidRP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Gli interventi di policy italiani e l’utilizzo dei fondi europei</w:t>
        </w:r>
        <w:r w:rsid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…….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instrText xml:space="preserve"> PAGEREF _Toc137804449 \h </w:instrTex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>15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5054539E" w14:textId="10DC968C" w:rsidR="00146DDA" w:rsidRPr="005F1574" w:rsidRDefault="00000000">
      <w:pPr>
        <w:pStyle w:val="Sommario5"/>
        <w:tabs>
          <w:tab w:val="right" w:pos="9628"/>
        </w:tabs>
        <w:rPr>
          <w:rFonts w:ascii="Times New Roman" w:eastAsiaTheme="minorEastAsia" w:hAnsi="Times New Roman" w:cs="Times New Roman"/>
          <w:i/>
          <w:iCs/>
          <w:noProof/>
          <w:kern w:val="0"/>
          <w:sz w:val="36"/>
          <w:szCs w:val="36"/>
          <w:lang w:eastAsia="it-IT"/>
          <w14:ligatures w14:val="none"/>
        </w:rPr>
      </w:pPr>
      <w:hyperlink w:anchor="_Toc137804450" w:history="1">
        <w:r w:rsidR="00146DDA" w:rsidRP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La “via al duale” europea</w:t>
        </w:r>
        <w:r w:rsid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……………………………………………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instrText xml:space="preserve"> PAGEREF _Toc137804450 \h </w:instrTex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>16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4E18AE9D" w14:textId="677AF488" w:rsidR="00146DDA" w:rsidRPr="005F1574" w:rsidRDefault="00000000">
      <w:pPr>
        <w:pStyle w:val="Sommario6"/>
        <w:tabs>
          <w:tab w:val="right" w:pos="9628"/>
        </w:tabs>
        <w:rPr>
          <w:rFonts w:ascii="Times New Roman" w:eastAsiaTheme="minorEastAsia" w:hAnsi="Times New Roman" w:cs="Times New Roman"/>
          <w:i/>
          <w:iCs/>
          <w:noProof/>
          <w:kern w:val="0"/>
          <w:sz w:val="36"/>
          <w:szCs w:val="36"/>
          <w:lang w:eastAsia="it-IT"/>
          <w14:ligatures w14:val="none"/>
        </w:rPr>
      </w:pPr>
      <w:hyperlink w:anchor="_Toc137804451" w:history="1">
        <w:r w:rsidR="00146DDA" w:rsidRP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Il caso tedesco</w:t>
        </w:r>
        <w:r w:rsid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………………………………………………………….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instrText xml:space="preserve"> PAGEREF _Toc137804451 \h </w:instrTex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>16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23EF8B30" w14:textId="3B7C8DD6" w:rsidR="00146DDA" w:rsidRPr="005F1574" w:rsidRDefault="00000000">
      <w:pPr>
        <w:pStyle w:val="Sommario7"/>
        <w:tabs>
          <w:tab w:val="right" w:pos="9628"/>
        </w:tabs>
        <w:rPr>
          <w:rFonts w:ascii="Times New Roman" w:eastAsiaTheme="minorEastAsia" w:hAnsi="Times New Roman" w:cs="Times New Roman"/>
          <w:i/>
          <w:iCs/>
          <w:noProof/>
          <w:kern w:val="0"/>
          <w:sz w:val="36"/>
          <w:szCs w:val="36"/>
          <w:lang w:eastAsia="it-IT"/>
          <w14:ligatures w14:val="none"/>
        </w:rPr>
      </w:pPr>
      <w:hyperlink w:anchor="_Toc137804452" w:history="1">
        <w:r w:rsidR="00146DDA" w:rsidRP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La “via italiana” al sistema duale</w:t>
        </w:r>
        <w:r w:rsid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………………………………….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instrText xml:space="preserve"> PAGEREF _Toc137804452 \h </w:instrTex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>17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37BB7539" w14:textId="20CA4E73" w:rsidR="00146DDA" w:rsidRPr="005F1574" w:rsidRDefault="00000000">
      <w:pPr>
        <w:pStyle w:val="Sommario8"/>
        <w:tabs>
          <w:tab w:val="right" w:pos="9628"/>
        </w:tabs>
        <w:rPr>
          <w:rFonts w:ascii="Times New Roman" w:eastAsiaTheme="minorEastAsia" w:hAnsi="Times New Roman" w:cs="Times New Roman"/>
          <w:i/>
          <w:iCs/>
          <w:noProof/>
          <w:kern w:val="0"/>
          <w:sz w:val="36"/>
          <w:szCs w:val="36"/>
          <w:lang w:eastAsia="it-IT"/>
          <w14:ligatures w14:val="none"/>
        </w:rPr>
      </w:pPr>
      <w:hyperlink w:anchor="_Toc137804453" w:history="1">
        <w:r w:rsidR="00146DDA" w:rsidRP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La formazione tecnico-professionale e il rilancio degli ITS</w:t>
        </w:r>
        <w:r w:rsid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……..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instrText xml:space="preserve"> PAGEREF _Toc137804453 \h </w:instrTex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>19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2D8CDBCF" w14:textId="50C658AD" w:rsidR="00146DDA" w:rsidRPr="00E210F8" w:rsidRDefault="00000000">
      <w:pPr>
        <w:pStyle w:val="Sommario9"/>
        <w:tabs>
          <w:tab w:val="right" w:pos="9628"/>
        </w:tabs>
        <w:rPr>
          <w:rFonts w:eastAsiaTheme="minorEastAsia" w:cstheme="minorBidi"/>
          <w:noProof/>
          <w:kern w:val="0"/>
          <w:sz w:val="36"/>
          <w:szCs w:val="36"/>
          <w:lang w:eastAsia="it-IT"/>
          <w14:ligatures w14:val="none"/>
        </w:rPr>
      </w:pPr>
      <w:hyperlink w:anchor="_Toc137804454" w:history="1">
        <w:r w:rsidR="00146DDA" w:rsidRP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Conclusione</w:t>
        </w:r>
        <w:r w:rsidR="005F1574">
          <w:rPr>
            <w:rStyle w:val="Collegamentoipertestuale"/>
            <w:rFonts w:ascii="Times New Roman" w:hAnsi="Times New Roman" w:cs="Times New Roman"/>
            <w:i/>
            <w:iCs/>
            <w:noProof/>
            <w:sz w:val="36"/>
            <w:szCs w:val="36"/>
          </w:rPr>
          <w:t>…………………………………………………………….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ab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begin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instrText xml:space="preserve"> PAGEREF _Toc137804454 \h </w:instrTex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separate"/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t>20</w:t>
        </w:r>
        <w:r w:rsidR="00146DDA" w:rsidRPr="005F1574">
          <w:rPr>
            <w:rFonts w:ascii="Times New Roman" w:hAnsi="Times New Roman" w:cs="Times New Roman"/>
            <w:i/>
            <w:iCs/>
            <w:noProof/>
            <w:webHidden/>
            <w:sz w:val="36"/>
            <w:szCs w:val="36"/>
          </w:rPr>
          <w:fldChar w:fldCharType="end"/>
        </w:r>
      </w:hyperlink>
    </w:p>
    <w:p w14:paraId="35F10220" w14:textId="2338F211" w:rsidR="004051F9" w:rsidRPr="00146DDA" w:rsidRDefault="00146DDA">
      <w:pPr>
        <w:rPr>
          <w:b/>
          <w:bCs/>
          <w:i/>
          <w:iCs/>
          <w:sz w:val="52"/>
          <w:szCs w:val="52"/>
        </w:rPr>
      </w:pPr>
      <w:r w:rsidRPr="00E210F8">
        <w:rPr>
          <w:rFonts w:cstheme="minorHAnsi"/>
          <w:caps/>
          <w:sz w:val="52"/>
          <w:szCs w:val="52"/>
          <w:u w:val="single"/>
        </w:rPr>
        <w:fldChar w:fldCharType="end"/>
      </w:r>
      <w:r w:rsidR="004051F9" w:rsidRPr="00E210F8">
        <w:rPr>
          <w:sz w:val="52"/>
          <w:szCs w:val="52"/>
        </w:rPr>
        <w:br w:type="page"/>
      </w:r>
    </w:p>
    <w:p w14:paraId="24A5816F" w14:textId="7E845655" w:rsidR="00E77C4E" w:rsidRPr="00146DDA" w:rsidRDefault="00E77C4E" w:rsidP="00B20EC0">
      <w:pPr>
        <w:pStyle w:val="Titolo1"/>
        <w:rPr>
          <w:b/>
          <w:bCs/>
          <w:i/>
          <w:iCs/>
          <w:color w:val="auto"/>
          <w:sz w:val="24"/>
          <w:szCs w:val="24"/>
        </w:rPr>
      </w:pPr>
      <w:bookmarkStart w:id="0" w:name="_Toc137804219"/>
      <w:bookmarkStart w:id="1" w:name="_Toc137804275"/>
      <w:bookmarkStart w:id="2" w:name="_Toc137804446"/>
      <w:r w:rsidRPr="00146DDA">
        <w:rPr>
          <w:b/>
          <w:bCs/>
          <w:i/>
          <w:iCs/>
          <w:color w:val="auto"/>
          <w:sz w:val="24"/>
          <w:szCs w:val="24"/>
        </w:rPr>
        <w:lastRenderedPageBreak/>
        <w:t>Introduzione</w:t>
      </w:r>
      <w:bookmarkEnd w:id="0"/>
      <w:bookmarkEnd w:id="1"/>
      <w:bookmarkEnd w:id="2"/>
    </w:p>
    <w:p w14:paraId="0ED0ED7B" w14:textId="3E946266" w:rsidR="00863E6C" w:rsidRDefault="006D25B1" w:rsidP="009D5DD1">
      <w:pPr>
        <w:jc w:val="both"/>
      </w:pPr>
      <w:r>
        <w:t>L’elaborato</w:t>
      </w:r>
      <w:r w:rsidR="00EB3CBE">
        <w:t xml:space="preserve"> in questione </w:t>
      </w:r>
      <w:r w:rsidR="00F61F71">
        <w:t>ha come finalità principale</w:t>
      </w:r>
      <w:r w:rsidR="00C17C70">
        <w:t xml:space="preserve"> </w:t>
      </w:r>
      <w:r w:rsidR="00F61F71">
        <w:t>l’identificazione de</w:t>
      </w:r>
      <w:r w:rsidR="005D0D6E">
        <w:t>gli interessi</w:t>
      </w:r>
      <w:r w:rsidR="00863E6C">
        <w:t xml:space="preserve"> e degli interventi </w:t>
      </w:r>
      <w:r w:rsidR="00FF2AE0">
        <w:t>comunitari nell’ambito dell</w:t>
      </w:r>
      <w:r w:rsidR="00D36115">
        <w:t xml:space="preserve">’istruzione e della formazione professionale. </w:t>
      </w:r>
      <w:r w:rsidR="005A0DB3">
        <w:t xml:space="preserve">L’analisi </w:t>
      </w:r>
      <w:r w:rsidR="00FE399F">
        <w:t xml:space="preserve">si apre con </w:t>
      </w:r>
      <w:r w:rsidR="00CE5989">
        <w:t>le motivazioni</w:t>
      </w:r>
      <w:r w:rsidR="00FE399F">
        <w:t xml:space="preserve"> che ha</w:t>
      </w:r>
      <w:r w:rsidR="00130DAC">
        <w:t>nno</w:t>
      </w:r>
      <w:r w:rsidR="00FE399F">
        <w:t xml:space="preserve"> spinto le istituzioni europee </w:t>
      </w:r>
      <w:r w:rsidR="00C22573">
        <w:t>a</w:t>
      </w:r>
      <w:r w:rsidR="00FE399F">
        <w:t xml:space="preserve"> </w:t>
      </w:r>
      <w:r w:rsidR="00D52599">
        <w:t>adottare interventi di poli</w:t>
      </w:r>
      <w:r w:rsidR="002C3CE8">
        <w:t>tica economica</w:t>
      </w:r>
      <w:r w:rsidR="00D92547">
        <w:t>,</w:t>
      </w:r>
      <w:r w:rsidR="002C3CE8">
        <w:t xml:space="preserve"> volti a migliorare le condizioni di tutti i cittadini europei, inglobati nel </w:t>
      </w:r>
      <w:r w:rsidR="00885FD5">
        <w:t xml:space="preserve">cosiddetto </w:t>
      </w:r>
      <w:r w:rsidR="00885FD5">
        <w:rPr>
          <w:i/>
          <w:iCs/>
        </w:rPr>
        <w:t>Pilastro europeo dei diritti sociali</w:t>
      </w:r>
      <w:r w:rsidR="00885FD5">
        <w:t xml:space="preserve">. </w:t>
      </w:r>
      <w:r w:rsidR="009F73C6">
        <w:t>L’elaborato si focalizza su</w:t>
      </w:r>
      <w:r w:rsidR="00A3617C">
        <w:t>i principi riguardanti l’istruzione e la formazione</w:t>
      </w:r>
      <w:r w:rsidR="00887902">
        <w:t xml:space="preserve"> e la descrizione </w:t>
      </w:r>
      <w:r w:rsidR="00C86B59">
        <w:t>de</w:t>
      </w:r>
      <w:r w:rsidR="00AC42B1">
        <w:t xml:space="preserve">i principali obiettivi </w:t>
      </w:r>
      <w:r w:rsidR="00C86B59">
        <w:t xml:space="preserve"> </w:t>
      </w:r>
      <w:r w:rsidR="00AC42B1">
        <w:t>annunciati dall’UE</w:t>
      </w:r>
      <w:r w:rsidR="00BF6137">
        <w:t xml:space="preserve">. </w:t>
      </w:r>
      <w:r w:rsidR="00BE225E">
        <w:t>L’analisi prosegue mediante</w:t>
      </w:r>
      <w:r w:rsidR="00CA0C3E">
        <w:t xml:space="preserve"> la descrizione del “</w:t>
      </w:r>
      <w:r w:rsidR="00CA0C3E">
        <w:rPr>
          <w:i/>
          <w:iCs/>
        </w:rPr>
        <w:t>caso italiano</w:t>
      </w:r>
      <w:r w:rsidR="00CA0C3E">
        <w:t>” i</w:t>
      </w:r>
      <w:r w:rsidR="00827EB6">
        <w:t>n materia di formazione e</w:t>
      </w:r>
      <w:r w:rsidR="00D95516">
        <w:t>d</w:t>
      </w:r>
      <w:r w:rsidR="00A42680">
        <w:t xml:space="preserve"> </w:t>
      </w:r>
      <w:r w:rsidR="00827EB6">
        <w:t>istruzione</w:t>
      </w:r>
      <w:r w:rsidR="00870194">
        <w:t xml:space="preserve">, mettendone in evidenza le criticità e la difficoltà nel raggiungimento degli obiettivi europei. </w:t>
      </w:r>
      <w:r w:rsidR="006E2A0D">
        <w:t xml:space="preserve">Viene </w:t>
      </w:r>
      <w:r w:rsidR="00463312">
        <w:t>intrapreso</w:t>
      </w:r>
      <w:r w:rsidR="006E2A0D">
        <w:t xml:space="preserve"> un approfondiment</w:t>
      </w:r>
      <w:r w:rsidR="00C87029">
        <w:t xml:space="preserve">o sul ricorso al contratto di apprendistato, basato sul confronto tra </w:t>
      </w:r>
      <w:r w:rsidR="0067708A">
        <w:t>il sistema duale tedesco e quello italiano</w:t>
      </w:r>
      <w:r w:rsidR="00B01BFB">
        <w:t>;</w:t>
      </w:r>
      <w:r w:rsidR="00EB6A02">
        <w:t xml:space="preserve"> inoltre, </w:t>
      </w:r>
      <w:r w:rsidR="009D5DD1">
        <w:t>un’analisi sullo</w:t>
      </w:r>
      <w:r w:rsidR="00906ACE">
        <w:t xml:space="preserve"> sviluppo della f</w:t>
      </w:r>
      <w:r w:rsidR="00A44236">
        <w:t>ormazion</w:t>
      </w:r>
      <w:r w:rsidR="00C661A2">
        <w:t xml:space="preserve">e </w:t>
      </w:r>
      <w:r w:rsidR="00A44236">
        <w:t>tecnico-professionale,</w:t>
      </w:r>
      <w:r w:rsidR="00C661A2">
        <w:t xml:space="preserve"> come espediente per ovviare alle criticità del Paese</w:t>
      </w:r>
      <w:r w:rsidR="00D52BBE">
        <w:t>. S</w:t>
      </w:r>
      <w:r w:rsidR="00C661A2">
        <w:t>i tratta di un ambito su</w:t>
      </w:r>
      <w:r w:rsidR="00A44236">
        <w:t xml:space="preserve"> cui oggi si pone particolare attenzione data la carenza di forza lavoro ne</w:t>
      </w:r>
      <w:r w:rsidR="00C661A2">
        <w:t>i settori interessati</w:t>
      </w:r>
      <w:r w:rsidR="00226D0C">
        <w:t xml:space="preserve">. </w:t>
      </w:r>
      <w:r w:rsidR="0032039B">
        <w:t xml:space="preserve">Preme specificare che </w:t>
      </w:r>
      <w:r w:rsidR="00702046">
        <w:t>l’analisi condotta</w:t>
      </w:r>
      <w:r w:rsidR="008563D4">
        <w:t xml:space="preserve"> </w:t>
      </w:r>
      <w:r w:rsidR="00702046">
        <w:t>si basa su un</w:t>
      </w:r>
      <w:r w:rsidR="00734926">
        <w:t>’</w:t>
      </w:r>
      <w:r w:rsidR="00702046">
        <w:t>ampia visione degli interventi di policy</w:t>
      </w:r>
      <w:r w:rsidR="008563D4">
        <w:t>, valorizzando il fattore sinergico che accomuna le riforme del sistema educativo, dell’inclusione sociale e del m</w:t>
      </w:r>
      <w:r w:rsidR="00734926">
        <w:t xml:space="preserve">ondo del lavoro. </w:t>
      </w:r>
    </w:p>
    <w:p w14:paraId="25F640E3" w14:textId="704863B6" w:rsidR="00E60920" w:rsidRPr="009F4999" w:rsidRDefault="00FB670B" w:rsidP="009D5DD1">
      <w:pPr>
        <w:jc w:val="both"/>
        <w:rPr>
          <w:b/>
          <w:bCs/>
          <w:i/>
          <w:iCs/>
        </w:rPr>
      </w:pPr>
      <w:r w:rsidRPr="009F4999">
        <w:rPr>
          <w:b/>
          <w:bCs/>
          <w:i/>
          <w:iCs/>
        </w:rPr>
        <w:t xml:space="preserve">Il vertice di Göteborg </w:t>
      </w:r>
    </w:p>
    <w:p w14:paraId="42865829" w14:textId="08DC7946" w:rsidR="00BD03F7" w:rsidRDefault="00BD03F7" w:rsidP="0067098C">
      <w:pPr>
        <w:jc w:val="both"/>
      </w:pPr>
      <w:r>
        <w:t>L’ Unione Europea si configura come una federazione intergovernativa</w:t>
      </w:r>
      <w:r w:rsidR="00520B89">
        <w:t xml:space="preserve"> </w:t>
      </w:r>
      <w:r>
        <w:t xml:space="preserve">che “ospita” i Paesi più sviluppati al mondo, con i più elevati standard in termini di condizioni di lavoro, di equità e protezione sociale. Per tale ragione, nel 2017 al vertice di </w:t>
      </w:r>
      <w:r w:rsidRPr="00BD03F7">
        <w:t>Göteborg</w:t>
      </w:r>
      <w:r>
        <w:t xml:space="preserve">, il Parlamento europeo, il Consiglio e la Commissione hanno proclamato il </w:t>
      </w:r>
      <w:r w:rsidR="00DE789D" w:rsidRPr="00DE789D">
        <w:rPr>
          <w:i/>
          <w:iCs/>
        </w:rPr>
        <w:t>P</w:t>
      </w:r>
      <w:r w:rsidRPr="00DE789D">
        <w:rPr>
          <w:i/>
          <w:iCs/>
        </w:rPr>
        <w:t>ilastro europeo dei diritti sociali</w:t>
      </w:r>
      <w:r w:rsidR="00520B89">
        <w:t>, cioè il “faro” che sarà in grado di guidare i Paesi membri nella costruzione di un mercato del lavoro più equo e ben funzionante; nonché, sistemi di formazione, istruzione e previdenziali, in grado di avvantaggiare tutti i cittadini europei</w:t>
      </w:r>
      <w:r w:rsidR="00DD597D">
        <w:t>.</w:t>
      </w:r>
    </w:p>
    <w:p w14:paraId="27699833" w14:textId="03710F75" w:rsidR="00310EFB" w:rsidRPr="00146DDA" w:rsidRDefault="006636EB" w:rsidP="00B20EC0">
      <w:pPr>
        <w:pStyle w:val="Titolo2"/>
        <w:rPr>
          <w:b/>
          <w:bCs/>
          <w:i/>
          <w:iCs/>
          <w:color w:val="auto"/>
          <w:sz w:val="24"/>
          <w:szCs w:val="24"/>
        </w:rPr>
      </w:pPr>
      <w:bookmarkStart w:id="3" w:name="_Toc137804220"/>
      <w:bookmarkStart w:id="4" w:name="_Toc137804276"/>
      <w:bookmarkStart w:id="5" w:name="_Toc137804447"/>
      <w:r w:rsidRPr="00146DDA">
        <w:rPr>
          <w:b/>
          <w:bCs/>
          <w:i/>
          <w:iCs/>
          <w:color w:val="auto"/>
          <w:sz w:val="24"/>
          <w:szCs w:val="24"/>
        </w:rPr>
        <w:t xml:space="preserve">Il </w:t>
      </w:r>
      <w:r w:rsidR="00DE789D" w:rsidRPr="00146DDA">
        <w:rPr>
          <w:b/>
          <w:bCs/>
          <w:i/>
          <w:iCs/>
          <w:color w:val="auto"/>
          <w:sz w:val="24"/>
          <w:szCs w:val="24"/>
        </w:rPr>
        <w:t>P</w:t>
      </w:r>
      <w:r w:rsidRPr="00146DDA">
        <w:rPr>
          <w:b/>
          <w:bCs/>
          <w:i/>
          <w:iCs/>
          <w:color w:val="auto"/>
          <w:sz w:val="24"/>
          <w:szCs w:val="24"/>
        </w:rPr>
        <w:t>ilastro europeo dei diritti sociali</w:t>
      </w:r>
      <w:bookmarkEnd w:id="3"/>
      <w:bookmarkEnd w:id="4"/>
      <w:bookmarkEnd w:id="5"/>
    </w:p>
    <w:p w14:paraId="6663DE34" w14:textId="605ACB2A" w:rsidR="006636EB" w:rsidRDefault="006636EB" w:rsidP="0067098C">
      <w:pPr>
        <w:jc w:val="both"/>
      </w:pPr>
      <w:r>
        <w:t xml:space="preserve">La composizione del pilastro europeo dei diritti sociali si basa su 20 principi, </w:t>
      </w:r>
      <w:r w:rsidR="00A56379">
        <w:t>suscettibili di</w:t>
      </w:r>
      <w:r w:rsidR="00700497">
        <w:t xml:space="preserve"> un</w:t>
      </w:r>
      <w:r w:rsidR="00D31EE4">
        <w:t xml:space="preserve"> raggruppamento </w:t>
      </w:r>
      <w:r>
        <w:t xml:space="preserve">in </w:t>
      </w:r>
      <w:r w:rsidR="00D31EE4">
        <w:t xml:space="preserve">tre </w:t>
      </w:r>
      <w:r>
        <w:t>macroaree:</w:t>
      </w:r>
    </w:p>
    <w:p w14:paraId="56DAE523" w14:textId="011C49F2" w:rsidR="006636EB" w:rsidRDefault="006636EB" w:rsidP="0067098C">
      <w:pPr>
        <w:pStyle w:val="Paragrafoelenco"/>
        <w:numPr>
          <w:ilvl w:val="0"/>
          <w:numId w:val="4"/>
        </w:numPr>
        <w:jc w:val="both"/>
      </w:pPr>
      <w:r w:rsidRPr="006636EB">
        <w:rPr>
          <w:i/>
          <w:iCs/>
        </w:rPr>
        <w:t>Equal opportunities and access to the labour market</w:t>
      </w:r>
      <w:r>
        <w:t xml:space="preserve"> (Pari opportunità e accesso al mercato del lavoro)</w:t>
      </w:r>
    </w:p>
    <w:p w14:paraId="08727DDE" w14:textId="0F4DE251" w:rsidR="006636EB" w:rsidRDefault="006636EB" w:rsidP="0067098C">
      <w:pPr>
        <w:pStyle w:val="Paragrafoelenco"/>
        <w:numPr>
          <w:ilvl w:val="0"/>
          <w:numId w:val="4"/>
        </w:numPr>
        <w:jc w:val="both"/>
      </w:pPr>
      <w:r w:rsidRPr="006636EB">
        <w:rPr>
          <w:i/>
          <w:iCs/>
        </w:rPr>
        <w:t>Fair working conditions</w:t>
      </w:r>
      <w:r>
        <w:t xml:space="preserve">  (Condizioni di lavoro eque) </w:t>
      </w:r>
    </w:p>
    <w:p w14:paraId="54779DFE" w14:textId="55FABDBD" w:rsidR="006636EB" w:rsidRDefault="006636EB" w:rsidP="0067098C">
      <w:pPr>
        <w:pStyle w:val="Paragrafoelenco"/>
        <w:numPr>
          <w:ilvl w:val="0"/>
          <w:numId w:val="4"/>
        </w:numPr>
        <w:jc w:val="both"/>
      </w:pPr>
      <w:r w:rsidRPr="006636EB">
        <w:rPr>
          <w:i/>
          <w:iCs/>
        </w:rPr>
        <w:t>Social protection and inclusion</w:t>
      </w:r>
      <w:r>
        <w:t xml:space="preserve">  (Protezione sociale e inclusione) </w:t>
      </w:r>
    </w:p>
    <w:p w14:paraId="6F4D5568" w14:textId="2BDD8583" w:rsidR="006636EB" w:rsidRDefault="006636EB" w:rsidP="0067098C">
      <w:pPr>
        <w:jc w:val="both"/>
      </w:pPr>
      <w:r>
        <w:t>Per ogni are</w:t>
      </w:r>
      <w:r w:rsidR="00796EAC">
        <w:t xml:space="preserve">a e principio, la Commissione Europea ha definito una serie di iniziative concrete e </w:t>
      </w:r>
      <w:r w:rsidR="00DA7603">
        <w:t xml:space="preserve">              </w:t>
      </w:r>
      <w:r w:rsidR="00796EAC">
        <w:t>specifiche</w:t>
      </w:r>
      <w:r w:rsidR="00D247A1">
        <w:t xml:space="preserve">, volte alla realizzazione degli obiettivi predeterminati. </w:t>
      </w:r>
      <w:r w:rsidR="00CA6583">
        <w:t>Un esempio di tale dinamica è associato</w:t>
      </w:r>
      <w:r w:rsidR="00DA7603">
        <w:t xml:space="preserve">      </w:t>
      </w:r>
      <w:r w:rsidR="00CA6583">
        <w:t xml:space="preserve"> all’ </w:t>
      </w:r>
      <w:r w:rsidR="00CA6583" w:rsidRPr="00C76C27">
        <w:rPr>
          <w:i/>
          <w:iCs/>
        </w:rPr>
        <w:t>Agenda europea per le competenze</w:t>
      </w:r>
      <w:r w:rsidR="008456D5">
        <w:rPr>
          <w:i/>
          <w:iCs/>
        </w:rPr>
        <w:t xml:space="preserve"> (European Skills Agenda)</w:t>
      </w:r>
      <w:r w:rsidR="00CA6583">
        <w:t xml:space="preserve"> </w:t>
      </w:r>
      <w:r w:rsidR="005D7F91">
        <w:t xml:space="preserve">e il </w:t>
      </w:r>
      <w:r w:rsidR="005D7F91" w:rsidRPr="00C76C27">
        <w:rPr>
          <w:i/>
          <w:iCs/>
        </w:rPr>
        <w:t>Patto per le competenze</w:t>
      </w:r>
      <w:r w:rsidR="005D7F91">
        <w:t xml:space="preserve"> </w:t>
      </w:r>
      <w:r w:rsidR="005D7F91" w:rsidRPr="00C76C27">
        <w:rPr>
          <w:i/>
          <w:iCs/>
        </w:rPr>
        <w:t>(Pact for skill</w:t>
      </w:r>
      <w:r w:rsidR="00C76C27" w:rsidRPr="00C76C27">
        <w:rPr>
          <w:i/>
          <w:iCs/>
        </w:rPr>
        <w:t>s)</w:t>
      </w:r>
      <w:r w:rsidR="000C08F9">
        <w:t xml:space="preserve">; azioni finalizzate </w:t>
      </w:r>
      <w:r w:rsidR="00123104">
        <w:t xml:space="preserve">a garantire un’istruzione, una formazione e un apprendimento </w:t>
      </w:r>
      <w:r w:rsidR="00EA6290">
        <w:t>permanente</w:t>
      </w:r>
      <w:r w:rsidR="005200BF">
        <w:t xml:space="preserve"> e</w:t>
      </w:r>
      <w:r w:rsidR="00BC71AA">
        <w:t xml:space="preserve"> quindi, gestire al meglio le transizioni che intercorrono nel mercato del lavoro. </w:t>
      </w:r>
      <w:r w:rsidR="00353282">
        <w:t xml:space="preserve">È importante specificare </w:t>
      </w:r>
      <w:r w:rsidR="000C5896">
        <w:t>che tutti i principi in questione sono strettamente correlati tra di loro</w:t>
      </w:r>
      <w:r w:rsidR="00495FAD">
        <w:t xml:space="preserve">, perciò devono essere valorizzati </w:t>
      </w:r>
      <w:r w:rsidR="00495FAD" w:rsidRPr="002863AA">
        <w:t>contestualmente.</w:t>
      </w:r>
      <w:r w:rsidR="00495FAD">
        <w:t xml:space="preserve"> </w:t>
      </w:r>
    </w:p>
    <w:p w14:paraId="210DE7C3" w14:textId="2B332845" w:rsidR="002E59D6" w:rsidRDefault="002E59D6" w:rsidP="0067098C">
      <w:pPr>
        <w:jc w:val="both"/>
      </w:pPr>
      <w:r>
        <w:t>La realizzazione dei suddetti obiettivi è il fr</w:t>
      </w:r>
      <w:r w:rsidR="00786C9D">
        <w:t xml:space="preserve">utto di una collaborazione </w:t>
      </w:r>
      <w:r w:rsidR="00B32592">
        <w:t xml:space="preserve">tra </w:t>
      </w:r>
      <w:r w:rsidR="00EC4EBB">
        <w:t>le istituzioni</w:t>
      </w:r>
      <w:r w:rsidR="00B32592">
        <w:t xml:space="preserve"> dell’UE, delle autorità nazionali, regionali e locali, di tutte le parti sociali coinvolte e della società </w:t>
      </w:r>
      <w:r w:rsidR="008B4EEF">
        <w:t>nel suo insieme</w:t>
      </w:r>
      <w:r w:rsidR="00B32592">
        <w:t>.</w:t>
      </w:r>
      <w:r w:rsidR="003961D3">
        <w:t xml:space="preserve"> </w:t>
      </w:r>
      <w:r w:rsidR="0015776E">
        <w:t>Traspare la</w:t>
      </w:r>
      <w:r w:rsidR="00B32592">
        <w:t xml:space="preserve">  consapevol</w:t>
      </w:r>
      <w:r w:rsidR="0015776E">
        <w:t>ezza</w:t>
      </w:r>
      <w:r w:rsidR="00B32592">
        <w:t xml:space="preserve"> dell’importanza di </w:t>
      </w:r>
      <w:r w:rsidR="002F30B2">
        <w:t>cooperare a livello nazionale e sovranazionale, al fine di poter raggiungere degli obiettivi “superiori”,</w:t>
      </w:r>
      <w:r w:rsidR="00AE1766">
        <w:t xml:space="preserve"> opzione preclusa dal mero agire individuale.</w:t>
      </w:r>
    </w:p>
    <w:p w14:paraId="29261DAE" w14:textId="331DA17C" w:rsidR="00D45D70" w:rsidRDefault="00D45D70" w:rsidP="0067098C">
      <w:pPr>
        <w:jc w:val="center"/>
      </w:pPr>
      <w:r>
        <w:rPr>
          <w:noProof/>
        </w:rPr>
        <w:lastRenderedPageBreak/>
        <w:drawing>
          <wp:inline distT="0" distB="0" distL="0" distR="0" wp14:anchorId="691B9621" wp14:editId="76DC2692">
            <wp:extent cx="4203405" cy="2200704"/>
            <wp:effectExtent l="0" t="0" r="6985" b="9525"/>
            <wp:docPr id="1" name="Immagine 1" descr="Immagine che contiene testo, schermata, cerchio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schermata, cerchio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526" cy="224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C0BC5" w14:textId="009ECDDB" w:rsidR="00D45D70" w:rsidRDefault="00174C32" w:rsidP="006636EB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Fonte: </w:t>
      </w:r>
      <w:hyperlink r:id="rId12" w:history="1">
        <w:r w:rsidR="007839A5" w:rsidRPr="004630E7">
          <w:rPr>
            <w:rStyle w:val="Collegamentoipertestuale"/>
            <w:sz w:val="12"/>
            <w:szCs w:val="12"/>
          </w:rPr>
          <w:t>https://ec.europa.eu/social/main.jsp?catId=1606&amp;langId=en</w:t>
        </w:r>
      </w:hyperlink>
    </w:p>
    <w:p w14:paraId="629EC6C0" w14:textId="728760EB" w:rsidR="001D71AB" w:rsidRPr="009F4999" w:rsidRDefault="001D71AB" w:rsidP="00703933">
      <w:pPr>
        <w:jc w:val="both"/>
        <w:rPr>
          <w:b/>
          <w:bCs/>
          <w:i/>
          <w:iCs/>
        </w:rPr>
      </w:pPr>
      <w:r w:rsidRPr="009F4999">
        <w:rPr>
          <w:b/>
          <w:bCs/>
          <w:i/>
          <w:iCs/>
        </w:rPr>
        <w:t xml:space="preserve">Finanziamento e fondi dedicati </w:t>
      </w:r>
      <w:r w:rsidR="008030F7" w:rsidRPr="009F4999">
        <w:rPr>
          <w:b/>
          <w:bCs/>
          <w:i/>
          <w:iCs/>
        </w:rPr>
        <w:t xml:space="preserve">al Pilastro Europeo per i Diritti Sociali </w:t>
      </w:r>
    </w:p>
    <w:p w14:paraId="7F0588D1" w14:textId="7A906621" w:rsidR="0075270B" w:rsidRDefault="0075270B" w:rsidP="00703933">
      <w:pPr>
        <w:jc w:val="both"/>
      </w:pPr>
      <w:r>
        <w:t>Il finanziamento de</w:t>
      </w:r>
      <w:r w:rsidR="007B3D28">
        <w:t>gli investimenti volti al</w:t>
      </w:r>
      <w:r w:rsidR="009646A4">
        <w:t>la realizzazione dei 20 principi</w:t>
      </w:r>
      <w:r w:rsidR="003F50CB">
        <w:t xml:space="preserve"> del Pilastro Europeo per i Diritti Sociali, si basa</w:t>
      </w:r>
      <w:r w:rsidR="00E24415">
        <w:t xml:space="preserve"> </w:t>
      </w:r>
      <w:r w:rsidR="004729BE">
        <w:t xml:space="preserve">sulle risorse del </w:t>
      </w:r>
      <w:r w:rsidR="00E24415">
        <w:t xml:space="preserve"> Fondo sociale europeo Plus (FSE+)</w:t>
      </w:r>
      <w:r w:rsidR="002B7124">
        <w:t xml:space="preserve">, </w:t>
      </w:r>
      <w:r w:rsidR="00B611AA">
        <w:t>nato dalla</w:t>
      </w:r>
      <w:r w:rsidR="00DC7D42">
        <w:t xml:space="preserve"> proposta della Commissione Europea relativa al QFP 2021-</w:t>
      </w:r>
      <w:r w:rsidR="005A7AEA">
        <w:t>2027 (Quadro finanziari pluriennale)</w:t>
      </w:r>
      <w:r w:rsidR="00D823D1">
        <w:t xml:space="preserve">. L’obiettivo generale del Fondo è </w:t>
      </w:r>
      <w:r w:rsidR="00DE7AED">
        <w:t>aiutare i singoli Stati membri a conseguire elevati livelli di occupazion</w:t>
      </w:r>
      <w:r w:rsidR="00F9410A">
        <w:t xml:space="preserve">e, di </w:t>
      </w:r>
      <w:r w:rsidR="00E00C15">
        <w:t>protezione sociale</w:t>
      </w:r>
      <w:r w:rsidR="00D774EF">
        <w:t xml:space="preserve"> e</w:t>
      </w:r>
      <w:r w:rsidR="00E00C15">
        <w:t xml:space="preserve"> </w:t>
      </w:r>
      <w:r w:rsidR="00CC6E2E">
        <w:t>sviluppare una forza lavoro qualificata</w:t>
      </w:r>
      <w:r w:rsidR="00444FCE">
        <w:t>,</w:t>
      </w:r>
      <w:r w:rsidR="00335322">
        <w:t xml:space="preserve"> nonché</w:t>
      </w:r>
      <w:r w:rsidR="009161F6">
        <w:t xml:space="preserve"> </w:t>
      </w:r>
      <w:r w:rsidR="00335322">
        <w:t xml:space="preserve">affrontare le conseguenze apportate dalla crisi pandemica. </w:t>
      </w:r>
      <w:r w:rsidR="00276C42">
        <w:t>L’atto finale</w:t>
      </w:r>
      <w:r w:rsidR="00F37F2D">
        <w:t xml:space="preserve">, </w:t>
      </w:r>
      <w:r w:rsidR="00276C42">
        <w:t xml:space="preserve">che </w:t>
      </w:r>
      <w:r w:rsidR="00F37F2D">
        <w:t xml:space="preserve">individua le finalità e la dotazione complessiva del Fondo </w:t>
      </w:r>
      <w:r w:rsidR="00183102">
        <w:t xml:space="preserve">Sociale europeo Plus (pari circa a 99,3 miliardi di EUR), </w:t>
      </w:r>
      <w:r w:rsidR="00EA7963">
        <w:t xml:space="preserve">è stato firmato il 24 giugno 2021 </w:t>
      </w:r>
      <w:r w:rsidR="00F743EC">
        <w:t>(</w:t>
      </w:r>
      <w:r w:rsidR="00F743EC" w:rsidRPr="00F743EC">
        <w:t xml:space="preserve">regolamento </w:t>
      </w:r>
      <w:hyperlink r:id="rId13" w:history="1">
        <w:r w:rsidR="00F743EC" w:rsidRPr="00F743EC">
          <w:rPr>
            <w:rStyle w:val="Collegamentoipertestuale"/>
          </w:rPr>
          <w:t>UE 2021/1057</w:t>
        </w:r>
      </w:hyperlink>
      <w:r w:rsidR="00F743EC" w:rsidRPr="00F743EC">
        <w:t>)</w:t>
      </w:r>
      <w:r w:rsidR="00F743EC">
        <w:t>.</w:t>
      </w:r>
      <w:r w:rsidR="00C21D9D">
        <w:t xml:space="preserve"> </w:t>
      </w:r>
    </w:p>
    <w:p w14:paraId="7535ACE9" w14:textId="662B6115" w:rsidR="00C21D9D" w:rsidRDefault="00C21D9D" w:rsidP="00703933">
      <w:pPr>
        <w:jc w:val="both"/>
      </w:pPr>
      <w:r>
        <w:t>Tra gli obiettivi specific</w:t>
      </w:r>
      <w:r w:rsidR="00841E6A">
        <w:t xml:space="preserve">i dell’FSE+ figurano: </w:t>
      </w:r>
    </w:p>
    <w:p w14:paraId="70B07404" w14:textId="7380BCE7" w:rsidR="00841E6A" w:rsidRDefault="00444FCE" w:rsidP="00703933">
      <w:pPr>
        <w:pStyle w:val="Paragrafoelenco"/>
        <w:numPr>
          <w:ilvl w:val="0"/>
          <w:numId w:val="5"/>
        </w:numPr>
        <w:jc w:val="both"/>
      </w:pPr>
      <w:r>
        <w:t xml:space="preserve">Il sostegno a favore dei settori d’intervento dell’occupazione e della mobilità del lavoro, </w:t>
      </w:r>
      <w:r w:rsidR="009161F6">
        <w:t>nonché dell’istruzione e dell’inclusione sociale, contribuendo in particolare all’eliminazione della povertà</w:t>
      </w:r>
      <w:r w:rsidR="003F7EE1">
        <w:t>.</w:t>
      </w:r>
    </w:p>
    <w:p w14:paraId="53CB8A82" w14:textId="7681FAD5" w:rsidR="00597535" w:rsidRDefault="00597535" w:rsidP="00703933">
      <w:pPr>
        <w:pStyle w:val="Paragrafoelenco"/>
        <w:numPr>
          <w:ilvl w:val="0"/>
          <w:numId w:val="5"/>
        </w:numPr>
        <w:jc w:val="both"/>
      </w:pPr>
      <w:r>
        <w:t>Il sostegno alla transizione verde e digitale</w:t>
      </w:r>
      <w:r w:rsidR="0021138C">
        <w:t xml:space="preserve">, al miglioramento dei sistemi di istruzione e formazione e la creazione di posti di lavoro attraverso le competenze per la specializzazione </w:t>
      </w:r>
      <w:r w:rsidR="003B538D">
        <w:t>intelligente</w:t>
      </w:r>
      <w:r w:rsidR="003F7EE1">
        <w:t>.</w:t>
      </w:r>
    </w:p>
    <w:p w14:paraId="2C6D760C" w14:textId="0E15D466" w:rsidR="003B538D" w:rsidRDefault="003B538D" w:rsidP="00703933">
      <w:pPr>
        <w:pStyle w:val="Paragrafoelenco"/>
        <w:numPr>
          <w:ilvl w:val="0"/>
          <w:numId w:val="5"/>
        </w:numPr>
        <w:jc w:val="both"/>
      </w:pPr>
      <w:r>
        <w:t>Il sostegno a favore di misure temporanee in circostanze eccezionali o inusuali</w:t>
      </w:r>
      <w:r w:rsidR="009854F9">
        <w:t xml:space="preserve"> </w:t>
      </w:r>
      <w:r w:rsidR="00224459">
        <w:t>(ad esempio, il finanziamento di regimi di riduzione dell’orario lavora</w:t>
      </w:r>
      <w:r w:rsidR="003F7EE1">
        <w:t xml:space="preserve">tivo non abbinati obbligatoriamente a misure attive). </w:t>
      </w:r>
      <w:r>
        <w:t xml:space="preserve"> </w:t>
      </w:r>
    </w:p>
    <w:p w14:paraId="250B9B84" w14:textId="77777777" w:rsidR="00575B49" w:rsidRDefault="00367FE3" w:rsidP="00703933">
      <w:pPr>
        <w:jc w:val="both"/>
      </w:pPr>
      <w:r>
        <w:t>La Commissione UE non fornisce alcun finanziamento diretto per i progetti</w:t>
      </w:r>
      <w:r w:rsidR="00F92150">
        <w:t>; infatti</w:t>
      </w:r>
      <w:r w:rsidR="006228F3">
        <w:t>,</w:t>
      </w:r>
      <w:r w:rsidR="00F92150">
        <w:t xml:space="preserve"> </w:t>
      </w:r>
      <w:r w:rsidR="004E6CDE">
        <w:t>l’FSE+ si basa</w:t>
      </w:r>
      <w:r w:rsidR="00B022B5">
        <w:t xml:space="preserve"> proprio</w:t>
      </w:r>
      <w:r w:rsidR="004E6CDE">
        <w:t xml:space="preserve"> sul concetto di</w:t>
      </w:r>
      <w:r w:rsidR="00F05553">
        <w:t xml:space="preserve"> </w:t>
      </w:r>
      <w:r w:rsidR="00F05553">
        <w:rPr>
          <w:i/>
          <w:iCs/>
        </w:rPr>
        <w:t>gestione concorrente</w:t>
      </w:r>
      <w:r w:rsidR="00B022B5">
        <w:t>.</w:t>
      </w:r>
      <w:r w:rsidR="00F05553">
        <w:t xml:space="preserve"> Quest’ultima </w:t>
      </w:r>
      <w:r w:rsidR="002E1BA1">
        <w:t xml:space="preserve">sta ad indicare che la responsabilità della gestione delle risorse dell’FSE+ </w:t>
      </w:r>
      <w:r w:rsidR="000975EB">
        <w:t>è destinata sia alla Commissione che ai singoli Stati membri</w:t>
      </w:r>
      <w:r w:rsidR="008B47F8">
        <w:t xml:space="preserve">, ciò consente </w:t>
      </w:r>
      <w:r w:rsidR="00EB385E">
        <w:t>un’adeguata attribuzione delle responsabilità</w:t>
      </w:r>
      <w:r w:rsidR="00EC273B">
        <w:t xml:space="preserve"> in modo da poter sostenere nel migliore dei modi gli obiettivi del Fondo.</w:t>
      </w:r>
      <w:r w:rsidR="001853C6">
        <w:t xml:space="preserve"> </w:t>
      </w:r>
    </w:p>
    <w:p w14:paraId="12650FE3" w14:textId="77777777" w:rsidR="0090679D" w:rsidRDefault="001853C6" w:rsidP="00703933">
      <w:pPr>
        <w:jc w:val="both"/>
      </w:pPr>
      <w:r>
        <w:t xml:space="preserve">All’inizio di ogni </w:t>
      </w:r>
      <w:r w:rsidR="0008189D">
        <w:t>periodo di programmazione settennale, la Commissione</w:t>
      </w:r>
      <w:r w:rsidR="00CE1C0D">
        <w:t xml:space="preserve"> e gli Stati membri identificano le priorità fondamentali</w:t>
      </w:r>
      <w:r w:rsidR="00E82405">
        <w:t xml:space="preserve"> </w:t>
      </w:r>
      <w:r w:rsidR="004D5AE8">
        <w:t xml:space="preserve">nell’ambito dei </w:t>
      </w:r>
      <w:r w:rsidR="004D5AE8">
        <w:rPr>
          <w:i/>
          <w:iCs/>
        </w:rPr>
        <w:t xml:space="preserve">programmi nazionali o regionali, </w:t>
      </w:r>
      <w:r w:rsidR="002D5D5B">
        <w:t>a cui destinare i fondi</w:t>
      </w:r>
      <w:r w:rsidR="00E64C96">
        <w:t xml:space="preserve">. </w:t>
      </w:r>
      <w:r w:rsidR="00066745">
        <w:t>Una volta ottenuta l’approvazione dei programmi, i singoli Stati membri</w:t>
      </w:r>
      <w:r w:rsidR="00422550">
        <w:t xml:space="preserve"> </w:t>
      </w:r>
      <w:r w:rsidR="00CD7F7F">
        <w:t>saranno</w:t>
      </w:r>
      <w:r w:rsidR="00422550">
        <w:t xml:space="preserve"> responsabili dell’attuazione dei progetti</w:t>
      </w:r>
      <w:r w:rsidR="00AE08D3">
        <w:t xml:space="preserve"> e alla Commissione spetterà il co</w:t>
      </w:r>
      <w:r w:rsidR="009E145F">
        <w:t xml:space="preserve">ntrollo dell’esecuzione </w:t>
      </w:r>
      <w:r w:rsidR="00BF2FC6">
        <w:t>degli stess</w:t>
      </w:r>
      <w:r w:rsidR="00E5664D">
        <w:t>i</w:t>
      </w:r>
      <w:r w:rsidR="009E12A1">
        <w:t>. È di fondamentale importanza rico</w:t>
      </w:r>
      <w:r w:rsidR="00CC2753">
        <w:t xml:space="preserve">rdare che la </w:t>
      </w:r>
      <w:r w:rsidR="00CC2753">
        <w:rPr>
          <w:i/>
          <w:iCs/>
        </w:rPr>
        <w:t>gestione concorrente</w:t>
      </w:r>
      <w:r w:rsidR="00CC2753">
        <w:t xml:space="preserve"> si basa sul principio del partenariato</w:t>
      </w:r>
      <w:r w:rsidR="00827A30">
        <w:t xml:space="preserve">, </w:t>
      </w:r>
      <w:r w:rsidR="000933B3">
        <w:t>fondato</w:t>
      </w:r>
      <w:r w:rsidR="00F93875">
        <w:t xml:space="preserve"> sulla collaborazione di tutte le parti interessante. </w:t>
      </w:r>
      <w:r w:rsidR="00B11CD1">
        <w:t xml:space="preserve">Infatti, al fine di poter </w:t>
      </w:r>
      <w:r w:rsidR="00AC7284">
        <w:t>beneficiare dei finanziamenti, ciascun Stato membro deve preparare un accordo di partenariato</w:t>
      </w:r>
      <w:r w:rsidR="007E26D0">
        <w:t>; cioè</w:t>
      </w:r>
      <w:r w:rsidR="009479D1">
        <w:t xml:space="preserve"> un documento strategico </w:t>
      </w:r>
      <w:r w:rsidR="00D82ADA">
        <w:t>per la pianificazione degli investimenti</w:t>
      </w:r>
      <w:r w:rsidR="002C0AFD">
        <w:t>,</w:t>
      </w:r>
      <w:r w:rsidR="00D82ADA">
        <w:t xml:space="preserve"> che definisce i piani delle autorità nazionali </w:t>
      </w:r>
      <w:r w:rsidR="007F04E0">
        <w:t>relativi all’utilizzo delle risorse</w:t>
      </w:r>
      <w:r w:rsidR="00045E3F">
        <w:t xml:space="preserve">, riportando la dotazione finanziaria annuale indicativa per </w:t>
      </w:r>
      <w:r w:rsidR="008A15C1">
        <w:t xml:space="preserve">ogni programma. </w:t>
      </w:r>
      <w:r w:rsidR="00FB009F">
        <w:t>In sintesi,</w:t>
      </w:r>
      <w:r w:rsidR="005F159D">
        <w:t xml:space="preserve"> tale modello consente una compartecipazione</w:t>
      </w:r>
      <w:r w:rsidR="00065EF0">
        <w:t xml:space="preserve"> al </w:t>
      </w:r>
      <w:r w:rsidR="004400A4">
        <w:t xml:space="preserve">finanziamento dei progetti </w:t>
      </w:r>
      <w:r w:rsidR="00703933">
        <w:t xml:space="preserve">da parte del bilancio UE e quello nazionale. </w:t>
      </w:r>
      <w:r w:rsidR="00DF242E">
        <w:t xml:space="preserve">Sul sito ufficiale della Commissione Europea è possibile </w:t>
      </w:r>
      <w:r w:rsidR="00D3202F">
        <w:t>analizzare i programmi adottati dai singoli Paesi membri.</w:t>
      </w:r>
    </w:p>
    <w:p w14:paraId="6753CDC2" w14:textId="68F4CCE3" w:rsidR="00117C85" w:rsidRPr="0090679D" w:rsidRDefault="00BC6FD9" w:rsidP="00703933">
      <w:pPr>
        <w:jc w:val="both"/>
      </w:pPr>
      <w:r w:rsidRPr="009F4999">
        <w:rPr>
          <w:b/>
          <w:bCs/>
          <w:i/>
          <w:iCs/>
        </w:rPr>
        <w:lastRenderedPageBreak/>
        <w:t>Istruzione, formazione e apprendimento permanente</w:t>
      </w:r>
    </w:p>
    <w:p w14:paraId="268EDA0E" w14:textId="22F8AE51" w:rsidR="00527A28" w:rsidRDefault="00697D12" w:rsidP="00703933">
      <w:pPr>
        <w:jc w:val="both"/>
      </w:pPr>
      <w:r>
        <w:t>L’elaborato in questione si prefigge di analizzare il</w:t>
      </w:r>
      <w:r w:rsidR="0049437E">
        <w:t xml:space="preserve"> primo pilastro dei</w:t>
      </w:r>
      <w:r w:rsidR="00D17932" w:rsidRPr="00D17932">
        <w:t xml:space="preserve"> </w:t>
      </w:r>
      <w:r w:rsidR="00D17932" w:rsidRPr="00D17932">
        <w:rPr>
          <w:i/>
          <w:iCs/>
        </w:rPr>
        <w:t>“20 principles of the European Pillar of Social Rights”</w:t>
      </w:r>
      <w:r w:rsidR="001E7CEF">
        <w:rPr>
          <w:i/>
          <w:iCs/>
        </w:rPr>
        <w:t xml:space="preserve"> </w:t>
      </w:r>
      <w:r w:rsidR="001E7CEF">
        <w:t>che</w:t>
      </w:r>
      <w:r w:rsidR="00D17932">
        <w:rPr>
          <w:i/>
          <w:iCs/>
        </w:rPr>
        <w:t xml:space="preserve"> </w:t>
      </w:r>
      <w:r w:rsidR="0004638A">
        <w:t xml:space="preserve">si focalizza sul garantire </w:t>
      </w:r>
      <w:r w:rsidR="00D37846">
        <w:t xml:space="preserve">ad ogni cittadino europeo il </w:t>
      </w:r>
      <w:r w:rsidR="009431E1">
        <w:t>diritto all’istruzione, alla formazione e ad un apprendimento permanente</w:t>
      </w:r>
      <w:r w:rsidR="00B7111E">
        <w:t xml:space="preserve">. </w:t>
      </w:r>
      <w:r w:rsidR="00036878">
        <w:t xml:space="preserve">Oggigiorno </w:t>
      </w:r>
      <w:r w:rsidR="00EE5DD2">
        <w:t xml:space="preserve">si è consapevoli del fatto che l’istruzione si configuri come </w:t>
      </w:r>
      <w:r w:rsidR="009B1CE1">
        <w:t xml:space="preserve">uno dei pochi e </w:t>
      </w:r>
      <w:r w:rsidR="005A1C39">
        <w:t>chiari fattori di mobilità sociale</w:t>
      </w:r>
      <w:r w:rsidR="007E4146">
        <w:t>,</w:t>
      </w:r>
      <w:r w:rsidR="00C77A18">
        <w:t xml:space="preserve"> non a caso</w:t>
      </w:r>
      <w:r w:rsidR="00C851E6">
        <w:t xml:space="preserve"> la Commissione Europea ripone particolare attenzione alla dotazione di conoscenze e comp</w:t>
      </w:r>
      <w:r w:rsidR="005C3973">
        <w:t xml:space="preserve">etenze di tutti i cittadini europei, considerandola la </w:t>
      </w:r>
      <w:r w:rsidR="00AB682B">
        <w:t xml:space="preserve">pietra angolare per una </w:t>
      </w:r>
      <w:r w:rsidR="00AB682B">
        <w:rPr>
          <w:i/>
          <w:iCs/>
        </w:rPr>
        <w:t>società della conoscenza</w:t>
      </w:r>
      <w:r w:rsidR="00912885">
        <w:t>;</w:t>
      </w:r>
      <w:r w:rsidR="00AB682B">
        <w:t xml:space="preserve"> per tanto</w:t>
      </w:r>
      <w:r w:rsidR="00912885">
        <w:t>,</w:t>
      </w:r>
      <w:r w:rsidR="00C77A18">
        <w:t xml:space="preserve"> si è prefissata un obiettivo alquanto ambizioso, </w:t>
      </w:r>
      <w:r w:rsidR="0098049D">
        <w:t xml:space="preserve">cioè il raggiungimento della partecipazione annua alla </w:t>
      </w:r>
      <w:r w:rsidR="00801D9C">
        <w:t>formazione di almeno il 60% di tutti gli adulti entro il 2030.</w:t>
      </w:r>
      <w:r w:rsidR="00627FE9">
        <w:t xml:space="preserve"> </w:t>
      </w:r>
    </w:p>
    <w:p w14:paraId="590D66C8" w14:textId="2391FB23" w:rsidR="006F4C51" w:rsidRDefault="00527A28" w:rsidP="006F4C51">
      <w:pPr>
        <w:jc w:val="both"/>
      </w:pPr>
      <w:r>
        <w:t xml:space="preserve">Nell’ambito della formazione e dell’istruzione, la Commissione </w:t>
      </w:r>
      <w:r w:rsidR="00513D46">
        <w:t>ha intrapreso numerose azioni</w:t>
      </w:r>
      <w:r w:rsidR="00D957F4">
        <w:t xml:space="preserve"> specifiche</w:t>
      </w:r>
      <w:r w:rsidR="006F4C51">
        <w:t>, tra le quali</w:t>
      </w:r>
      <w:r w:rsidR="00C90EA0">
        <w:t xml:space="preserve"> figurano: </w:t>
      </w:r>
    </w:p>
    <w:p w14:paraId="6D8E03DB" w14:textId="0DB248B4" w:rsidR="005E5A38" w:rsidRDefault="002741FB" w:rsidP="006F4C51">
      <w:pPr>
        <w:pStyle w:val="Paragrafoelenco"/>
        <w:numPr>
          <w:ilvl w:val="0"/>
          <w:numId w:val="7"/>
        </w:numPr>
        <w:jc w:val="both"/>
      </w:pPr>
      <w:r w:rsidRPr="00F94F19">
        <w:rPr>
          <w:i/>
          <w:iCs/>
        </w:rPr>
        <w:t>European Skills Agenda</w:t>
      </w:r>
      <w:r w:rsidR="00CF6A76">
        <w:t xml:space="preserve"> </w:t>
      </w:r>
      <w:r w:rsidR="00CE3343">
        <w:t>(Agenda europea per le competenze)</w:t>
      </w:r>
    </w:p>
    <w:p w14:paraId="561360DB" w14:textId="374C682C" w:rsidR="002741FB" w:rsidRDefault="002741FB" w:rsidP="006F4C51">
      <w:pPr>
        <w:pStyle w:val="Paragrafoelenco"/>
        <w:numPr>
          <w:ilvl w:val="0"/>
          <w:numId w:val="7"/>
        </w:numPr>
        <w:jc w:val="both"/>
      </w:pPr>
      <w:r w:rsidRPr="0078323C">
        <w:rPr>
          <w:i/>
          <w:iCs/>
        </w:rPr>
        <w:t>Council Reccomendation for Vocational Education and Training</w:t>
      </w:r>
      <w:r>
        <w:t xml:space="preserve"> </w:t>
      </w:r>
      <w:r w:rsidR="00CE3343">
        <w:t>(Raccomandazione del C</w:t>
      </w:r>
      <w:r w:rsidR="00A667C2">
        <w:t xml:space="preserve">onsiglio per l’istruzione e la formazione professionale) </w:t>
      </w:r>
    </w:p>
    <w:p w14:paraId="12B48BD6" w14:textId="4125BE21" w:rsidR="002741FB" w:rsidRDefault="002741FB" w:rsidP="006F4C51">
      <w:pPr>
        <w:pStyle w:val="Paragrafoelenco"/>
        <w:numPr>
          <w:ilvl w:val="0"/>
          <w:numId w:val="7"/>
        </w:numPr>
        <w:jc w:val="both"/>
      </w:pPr>
      <w:r w:rsidRPr="00F94F19">
        <w:rPr>
          <w:i/>
          <w:iCs/>
        </w:rPr>
        <w:t>Pact for Skills</w:t>
      </w:r>
      <w:r w:rsidR="00A667C2">
        <w:t xml:space="preserve"> (Patto per le competenze) </w:t>
      </w:r>
    </w:p>
    <w:p w14:paraId="0F378416" w14:textId="349116AA" w:rsidR="002741FB" w:rsidRDefault="00691AB9" w:rsidP="006F4C51">
      <w:pPr>
        <w:pStyle w:val="Paragrafoelenco"/>
        <w:numPr>
          <w:ilvl w:val="0"/>
          <w:numId w:val="7"/>
        </w:numPr>
        <w:jc w:val="both"/>
      </w:pPr>
      <w:r w:rsidRPr="00F94F19">
        <w:rPr>
          <w:i/>
          <w:iCs/>
        </w:rPr>
        <w:t>European Education Area</w:t>
      </w:r>
      <w:r w:rsidR="00A667C2">
        <w:t xml:space="preserve"> (Spazio europeo per l’istruzione)</w:t>
      </w:r>
    </w:p>
    <w:p w14:paraId="22D585A7" w14:textId="33087F83" w:rsidR="00691AB9" w:rsidRDefault="00691AB9" w:rsidP="006F4C51">
      <w:pPr>
        <w:pStyle w:val="Paragrafoelenco"/>
        <w:numPr>
          <w:ilvl w:val="0"/>
          <w:numId w:val="7"/>
        </w:numPr>
        <w:jc w:val="both"/>
      </w:pPr>
      <w:r w:rsidRPr="00F94F19">
        <w:rPr>
          <w:i/>
          <w:iCs/>
        </w:rPr>
        <w:t>Digital Education Action Plan 2021</w:t>
      </w:r>
      <w:r w:rsidR="00CF6A76" w:rsidRPr="00F94F19">
        <w:rPr>
          <w:i/>
          <w:iCs/>
        </w:rPr>
        <w:t>-2027</w:t>
      </w:r>
      <w:r w:rsidR="00CF6A76">
        <w:t xml:space="preserve"> </w:t>
      </w:r>
      <w:r w:rsidR="00A667C2">
        <w:t xml:space="preserve"> </w:t>
      </w:r>
      <w:r w:rsidR="00360F90">
        <w:t>(</w:t>
      </w:r>
      <w:r w:rsidR="00A667C2">
        <w:t>Piano d’azione per l’istruzione digitale)</w:t>
      </w:r>
    </w:p>
    <w:p w14:paraId="2F390184" w14:textId="7B9608DF" w:rsidR="00CF6A76" w:rsidRDefault="00CF6A76" w:rsidP="006F4C51">
      <w:pPr>
        <w:pStyle w:val="Paragrafoelenco"/>
        <w:numPr>
          <w:ilvl w:val="0"/>
          <w:numId w:val="7"/>
        </w:numPr>
        <w:jc w:val="both"/>
      </w:pPr>
      <w:r w:rsidRPr="00F94F19">
        <w:rPr>
          <w:i/>
          <w:iCs/>
        </w:rPr>
        <w:t>Individual Learning Accounts and Micro-Credentials Framework</w:t>
      </w:r>
      <w:r w:rsidR="00A667C2">
        <w:t xml:space="preserve"> (Account</w:t>
      </w:r>
      <w:r w:rsidR="00427D02">
        <w:t>/Conti</w:t>
      </w:r>
      <w:r w:rsidR="00A667C2">
        <w:t xml:space="preserve"> di apprendimento individuali e framework di micro-credenziali)</w:t>
      </w:r>
    </w:p>
    <w:p w14:paraId="01DE2DF3" w14:textId="1D5199C2" w:rsidR="00CF6A76" w:rsidRPr="00D17932" w:rsidRDefault="00CF6A76" w:rsidP="006F4C51">
      <w:pPr>
        <w:pStyle w:val="Paragrafoelenco"/>
        <w:numPr>
          <w:ilvl w:val="0"/>
          <w:numId w:val="7"/>
        </w:numPr>
        <w:jc w:val="both"/>
      </w:pPr>
      <w:r w:rsidRPr="00F94F19">
        <w:rPr>
          <w:i/>
          <w:iCs/>
        </w:rPr>
        <w:t>Skills and talent package</w:t>
      </w:r>
      <w:r w:rsidR="00A667C2">
        <w:t xml:space="preserve"> (Pacchetto di competenze e talenti) </w:t>
      </w:r>
    </w:p>
    <w:p w14:paraId="15E2CD7B" w14:textId="4F9D72B0" w:rsidR="00E5664D" w:rsidRDefault="00AB35CA" w:rsidP="004B14FB">
      <w:r>
        <w:t>È possibile enucleare ogni singolo intervento</w:t>
      </w:r>
      <w:r w:rsidR="00FF4DE2">
        <w:t>,</w:t>
      </w:r>
      <w:r w:rsidR="0074717D">
        <w:t xml:space="preserve"> specificandone le caratteristiche fondamentali</w:t>
      </w:r>
      <w:r w:rsidR="007C2E5A">
        <w:t xml:space="preserve"> e </w:t>
      </w:r>
      <w:r w:rsidR="00C56920">
        <w:t>i rispettivi legami.</w:t>
      </w:r>
    </w:p>
    <w:p w14:paraId="3F18DE86" w14:textId="3A0C8F2E" w:rsidR="002F3C23" w:rsidRPr="009F4999" w:rsidRDefault="002F3C23" w:rsidP="004B14FB">
      <w:pPr>
        <w:rPr>
          <w:i/>
          <w:iCs/>
        </w:rPr>
      </w:pPr>
      <w:r w:rsidRPr="009F4999">
        <w:rPr>
          <w:b/>
          <w:bCs/>
          <w:i/>
          <w:iCs/>
        </w:rPr>
        <w:t>Agenda europea per le competenze</w:t>
      </w:r>
    </w:p>
    <w:p w14:paraId="47B196D0" w14:textId="098F5A46" w:rsidR="002F3C23" w:rsidRDefault="00A34728" w:rsidP="0067098C">
      <w:pPr>
        <w:jc w:val="both"/>
      </w:pPr>
      <w:r>
        <w:t>L’</w:t>
      </w:r>
      <w:r w:rsidR="002A0759">
        <w:t xml:space="preserve"> Agenda europea per le competenze nasce dalla consapevolezza </w:t>
      </w:r>
      <w:r w:rsidR="00A93C19">
        <w:t>di come</w:t>
      </w:r>
      <w:r w:rsidR="00564568">
        <w:t xml:space="preserve"> </w:t>
      </w:r>
      <w:r w:rsidR="0054089F">
        <w:t>le</w:t>
      </w:r>
      <w:r w:rsidR="003F6F43">
        <w:t xml:space="preserve"> incombenti</w:t>
      </w:r>
      <w:r w:rsidR="0054089F">
        <w:t xml:space="preserve"> trasformazioni climatiche e digitali</w:t>
      </w:r>
      <w:r w:rsidR="00B56CD4">
        <w:t xml:space="preserve"> </w:t>
      </w:r>
      <w:r w:rsidR="009F76E9">
        <w:t>s</w:t>
      </w:r>
      <w:r w:rsidR="00C97039">
        <w:t>iano in grado di</w:t>
      </w:r>
      <w:r w:rsidR="009F76E9">
        <w:t xml:space="preserve"> mu</w:t>
      </w:r>
      <w:r w:rsidR="004A55B1">
        <w:t xml:space="preserve">tare </w:t>
      </w:r>
      <w:r w:rsidR="009F76E9">
        <w:t>le modalità di svolgimento dell’attività lavorativa</w:t>
      </w:r>
      <w:r w:rsidR="00F8466E">
        <w:t xml:space="preserve"> e di partecipazione alla vita sociale</w:t>
      </w:r>
      <w:r w:rsidR="004C353E">
        <w:t>; affinché l’Europa sia in grado di sfruttare le opportunità generate da tali cambiamenti</w:t>
      </w:r>
      <w:r w:rsidR="00A163DD">
        <w:t xml:space="preserve">, è necessario lo sviluppo </w:t>
      </w:r>
      <w:r w:rsidR="00DA23F7">
        <w:t xml:space="preserve">di adeguate competenze </w:t>
      </w:r>
      <w:r w:rsidR="009030D1">
        <w:t>per i cittadini europei</w:t>
      </w:r>
      <w:r w:rsidR="0040429E">
        <w:t>.</w:t>
      </w:r>
      <w:r w:rsidR="009030D1">
        <w:t xml:space="preserve"> </w:t>
      </w:r>
    </w:p>
    <w:p w14:paraId="1339AF80" w14:textId="5268BA79" w:rsidR="004A55B1" w:rsidRDefault="004A55B1" w:rsidP="0067098C">
      <w:pPr>
        <w:jc w:val="both"/>
      </w:pPr>
      <w:r>
        <w:t xml:space="preserve">Infatti, l’Agenda si configura come un </w:t>
      </w:r>
      <w:r w:rsidR="000047E7">
        <w:t xml:space="preserve">piano quinquennale, che comprende 12 azioni, organizzate </w:t>
      </w:r>
      <w:r w:rsidR="001334A2">
        <w:t>in base a quattro ele</w:t>
      </w:r>
      <w:r w:rsidR="00FC3FC5">
        <w:t>menti costitutivi:</w:t>
      </w:r>
    </w:p>
    <w:p w14:paraId="5A85596B" w14:textId="58F6971A" w:rsidR="00FC3FC5" w:rsidRDefault="002551DC" w:rsidP="0067098C">
      <w:pPr>
        <w:pStyle w:val="Paragrafoelenco"/>
        <w:numPr>
          <w:ilvl w:val="0"/>
          <w:numId w:val="8"/>
        </w:numPr>
        <w:jc w:val="both"/>
      </w:pPr>
      <w:r>
        <w:t xml:space="preserve">Un appello ad unire le forze in un’azione collettiva </w:t>
      </w:r>
    </w:p>
    <w:p w14:paraId="7C9054D6" w14:textId="7B03B02D" w:rsidR="002551DC" w:rsidRDefault="002551DC" w:rsidP="0067098C">
      <w:pPr>
        <w:pStyle w:val="Paragrafoelenco"/>
        <w:numPr>
          <w:ilvl w:val="0"/>
          <w:numId w:val="8"/>
        </w:numPr>
        <w:jc w:val="both"/>
      </w:pPr>
      <w:r>
        <w:t>Azion</w:t>
      </w:r>
      <w:r w:rsidR="00E9478D">
        <w:t>i</w:t>
      </w:r>
      <w:r>
        <w:t xml:space="preserve"> volte a garantire </w:t>
      </w:r>
      <w:r w:rsidR="00AF2315">
        <w:t>le giuste competenze sul luogo di lavoro</w:t>
      </w:r>
    </w:p>
    <w:p w14:paraId="1C02F203" w14:textId="1CA8678F" w:rsidR="00AF2315" w:rsidRPr="00F0475A" w:rsidRDefault="00AF2315" w:rsidP="0067098C">
      <w:pPr>
        <w:pStyle w:val="Paragrafoelenco"/>
        <w:numPr>
          <w:ilvl w:val="0"/>
          <w:numId w:val="8"/>
        </w:numPr>
        <w:jc w:val="both"/>
      </w:pPr>
      <w:r>
        <w:t>Strumenti e iniziative atte al sostegno delle persone nei loro percorsi di apprendimento permanente (</w:t>
      </w:r>
      <w:r w:rsidR="00DC284C">
        <w:t xml:space="preserve">c.d. </w:t>
      </w:r>
      <w:r w:rsidR="00F0475A">
        <w:rPr>
          <w:i/>
          <w:iCs/>
        </w:rPr>
        <w:t xml:space="preserve">lifelong learning) </w:t>
      </w:r>
    </w:p>
    <w:p w14:paraId="33387FD9" w14:textId="77777777" w:rsidR="00591859" w:rsidRDefault="0077341F" w:rsidP="0067098C">
      <w:pPr>
        <w:pStyle w:val="Paragrafoelenco"/>
        <w:numPr>
          <w:ilvl w:val="0"/>
          <w:numId w:val="8"/>
        </w:numPr>
        <w:jc w:val="both"/>
      </w:pPr>
      <w:r>
        <w:t xml:space="preserve">Un insieme di azioni finalizzate a </w:t>
      </w:r>
      <w:r w:rsidR="008C4E1C">
        <w:t>“liberare” gli investimenti nelle competenze</w:t>
      </w:r>
    </w:p>
    <w:p w14:paraId="4C9E136A" w14:textId="77777777" w:rsidR="00B0091A" w:rsidRDefault="00591859" w:rsidP="00591859">
      <w:r>
        <w:t xml:space="preserve">Il raggiungimento degli obiettivi entro il 2025 si basa </w:t>
      </w:r>
      <w:r w:rsidR="00614BFB">
        <w:t>su una serie di indicatori quantitativi</w:t>
      </w:r>
      <w:r w:rsidR="00B0091A"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6071D" w14:paraId="5EBBE2AE" w14:textId="77777777" w:rsidTr="0003328A">
        <w:trPr>
          <w:trHeight w:val="186"/>
        </w:trPr>
        <w:tc>
          <w:tcPr>
            <w:tcW w:w="2394" w:type="dxa"/>
          </w:tcPr>
          <w:p w14:paraId="76AADEB1" w14:textId="56BA1623" w:rsidR="0066071D" w:rsidRPr="0003328A" w:rsidRDefault="0066071D" w:rsidP="00591859">
            <w:pPr>
              <w:rPr>
                <w:sz w:val="20"/>
                <w:szCs w:val="20"/>
              </w:rPr>
            </w:pPr>
            <w:r w:rsidRPr="0003328A">
              <w:rPr>
                <w:sz w:val="20"/>
                <w:szCs w:val="20"/>
              </w:rPr>
              <w:t>Indicatori</w:t>
            </w:r>
          </w:p>
        </w:tc>
        <w:tc>
          <w:tcPr>
            <w:tcW w:w="2394" w:type="dxa"/>
          </w:tcPr>
          <w:p w14:paraId="142E290F" w14:textId="75ADEBA3" w:rsidR="0066071D" w:rsidRPr="0003328A" w:rsidRDefault="00033E98" w:rsidP="00591859">
            <w:pPr>
              <w:rPr>
                <w:sz w:val="20"/>
                <w:szCs w:val="20"/>
              </w:rPr>
            </w:pPr>
            <w:r w:rsidRPr="0003328A">
              <w:rPr>
                <w:sz w:val="20"/>
                <w:szCs w:val="20"/>
              </w:rPr>
              <w:t>Obiettivi entro il 2025</w:t>
            </w:r>
          </w:p>
        </w:tc>
        <w:tc>
          <w:tcPr>
            <w:tcW w:w="2394" w:type="dxa"/>
          </w:tcPr>
          <w:p w14:paraId="49E9E88F" w14:textId="7A530CCC" w:rsidR="0066071D" w:rsidRPr="0003328A" w:rsidRDefault="00033E98" w:rsidP="00591859">
            <w:pPr>
              <w:rPr>
                <w:sz w:val="20"/>
                <w:szCs w:val="20"/>
              </w:rPr>
            </w:pPr>
            <w:r w:rsidRPr="0003328A">
              <w:rPr>
                <w:sz w:val="20"/>
                <w:szCs w:val="20"/>
              </w:rPr>
              <w:t xml:space="preserve">Livello corrente (ultimo anno disponibile) </w:t>
            </w:r>
          </w:p>
        </w:tc>
        <w:tc>
          <w:tcPr>
            <w:tcW w:w="2394" w:type="dxa"/>
          </w:tcPr>
          <w:p w14:paraId="2D8B9410" w14:textId="571AD499" w:rsidR="0066071D" w:rsidRPr="0003328A" w:rsidRDefault="00033E98" w:rsidP="00591859">
            <w:pPr>
              <w:rPr>
                <w:sz w:val="20"/>
                <w:szCs w:val="20"/>
              </w:rPr>
            </w:pPr>
            <w:r w:rsidRPr="0003328A">
              <w:rPr>
                <w:sz w:val="20"/>
                <w:szCs w:val="20"/>
              </w:rPr>
              <w:t xml:space="preserve">Incremento percentuale </w:t>
            </w:r>
          </w:p>
        </w:tc>
      </w:tr>
      <w:tr w:rsidR="0066071D" w14:paraId="16D8FBC7" w14:textId="77777777" w:rsidTr="0003328A">
        <w:trPr>
          <w:trHeight w:val="476"/>
        </w:trPr>
        <w:tc>
          <w:tcPr>
            <w:tcW w:w="2394" w:type="dxa"/>
          </w:tcPr>
          <w:p w14:paraId="68F4283E" w14:textId="34435FA6" w:rsidR="0066071D" w:rsidRPr="0003328A" w:rsidRDefault="003F01E8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>Partecipazione degli adulti di età compresa tra 25 e 64 anni all'apprendimento negli ultimi 12 mesi (in %)</w:t>
            </w:r>
          </w:p>
        </w:tc>
        <w:tc>
          <w:tcPr>
            <w:tcW w:w="2394" w:type="dxa"/>
          </w:tcPr>
          <w:p w14:paraId="5367D9EE" w14:textId="77777777" w:rsidR="0066071D" w:rsidRPr="0003328A" w:rsidRDefault="0066071D" w:rsidP="00591859">
            <w:pPr>
              <w:rPr>
                <w:sz w:val="16"/>
                <w:szCs w:val="16"/>
              </w:rPr>
            </w:pPr>
          </w:p>
          <w:p w14:paraId="4095738C" w14:textId="77777777" w:rsidR="00485214" w:rsidRPr="0003328A" w:rsidRDefault="00485214" w:rsidP="00591859">
            <w:pPr>
              <w:rPr>
                <w:sz w:val="16"/>
                <w:szCs w:val="16"/>
              </w:rPr>
            </w:pPr>
          </w:p>
          <w:p w14:paraId="79B8B61A" w14:textId="67C83384" w:rsidR="00485214" w:rsidRPr="0003328A" w:rsidRDefault="00485214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 xml:space="preserve">  50%</w:t>
            </w:r>
          </w:p>
        </w:tc>
        <w:tc>
          <w:tcPr>
            <w:tcW w:w="2394" w:type="dxa"/>
          </w:tcPr>
          <w:p w14:paraId="79796413" w14:textId="77777777" w:rsidR="0066071D" w:rsidRPr="0003328A" w:rsidRDefault="0066071D" w:rsidP="00591859">
            <w:pPr>
              <w:rPr>
                <w:sz w:val="16"/>
                <w:szCs w:val="16"/>
              </w:rPr>
            </w:pPr>
          </w:p>
          <w:p w14:paraId="62241979" w14:textId="77777777" w:rsidR="00485214" w:rsidRPr="0003328A" w:rsidRDefault="00485214" w:rsidP="00591859">
            <w:pPr>
              <w:rPr>
                <w:sz w:val="16"/>
                <w:szCs w:val="16"/>
              </w:rPr>
            </w:pPr>
          </w:p>
          <w:p w14:paraId="3E2EECA5" w14:textId="0FA4D6FC" w:rsidR="00485214" w:rsidRPr="0003328A" w:rsidRDefault="00485214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 xml:space="preserve">  </w:t>
            </w:r>
            <w:r w:rsidR="00EF1739" w:rsidRPr="0003328A">
              <w:rPr>
                <w:sz w:val="16"/>
                <w:szCs w:val="16"/>
              </w:rPr>
              <w:t>38% (2016)</w:t>
            </w:r>
          </w:p>
        </w:tc>
        <w:tc>
          <w:tcPr>
            <w:tcW w:w="2394" w:type="dxa"/>
          </w:tcPr>
          <w:p w14:paraId="6C4A60B5" w14:textId="77777777" w:rsidR="0066071D" w:rsidRPr="0003328A" w:rsidRDefault="0066071D" w:rsidP="00591859">
            <w:pPr>
              <w:rPr>
                <w:sz w:val="16"/>
                <w:szCs w:val="16"/>
              </w:rPr>
            </w:pPr>
          </w:p>
          <w:p w14:paraId="7A65459D" w14:textId="77777777" w:rsidR="00B25135" w:rsidRPr="0003328A" w:rsidRDefault="00B25135" w:rsidP="00591859">
            <w:pPr>
              <w:rPr>
                <w:sz w:val="16"/>
                <w:szCs w:val="16"/>
              </w:rPr>
            </w:pPr>
          </w:p>
          <w:p w14:paraId="293950AE" w14:textId="0F3A8951" w:rsidR="00B25135" w:rsidRPr="0003328A" w:rsidRDefault="00B25135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 xml:space="preserve">  +32%</w:t>
            </w:r>
          </w:p>
        </w:tc>
      </w:tr>
      <w:tr w:rsidR="0066071D" w14:paraId="5B1F54A1" w14:textId="77777777" w:rsidTr="0003328A">
        <w:trPr>
          <w:trHeight w:val="481"/>
        </w:trPr>
        <w:tc>
          <w:tcPr>
            <w:tcW w:w="2394" w:type="dxa"/>
          </w:tcPr>
          <w:p w14:paraId="1D3FCF98" w14:textId="7FBADDEA" w:rsidR="0066071D" w:rsidRPr="0003328A" w:rsidRDefault="003F01E8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>Partecipazione degli adulti scarsamente qualificati 25-64 anni all'apprendimento negli ultimi 12 mesi (in %)</w:t>
            </w:r>
          </w:p>
        </w:tc>
        <w:tc>
          <w:tcPr>
            <w:tcW w:w="2394" w:type="dxa"/>
          </w:tcPr>
          <w:p w14:paraId="2826DE5D" w14:textId="77777777" w:rsidR="0066071D" w:rsidRPr="0003328A" w:rsidRDefault="0066071D" w:rsidP="00591859">
            <w:pPr>
              <w:rPr>
                <w:sz w:val="16"/>
                <w:szCs w:val="16"/>
              </w:rPr>
            </w:pPr>
          </w:p>
          <w:p w14:paraId="45853CCD" w14:textId="77777777" w:rsidR="00485214" w:rsidRPr="0003328A" w:rsidRDefault="00485214" w:rsidP="00591859">
            <w:pPr>
              <w:rPr>
                <w:sz w:val="16"/>
                <w:szCs w:val="16"/>
              </w:rPr>
            </w:pPr>
          </w:p>
          <w:p w14:paraId="340BCCF1" w14:textId="218879C7" w:rsidR="00485214" w:rsidRPr="0003328A" w:rsidRDefault="00485214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 xml:space="preserve">  30%</w:t>
            </w:r>
          </w:p>
        </w:tc>
        <w:tc>
          <w:tcPr>
            <w:tcW w:w="2394" w:type="dxa"/>
          </w:tcPr>
          <w:p w14:paraId="206B225A" w14:textId="77777777" w:rsidR="0066071D" w:rsidRPr="0003328A" w:rsidRDefault="0066071D" w:rsidP="00591859">
            <w:pPr>
              <w:rPr>
                <w:sz w:val="16"/>
                <w:szCs w:val="16"/>
              </w:rPr>
            </w:pPr>
          </w:p>
          <w:p w14:paraId="42A37800" w14:textId="77777777" w:rsidR="00EF1739" w:rsidRPr="0003328A" w:rsidRDefault="00EF1739" w:rsidP="00591859">
            <w:pPr>
              <w:rPr>
                <w:sz w:val="16"/>
                <w:szCs w:val="16"/>
              </w:rPr>
            </w:pPr>
          </w:p>
          <w:p w14:paraId="43C20168" w14:textId="639DE0CE" w:rsidR="00EF1739" w:rsidRPr="0003328A" w:rsidRDefault="00EF1739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 xml:space="preserve">  18% (20</w:t>
            </w:r>
            <w:r w:rsidR="00DC5AF8" w:rsidRPr="0003328A">
              <w:rPr>
                <w:sz w:val="16"/>
                <w:szCs w:val="16"/>
              </w:rPr>
              <w:t>1</w:t>
            </w:r>
            <w:r w:rsidRPr="0003328A">
              <w:rPr>
                <w:sz w:val="16"/>
                <w:szCs w:val="16"/>
              </w:rPr>
              <w:t>6)</w:t>
            </w:r>
          </w:p>
        </w:tc>
        <w:tc>
          <w:tcPr>
            <w:tcW w:w="2394" w:type="dxa"/>
          </w:tcPr>
          <w:p w14:paraId="06615B1A" w14:textId="77777777" w:rsidR="0066071D" w:rsidRPr="0003328A" w:rsidRDefault="0066071D" w:rsidP="00591859">
            <w:pPr>
              <w:rPr>
                <w:sz w:val="16"/>
                <w:szCs w:val="16"/>
              </w:rPr>
            </w:pPr>
          </w:p>
          <w:p w14:paraId="2EE83497" w14:textId="77777777" w:rsidR="00B25135" w:rsidRPr="0003328A" w:rsidRDefault="00B25135" w:rsidP="00591859">
            <w:pPr>
              <w:rPr>
                <w:sz w:val="16"/>
                <w:szCs w:val="16"/>
              </w:rPr>
            </w:pPr>
          </w:p>
          <w:p w14:paraId="04BCD40B" w14:textId="0304F53F" w:rsidR="00B25135" w:rsidRPr="0003328A" w:rsidRDefault="00B25135" w:rsidP="00591859">
            <w:pPr>
              <w:rPr>
                <w:sz w:val="16"/>
                <w:szCs w:val="16"/>
              </w:rPr>
            </w:pPr>
            <w:r w:rsidRPr="0003328A">
              <w:rPr>
                <w:sz w:val="16"/>
                <w:szCs w:val="16"/>
              </w:rPr>
              <w:t xml:space="preserve"> +67%</w:t>
            </w:r>
          </w:p>
        </w:tc>
      </w:tr>
    </w:tbl>
    <w:p w14:paraId="3969E1B2" w14:textId="2BA0A316" w:rsidR="00F0475A" w:rsidRDefault="00F0475A" w:rsidP="00591859">
      <w:pPr>
        <w:rPr>
          <w:sz w:val="14"/>
          <w:szCs w:val="1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570"/>
        <w:gridCol w:w="2571"/>
        <w:gridCol w:w="2571"/>
        <w:gridCol w:w="1916"/>
      </w:tblGrid>
      <w:tr w:rsidR="008E03EB" w14:paraId="7255910E" w14:textId="088C638E" w:rsidTr="008E03EB">
        <w:trPr>
          <w:trHeight w:val="164"/>
        </w:trPr>
        <w:tc>
          <w:tcPr>
            <w:tcW w:w="1335" w:type="pct"/>
          </w:tcPr>
          <w:p w14:paraId="198990DD" w14:textId="3887522B" w:rsidR="008E03EB" w:rsidRDefault="008E03EB" w:rsidP="008E03EB">
            <w:pPr>
              <w:jc w:val="both"/>
            </w:pPr>
            <w:r w:rsidRPr="0003328A">
              <w:rPr>
                <w:sz w:val="16"/>
                <w:szCs w:val="16"/>
              </w:rPr>
              <w:lastRenderedPageBreak/>
              <w:t>Percentuale di adulti disoccupati di età compresa tra 25 e 64 anni con una recente esperienza di apprendimento (in %)</w:t>
            </w:r>
          </w:p>
        </w:tc>
        <w:tc>
          <w:tcPr>
            <w:tcW w:w="1335" w:type="pct"/>
          </w:tcPr>
          <w:p w14:paraId="3A680F8B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45290BC1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4D8725D8" w14:textId="52B4D729" w:rsidR="008E03EB" w:rsidRDefault="008E03EB" w:rsidP="008E03EB">
            <w:pPr>
              <w:jc w:val="both"/>
            </w:pPr>
            <w:r w:rsidRPr="0003328A">
              <w:rPr>
                <w:sz w:val="16"/>
                <w:szCs w:val="16"/>
              </w:rPr>
              <w:t xml:space="preserve">  20%</w:t>
            </w:r>
          </w:p>
        </w:tc>
        <w:tc>
          <w:tcPr>
            <w:tcW w:w="1335" w:type="pct"/>
          </w:tcPr>
          <w:p w14:paraId="7EAF16E2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1E0DD7E3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54C3B076" w14:textId="141FD5A4" w:rsidR="008E03EB" w:rsidRDefault="008E03EB" w:rsidP="008E03EB">
            <w:pPr>
              <w:jc w:val="both"/>
            </w:pPr>
            <w:r w:rsidRPr="0003328A">
              <w:rPr>
                <w:sz w:val="16"/>
                <w:szCs w:val="16"/>
              </w:rPr>
              <w:t xml:space="preserve">  11% (2019)</w:t>
            </w:r>
          </w:p>
        </w:tc>
        <w:tc>
          <w:tcPr>
            <w:tcW w:w="996" w:type="pct"/>
          </w:tcPr>
          <w:p w14:paraId="2453B492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3A42FD29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0CD3E866" w14:textId="36F6E99C" w:rsidR="008E03EB" w:rsidRDefault="008E03EB" w:rsidP="008E03EB">
            <w:r w:rsidRPr="0003328A">
              <w:rPr>
                <w:sz w:val="16"/>
                <w:szCs w:val="16"/>
              </w:rPr>
              <w:t xml:space="preserve">  +82%</w:t>
            </w:r>
          </w:p>
        </w:tc>
      </w:tr>
      <w:tr w:rsidR="008E03EB" w14:paraId="1D448249" w14:textId="396CC5BC" w:rsidTr="008E03EB">
        <w:trPr>
          <w:trHeight w:val="164"/>
        </w:trPr>
        <w:tc>
          <w:tcPr>
            <w:tcW w:w="1335" w:type="pct"/>
          </w:tcPr>
          <w:p w14:paraId="57AABF65" w14:textId="70727757" w:rsidR="008E03EB" w:rsidRDefault="008E03EB" w:rsidP="008E03EB">
            <w:pPr>
              <w:jc w:val="both"/>
            </w:pPr>
            <w:r w:rsidRPr="0003328A">
              <w:rPr>
                <w:sz w:val="16"/>
                <w:szCs w:val="16"/>
              </w:rPr>
              <w:t>Percentuale di adulti di età compresa tra 16 e 74 anni che possiedono almeno competenze digitali di base (in %)</w:t>
            </w:r>
          </w:p>
        </w:tc>
        <w:tc>
          <w:tcPr>
            <w:tcW w:w="1335" w:type="pct"/>
          </w:tcPr>
          <w:p w14:paraId="72592B68" w14:textId="77777777" w:rsidR="008E03EB" w:rsidRDefault="008E03EB" w:rsidP="008E03EB">
            <w:pPr>
              <w:rPr>
                <w:sz w:val="16"/>
                <w:szCs w:val="16"/>
              </w:rPr>
            </w:pPr>
          </w:p>
          <w:p w14:paraId="61E316B6" w14:textId="77777777" w:rsidR="008E03EB" w:rsidRDefault="008E03EB" w:rsidP="008E03EB">
            <w:pPr>
              <w:rPr>
                <w:sz w:val="16"/>
                <w:szCs w:val="16"/>
              </w:rPr>
            </w:pPr>
          </w:p>
          <w:p w14:paraId="4C7D6287" w14:textId="5FEB2D8A" w:rsidR="008E03EB" w:rsidRDefault="008E03EB" w:rsidP="008E03EB">
            <w:pPr>
              <w:jc w:val="both"/>
            </w:pPr>
            <w:r>
              <w:rPr>
                <w:sz w:val="16"/>
                <w:szCs w:val="16"/>
              </w:rPr>
              <w:t xml:space="preserve">  </w:t>
            </w:r>
            <w:r w:rsidRPr="0003328A">
              <w:rPr>
                <w:sz w:val="16"/>
                <w:szCs w:val="16"/>
              </w:rPr>
              <w:t>70%</w:t>
            </w:r>
          </w:p>
        </w:tc>
        <w:tc>
          <w:tcPr>
            <w:tcW w:w="1335" w:type="pct"/>
          </w:tcPr>
          <w:p w14:paraId="5C3EF6C6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768DFC7E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0139B0E9" w14:textId="401C6390" w:rsidR="008E03EB" w:rsidRDefault="008E03EB" w:rsidP="008E03EB">
            <w:pPr>
              <w:jc w:val="both"/>
            </w:pPr>
            <w:r w:rsidRPr="0003328A">
              <w:rPr>
                <w:sz w:val="16"/>
                <w:szCs w:val="16"/>
              </w:rPr>
              <w:t xml:space="preserve">  56% (2019)</w:t>
            </w:r>
          </w:p>
        </w:tc>
        <w:tc>
          <w:tcPr>
            <w:tcW w:w="996" w:type="pct"/>
          </w:tcPr>
          <w:p w14:paraId="1C245379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38A2F95D" w14:textId="77777777" w:rsidR="008E03EB" w:rsidRPr="0003328A" w:rsidRDefault="008E03EB" w:rsidP="008E03EB">
            <w:pPr>
              <w:rPr>
                <w:sz w:val="16"/>
                <w:szCs w:val="16"/>
              </w:rPr>
            </w:pPr>
          </w:p>
          <w:p w14:paraId="1CEAA2C1" w14:textId="5F45254C" w:rsidR="008E03EB" w:rsidRDefault="008E03EB" w:rsidP="008E03EB">
            <w:r w:rsidRPr="0003328A">
              <w:rPr>
                <w:sz w:val="16"/>
                <w:szCs w:val="16"/>
              </w:rPr>
              <w:t>+25%</w:t>
            </w:r>
          </w:p>
        </w:tc>
      </w:tr>
    </w:tbl>
    <w:p w14:paraId="4C9D4348" w14:textId="330BA466" w:rsidR="008E03EB" w:rsidRDefault="008E03EB" w:rsidP="008E03EB">
      <w:pPr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25DDD">
        <w:rPr>
          <w:sz w:val="14"/>
          <w:szCs w:val="14"/>
        </w:rPr>
        <w:t xml:space="preserve"> Fonte: </w:t>
      </w:r>
      <w:hyperlink r:id="rId14" w:history="1">
        <w:r w:rsidRPr="006438BD">
          <w:rPr>
            <w:rStyle w:val="Collegamentoipertestuale"/>
            <w:sz w:val="14"/>
            <w:szCs w:val="14"/>
          </w:rPr>
          <w:t>https://ec.europa.eu/social/main.jsp?catId=1223&amp;langId=en</w:t>
        </w:r>
      </w:hyperlink>
    </w:p>
    <w:p w14:paraId="335BA912" w14:textId="4856E19D" w:rsidR="004E057C" w:rsidRDefault="00093191" w:rsidP="0067098C">
      <w:pPr>
        <w:jc w:val="both"/>
      </w:pPr>
      <w:r>
        <w:t xml:space="preserve">Per quanto concerne il finanziamento delle iniziative dell’Agenda, quest’ultimo è </w:t>
      </w:r>
      <w:r w:rsidR="001B4ED6">
        <w:t>composto per più del 70% (circa 61,5 miliardi di EUR)</w:t>
      </w:r>
      <w:r w:rsidR="00A041E6">
        <w:t xml:space="preserve"> dalle risorse del Fondo sociale europeo Plus (FSE+)</w:t>
      </w:r>
      <w:r w:rsidR="00F8686D">
        <w:t xml:space="preserve">; inoltre, la Commissione collabora con la Banca europea per gli investimenti </w:t>
      </w:r>
      <w:r w:rsidR="00FC6BE0">
        <w:t>(BEI)</w:t>
      </w:r>
      <w:r w:rsidR="00B0167D">
        <w:t xml:space="preserve">, al fine di individuare meccanismi di finanziamento innovativi per promuovere gli investimenti nelle competenze richieste. </w:t>
      </w:r>
    </w:p>
    <w:p w14:paraId="48DE36FD" w14:textId="249228CC" w:rsidR="00FD74CA" w:rsidRPr="009F4999" w:rsidRDefault="00FD74CA" w:rsidP="00591859">
      <w:pPr>
        <w:rPr>
          <w:b/>
          <w:bCs/>
          <w:i/>
          <w:iCs/>
        </w:rPr>
      </w:pPr>
      <w:r w:rsidRPr="009F4999">
        <w:rPr>
          <w:b/>
          <w:bCs/>
          <w:i/>
          <w:iCs/>
        </w:rPr>
        <w:t xml:space="preserve">Il Patto per le Competenze </w:t>
      </w:r>
    </w:p>
    <w:p w14:paraId="5DFDD2AB" w14:textId="2DC47C82" w:rsidR="00FD74CA" w:rsidRDefault="00B66B37" w:rsidP="000C226C">
      <w:pPr>
        <w:jc w:val="both"/>
      </w:pPr>
      <w:r>
        <w:t xml:space="preserve">Il </w:t>
      </w:r>
      <w:r w:rsidR="001636D6">
        <w:t>P</w:t>
      </w:r>
      <w:r>
        <w:t xml:space="preserve">atto per le competenze è una delle azioni principali dell’Agenda europea, </w:t>
      </w:r>
      <w:r w:rsidR="00F15763">
        <w:t>esso mira a sostenere le organizzazioni pubbliche e private con il migliora</w:t>
      </w:r>
      <w:r w:rsidR="007B12C1">
        <w:t>mento delle competenze e la riqualificazione</w:t>
      </w:r>
      <w:r w:rsidR="00697CAF">
        <w:t xml:space="preserve">. </w:t>
      </w:r>
      <w:r w:rsidR="001D6FC1">
        <w:t>L’adesione al patto può essere intrapresa da un</w:t>
      </w:r>
      <w:r w:rsidR="00607920">
        <w:t xml:space="preserve">a compagine alquanto ampia di corpi sociali, tra i quali: autorità </w:t>
      </w:r>
      <w:r w:rsidR="007B7B26">
        <w:t xml:space="preserve">           </w:t>
      </w:r>
      <w:r w:rsidR="00607920">
        <w:t>nazionali</w:t>
      </w:r>
      <w:r w:rsidR="003A2B0F">
        <w:t>, regionali e locali; compagnie; parti sociali; organizzazioni interprofessionali e settoriali</w:t>
      </w:r>
      <w:r w:rsidR="000C226C">
        <w:t>;</w:t>
      </w:r>
      <w:r w:rsidR="003A2B0F">
        <w:t xml:space="preserve"> camere di commercio; </w:t>
      </w:r>
      <w:r w:rsidR="00555982">
        <w:t>fornitori d’istruzione e formazione e servizi per l’impiego</w:t>
      </w:r>
      <w:r w:rsidR="000C226C">
        <w:t xml:space="preserve">. </w:t>
      </w:r>
    </w:p>
    <w:p w14:paraId="1A370B1A" w14:textId="7987D98A" w:rsidR="008439DD" w:rsidRDefault="001636D6" w:rsidP="008439DD">
      <w:pPr>
        <w:jc w:val="both"/>
      </w:pPr>
      <w:r>
        <w:t>I membri del Patto</w:t>
      </w:r>
      <w:r w:rsidR="00873DDF">
        <w:t xml:space="preserve"> manifestano la volontà di sostenere i </w:t>
      </w:r>
      <w:r w:rsidR="008439DD">
        <w:t xml:space="preserve">suoi </w:t>
      </w:r>
      <w:r w:rsidR="00EC4EBB">
        <w:t>quattro</w:t>
      </w:r>
      <w:r w:rsidR="008439DD">
        <w:t xml:space="preserve"> principi chiave:</w:t>
      </w:r>
    </w:p>
    <w:p w14:paraId="4143BB2B" w14:textId="76F79A58" w:rsidR="001636D6" w:rsidRDefault="008439DD" w:rsidP="008439DD">
      <w:pPr>
        <w:pStyle w:val="Paragrafoelenco"/>
        <w:numPr>
          <w:ilvl w:val="0"/>
          <w:numId w:val="10"/>
        </w:numPr>
        <w:jc w:val="both"/>
      </w:pPr>
      <w:r>
        <w:t>Promuovere una cultura</w:t>
      </w:r>
      <w:r w:rsidR="00F60FEB">
        <w:t xml:space="preserve"> accessibile</w:t>
      </w:r>
      <w:r w:rsidR="008C7130">
        <w:t xml:space="preserve"> </w:t>
      </w:r>
      <w:r w:rsidR="00F60FEB">
        <w:t>dell’apprendimento permanente</w:t>
      </w:r>
      <w:r w:rsidR="008C7130">
        <w:t>.</w:t>
      </w:r>
    </w:p>
    <w:p w14:paraId="23520ABB" w14:textId="0276D0DF" w:rsidR="00F60FEB" w:rsidRDefault="00F60FEB" w:rsidP="008439DD">
      <w:pPr>
        <w:pStyle w:val="Paragrafoelenco"/>
        <w:numPr>
          <w:ilvl w:val="0"/>
          <w:numId w:val="10"/>
        </w:numPr>
        <w:jc w:val="both"/>
      </w:pPr>
      <w:r>
        <w:t>La costruzione di solide re</w:t>
      </w:r>
      <w:r w:rsidR="006D023C">
        <w:t>lazioni di competenze</w:t>
      </w:r>
      <w:r w:rsidR="008C7130">
        <w:t>.</w:t>
      </w:r>
    </w:p>
    <w:p w14:paraId="58706110" w14:textId="00904AA8" w:rsidR="00B41769" w:rsidRDefault="00B41769" w:rsidP="008439DD">
      <w:pPr>
        <w:pStyle w:val="Paragrafoelenco"/>
        <w:numPr>
          <w:ilvl w:val="0"/>
          <w:numId w:val="10"/>
        </w:numPr>
        <w:jc w:val="both"/>
      </w:pPr>
      <w:r>
        <w:t>Monitorare accuratamente l’offerta e la domanda di competenze, cercando di anticiparne il fabbisogno</w:t>
      </w:r>
      <w:r w:rsidR="00E615D0">
        <w:t>.</w:t>
      </w:r>
      <w:r>
        <w:t xml:space="preserve"> </w:t>
      </w:r>
    </w:p>
    <w:p w14:paraId="350B208B" w14:textId="3A8CAD74" w:rsidR="00B41769" w:rsidRDefault="00905C3A" w:rsidP="008439DD">
      <w:pPr>
        <w:pStyle w:val="Paragrafoelenco"/>
        <w:numPr>
          <w:ilvl w:val="0"/>
          <w:numId w:val="10"/>
        </w:numPr>
        <w:jc w:val="both"/>
      </w:pPr>
      <w:r>
        <w:t xml:space="preserve">Manifestare l’impegno nella lotta contro la discriminazione, </w:t>
      </w:r>
      <w:r w:rsidR="00E325F2">
        <w:t>nel garantire la parità di genere e le pari opportunità</w:t>
      </w:r>
      <w:r w:rsidR="00E615D0">
        <w:t>.</w:t>
      </w:r>
      <w:r w:rsidR="00E325F2">
        <w:t xml:space="preserve"> </w:t>
      </w:r>
    </w:p>
    <w:p w14:paraId="45621568" w14:textId="52A66C8C" w:rsidR="008439DD" w:rsidRDefault="002F21D0" w:rsidP="000C226C">
      <w:pPr>
        <w:jc w:val="both"/>
      </w:pPr>
      <w:r>
        <w:t xml:space="preserve">I benefici derivanti dalla partecipazione a tale iniziativa europea sono numerosi; infatti, tutti i membri del Patto hanno la possibilità di beneficiare di tre servizi dedicati: </w:t>
      </w:r>
    </w:p>
    <w:p w14:paraId="50D225E6" w14:textId="044DFEB1" w:rsidR="002F21D0" w:rsidRDefault="00391782" w:rsidP="00391782">
      <w:pPr>
        <w:pStyle w:val="Paragrafoelenco"/>
        <w:numPr>
          <w:ilvl w:val="0"/>
          <w:numId w:val="11"/>
        </w:numPr>
        <w:jc w:val="both"/>
      </w:pPr>
      <w:r>
        <w:t xml:space="preserve">Attraverso il </w:t>
      </w:r>
      <w:r w:rsidR="00D95424">
        <w:rPr>
          <w:i/>
          <w:iCs/>
        </w:rPr>
        <w:t>Networking Hub</w:t>
      </w:r>
      <w:r w:rsidR="00E407CE">
        <w:rPr>
          <w:i/>
          <w:iCs/>
        </w:rPr>
        <w:t xml:space="preserve">, </w:t>
      </w:r>
      <w:r w:rsidR="00E407CE">
        <w:t xml:space="preserve">si è in grado di trovare </w:t>
      </w:r>
      <w:r w:rsidR="003327A7">
        <w:t>collaboratori e strumenti pertinenti (ad esempio, Europass</w:t>
      </w:r>
      <w:r w:rsidR="00EA17B1">
        <w:t xml:space="preserve"> o EURES</w:t>
      </w:r>
      <w:r w:rsidR="003720A8">
        <w:t>)</w:t>
      </w:r>
      <w:r w:rsidR="000F1BBE">
        <w:t>.</w:t>
      </w:r>
    </w:p>
    <w:p w14:paraId="0250149C" w14:textId="68D89225" w:rsidR="003720A8" w:rsidRDefault="003720A8" w:rsidP="00391782">
      <w:pPr>
        <w:pStyle w:val="Paragrafoelenco"/>
        <w:numPr>
          <w:ilvl w:val="0"/>
          <w:numId w:val="11"/>
        </w:numPr>
        <w:jc w:val="both"/>
      </w:pPr>
      <w:r>
        <w:t xml:space="preserve">Il </w:t>
      </w:r>
      <w:r>
        <w:rPr>
          <w:i/>
          <w:iCs/>
        </w:rPr>
        <w:t xml:space="preserve">Knowledge Hub </w:t>
      </w:r>
      <w:r w:rsidR="00A71641">
        <w:t>prevede l’organizzazione di webinar, seminari e attività di apprendimento per i membri</w:t>
      </w:r>
      <w:r w:rsidR="00F32647">
        <w:t xml:space="preserve">. </w:t>
      </w:r>
    </w:p>
    <w:p w14:paraId="5022E89F" w14:textId="318988B3" w:rsidR="00F32647" w:rsidRDefault="00F32647" w:rsidP="00391782">
      <w:pPr>
        <w:pStyle w:val="Paragrafoelenco"/>
        <w:numPr>
          <w:ilvl w:val="0"/>
          <w:numId w:val="11"/>
        </w:numPr>
        <w:jc w:val="both"/>
      </w:pPr>
      <w:r>
        <w:t xml:space="preserve">Il </w:t>
      </w:r>
      <w:r>
        <w:rPr>
          <w:i/>
          <w:iCs/>
        </w:rPr>
        <w:t>Guidance Hub</w:t>
      </w:r>
      <w:r w:rsidR="00B33F35">
        <w:rPr>
          <w:i/>
          <w:iCs/>
        </w:rPr>
        <w:t xml:space="preserve"> </w:t>
      </w:r>
      <w:r w:rsidR="00B33F35">
        <w:t>consente a tutti i membri di reperire informazioni sulle opportunità di finanziamento conferite dall’UE</w:t>
      </w:r>
      <w:r w:rsidR="000F1BBE">
        <w:t xml:space="preserve"> e dalle autorità nazionali. </w:t>
      </w:r>
    </w:p>
    <w:p w14:paraId="767B5AA5" w14:textId="4980F040" w:rsidR="0007424A" w:rsidRPr="009F4999" w:rsidRDefault="0007424A" w:rsidP="0007424A">
      <w:pPr>
        <w:jc w:val="both"/>
        <w:rPr>
          <w:b/>
          <w:bCs/>
          <w:i/>
          <w:iCs/>
        </w:rPr>
      </w:pPr>
      <w:r w:rsidRPr="009F4999">
        <w:rPr>
          <w:b/>
          <w:bCs/>
          <w:i/>
          <w:iCs/>
        </w:rPr>
        <w:t>Spazio europeo per l’istruzione</w:t>
      </w:r>
    </w:p>
    <w:p w14:paraId="58D5FCDA" w14:textId="2D9620BE" w:rsidR="009359D8" w:rsidRPr="003D30B4" w:rsidRDefault="008F6408" w:rsidP="0007424A">
      <w:pPr>
        <w:jc w:val="both"/>
      </w:pPr>
      <w:r w:rsidRPr="003D30B4">
        <w:t>L’iniziativa dell</w:t>
      </w:r>
      <w:r w:rsidR="00C052CC" w:rsidRPr="003D30B4">
        <w:t>o Spazio europeo per l’istruzione (</w:t>
      </w:r>
      <w:r w:rsidR="00C052CC" w:rsidRPr="003D30B4">
        <w:rPr>
          <w:i/>
          <w:iCs/>
        </w:rPr>
        <w:t xml:space="preserve">European Education Area- EEA) </w:t>
      </w:r>
      <w:r w:rsidR="00E57BC5" w:rsidRPr="003D30B4">
        <w:t xml:space="preserve">è volta </w:t>
      </w:r>
      <w:r w:rsidR="00331F0D" w:rsidRPr="003D30B4">
        <w:t>a creare una collaborazione tra gli Stati membri dell’UE</w:t>
      </w:r>
      <w:r w:rsidR="00DA4A26" w:rsidRPr="003D30B4">
        <w:t>,</w:t>
      </w:r>
      <w:r w:rsidR="00331F0D" w:rsidRPr="003D30B4">
        <w:t xml:space="preserve"> al fine di po</w:t>
      </w:r>
      <w:r w:rsidR="00D8293C" w:rsidRPr="003D30B4">
        <w:t xml:space="preserve">ter costruire </w:t>
      </w:r>
      <w:r w:rsidR="00803F9F" w:rsidRPr="003D30B4">
        <w:t xml:space="preserve">veri e proprio sistemi d’istruzione e formazione più inclusivi. </w:t>
      </w:r>
      <w:r w:rsidR="000A207A" w:rsidRPr="003D30B4">
        <w:t xml:space="preserve">Tutti gli sforzi del progetto sono incentrati </w:t>
      </w:r>
      <w:r w:rsidR="00C42AFA" w:rsidRPr="003D30B4">
        <w:t xml:space="preserve">sul miglioramento della qualità ed equità </w:t>
      </w:r>
      <w:r w:rsidR="00FD55DF" w:rsidRPr="003D30B4">
        <w:t xml:space="preserve">dell’istruzione, </w:t>
      </w:r>
      <w:r w:rsidR="00F9118C" w:rsidRPr="003D30B4">
        <w:t xml:space="preserve">sulla valorizzazione </w:t>
      </w:r>
      <w:r w:rsidR="005B0119" w:rsidRPr="003D30B4">
        <w:t>dell’insegnamento</w:t>
      </w:r>
      <w:r w:rsidR="004E4653" w:rsidRPr="003D30B4">
        <w:t xml:space="preserve"> e</w:t>
      </w:r>
      <w:r w:rsidR="005B0119" w:rsidRPr="003D30B4">
        <w:t xml:space="preserve"> sull’educazione verde e digitale</w:t>
      </w:r>
      <w:r w:rsidR="00F761E3" w:rsidRPr="003D30B4">
        <w:t xml:space="preserve">. </w:t>
      </w:r>
      <w:r w:rsidR="009359D8" w:rsidRPr="003D30B4">
        <w:t xml:space="preserve">Al fine di </w:t>
      </w:r>
      <w:r w:rsidR="00217CDC" w:rsidRPr="003D30B4">
        <w:t>strutturare la collaborazione tra le varie realtà nazionali</w:t>
      </w:r>
      <w:r w:rsidR="0070679B" w:rsidRPr="003D30B4">
        <w:t xml:space="preserve"> è stato messo in atto u</w:t>
      </w:r>
      <w:r w:rsidR="00E0492C" w:rsidRPr="003D30B4">
        <w:t xml:space="preserve">n </w:t>
      </w:r>
      <w:r w:rsidR="00B95F23" w:rsidRPr="003D30B4">
        <w:t>“</w:t>
      </w:r>
      <w:r w:rsidR="00B556B5" w:rsidRPr="003D30B4">
        <w:t>quadro strategico</w:t>
      </w:r>
      <w:r w:rsidR="00B95F23" w:rsidRPr="003D30B4">
        <w:t>”</w:t>
      </w:r>
      <w:r w:rsidR="00B556B5" w:rsidRPr="003D30B4">
        <w:t xml:space="preserve"> (</w:t>
      </w:r>
      <w:r w:rsidR="00B95F23" w:rsidRPr="003D30B4">
        <w:rPr>
          <w:i/>
          <w:iCs/>
        </w:rPr>
        <w:t>strategic framework</w:t>
      </w:r>
      <w:r w:rsidR="00B95F23" w:rsidRPr="003D30B4">
        <w:t>)</w:t>
      </w:r>
      <w:r w:rsidR="00E818F9" w:rsidRPr="003D30B4">
        <w:t>,</w:t>
      </w:r>
      <w:r w:rsidR="00B95F23" w:rsidRPr="003D30B4">
        <w:t xml:space="preserve"> </w:t>
      </w:r>
      <w:r w:rsidR="00F73772" w:rsidRPr="003D30B4">
        <w:t>basato su</w:t>
      </w:r>
      <w:r w:rsidR="00DE7999" w:rsidRPr="003D30B4">
        <w:t xml:space="preserve"> alcuni elementi chiave:</w:t>
      </w:r>
    </w:p>
    <w:p w14:paraId="455A6BC5" w14:textId="028C5CF7" w:rsidR="004354F0" w:rsidRPr="003D30B4" w:rsidRDefault="0031510A" w:rsidP="004354F0">
      <w:pPr>
        <w:pStyle w:val="Paragrafoelenco"/>
        <w:numPr>
          <w:ilvl w:val="0"/>
          <w:numId w:val="12"/>
        </w:numPr>
        <w:jc w:val="both"/>
      </w:pPr>
      <w:r w:rsidRPr="003D30B4">
        <w:t>Rafforzare le sinergie</w:t>
      </w:r>
      <w:r w:rsidR="001870E9" w:rsidRPr="003D30B4">
        <w:t xml:space="preserve"> con</w:t>
      </w:r>
      <w:r w:rsidRPr="003D30B4">
        <w:t xml:space="preserve"> altre iniziative</w:t>
      </w:r>
      <w:r w:rsidR="00BA11EC" w:rsidRPr="003D30B4">
        <w:t xml:space="preserve"> pertinenti, come lo Spazio europeo della ricerca (</w:t>
      </w:r>
      <w:r w:rsidR="00320FB8" w:rsidRPr="003D30B4">
        <w:t xml:space="preserve">SER) e </w:t>
      </w:r>
      <w:r w:rsidR="00B371C3" w:rsidRPr="003D30B4">
        <w:t>il Processo di Bologna</w:t>
      </w:r>
      <w:r w:rsidR="003928AA" w:rsidRPr="003D30B4">
        <w:t>.</w:t>
      </w:r>
    </w:p>
    <w:p w14:paraId="6EA6D5DC" w14:textId="6608BEEB" w:rsidR="004354F0" w:rsidRPr="003D30B4" w:rsidRDefault="004354F0" w:rsidP="004354F0">
      <w:pPr>
        <w:pStyle w:val="Paragrafoelenco"/>
        <w:numPr>
          <w:ilvl w:val="0"/>
          <w:numId w:val="12"/>
        </w:numPr>
        <w:jc w:val="both"/>
      </w:pPr>
      <w:r w:rsidRPr="003D30B4">
        <w:t>Rafforzare i mezzi di cooperazione politica e raggiungere le parti interessate p</w:t>
      </w:r>
      <w:r w:rsidR="00076B92" w:rsidRPr="003D30B4">
        <w:t>er incoraggiare il loro impegno con l’iniziativa</w:t>
      </w:r>
      <w:r w:rsidR="00C07BD3" w:rsidRPr="003D30B4">
        <w:t>.</w:t>
      </w:r>
      <w:r w:rsidR="00076B92" w:rsidRPr="003D30B4">
        <w:t xml:space="preserve"> </w:t>
      </w:r>
    </w:p>
    <w:p w14:paraId="6096E0B9" w14:textId="548FA2CD" w:rsidR="00076B92" w:rsidRPr="003D30B4" w:rsidRDefault="00076B92" w:rsidP="004354F0">
      <w:pPr>
        <w:pStyle w:val="Paragrafoelenco"/>
        <w:numPr>
          <w:ilvl w:val="0"/>
          <w:numId w:val="12"/>
        </w:numPr>
        <w:jc w:val="both"/>
      </w:pPr>
      <w:r w:rsidRPr="003D30B4">
        <w:lastRenderedPageBreak/>
        <w:t xml:space="preserve">Individuare indicatori e obiettivi al </w:t>
      </w:r>
      <w:r w:rsidR="00FE1225" w:rsidRPr="003D30B4">
        <w:t xml:space="preserve">fine orientare l’operato delle parti interessate e </w:t>
      </w:r>
      <w:r w:rsidR="00C07BD3" w:rsidRPr="003D30B4">
        <w:t>monitorare i progressi.</w:t>
      </w:r>
    </w:p>
    <w:p w14:paraId="0720EBC4" w14:textId="419E33CE" w:rsidR="00C07BD3" w:rsidRPr="003D30B4" w:rsidRDefault="00C07BD3" w:rsidP="004354F0">
      <w:pPr>
        <w:pStyle w:val="Paragrafoelenco"/>
        <w:numPr>
          <w:ilvl w:val="0"/>
          <w:numId w:val="12"/>
        </w:numPr>
        <w:jc w:val="both"/>
      </w:pPr>
      <w:r w:rsidRPr="003D30B4">
        <w:t>Promuovere l’integrazione dell’istruzione e della formazione nel</w:t>
      </w:r>
      <w:r w:rsidR="00EA6A93" w:rsidRPr="003D30B4">
        <w:t>l’ambito del</w:t>
      </w:r>
      <w:r w:rsidRPr="003D30B4">
        <w:t xml:space="preserve"> processo del </w:t>
      </w:r>
      <w:r w:rsidR="00EA6A93" w:rsidRPr="003D30B4">
        <w:t>“S</w:t>
      </w:r>
      <w:r w:rsidRPr="003D30B4">
        <w:t>emestre europeo</w:t>
      </w:r>
      <w:r w:rsidR="00EA6A93" w:rsidRPr="003D30B4">
        <w:t>”</w:t>
      </w:r>
      <w:r w:rsidRPr="003D30B4">
        <w:t>.</w:t>
      </w:r>
    </w:p>
    <w:p w14:paraId="7B9FD253" w14:textId="167201BE" w:rsidR="009B76FD" w:rsidRPr="003D30B4" w:rsidRDefault="00C74E81" w:rsidP="00E03A62">
      <w:pPr>
        <w:jc w:val="both"/>
      </w:pPr>
      <w:r w:rsidRPr="003D30B4">
        <w:t xml:space="preserve">Gli obiettivi prefissati vengono raggiunti anche grazie all’ausilio dell’Osservatorio dell’Istruzione e della formazione, </w:t>
      </w:r>
      <w:r w:rsidR="00DB0045" w:rsidRPr="003D30B4">
        <w:t>che riunisce i dati</w:t>
      </w:r>
      <w:r w:rsidR="00AF42A3" w:rsidRPr="003D30B4">
        <w:t xml:space="preserve"> più recenti </w:t>
      </w:r>
      <w:r w:rsidR="001E5A0B" w:rsidRPr="003D30B4">
        <w:t>per i 27 Paesi membri e con</w:t>
      </w:r>
      <w:r w:rsidR="00EE73EB" w:rsidRPr="003D30B4">
        <w:t xml:space="preserve">sente l’individuazione </w:t>
      </w:r>
      <w:r w:rsidR="00525C4F" w:rsidRPr="003D30B4">
        <w:t>dell’andamento dei progressi a livello comunitario</w:t>
      </w:r>
      <w:r w:rsidR="00AB131A" w:rsidRPr="003D30B4">
        <w:t>. Tu</w:t>
      </w:r>
      <w:r w:rsidR="0007591F" w:rsidRPr="003D30B4">
        <w:t xml:space="preserve">tto ciò è supportato dall’utilizzo di </w:t>
      </w:r>
      <w:r w:rsidR="00273A1B" w:rsidRPr="003D30B4">
        <w:t>numerosi indicatori</w:t>
      </w:r>
      <w:r w:rsidR="00AB131A" w:rsidRPr="003D30B4">
        <w:t xml:space="preserve"> che conferiscono un’agevole lettura del</w:t>
      </w:r>
      <w:r w:rsidR="00C565B7" w:rsidRPr="003D30B4">
        <w:t xml:space="preserve">la situazione nell’area soggetta ad analisi. </w:t>
      </w:r>
    </w:p>
    <w:p w14:paraId="5603585D" w14:textId="10376F06" w:rsidR="0084281F" w:rsidRPr="009F4999" w:rsidRDefault="00E91719" w:rsidP="00E03A62">
      <w:pPr>
        <w:jc w:val="both"/>
        <w:rPr>
          <w:b/>
          <w:bCs/>
          <w:i/>
          <w:iCs/>
        </w:rPr>
      </w:pPr>
      <w:r w:rsidRPr="009F4999">
        <w:rPr>
          <w:b/>
          <w:bCs/>
          <w:i/>
          <w:iCs/>
        </w:rPr>
        <w:t>Piano d’azione per l’istruzione digitale</w:t>
      </w:r>
    </w:p>
    <w:p w14:paraId="6F95E00F" w14:textId="50F6DDD4" w:rsidR="00E91719" w:rsidRPr="003D30B4" w:rsidRDefault="00107072" w:rsidP="00E03A62">
      <w:pPr>
        <w:jc w:val="both"/>
      </w:pPr>
      <w:r w:rsidRPr="003D30B4">
        <w:t xml:space="preserve">Come manifestato dagli avvenimenti più recenti, le competenze digitali si configurano </w:t>
      </w:r>
      <w:r w:rsidR="00A0170B" w:rsidRPr="003D30B4">
        <w:t>come delle risorse</w:t>
      </w:r>
      <w:r w:rsidR="00E327A9">
        <w:t xml:space="preserve"> </w:t>
      </w:r>
      <w:r w:rsidR="00A0170B" w:rsidRPr="003D30B4">
        <w:t xml:space="preserve">indispensabili per l’apprendimento, per lo svolgimento dell’attività lavorativa e nella vita quotidiana. </w:t>
      </w:r>
      <w:r w:rsidR="0000510D" w:rsidRPr="003D30B4">
        <w:t>Un sistema economic</w:t>
      </w:r>
      <w:r w:rsidR="00A54A1A" w:rsidRPr="003D30B4">
        <w:t>o</w:t>
      </w:r>
      <w:r w:rsidR="0000510D" w:rsidRPr="003D30B4">
        <w:t xml:space="preserve"> e una società in rapida evoluzione</w:t>
      </w:r>
      <w:r w:rsidR="008A6168" w:rsidRPr="003D30B4">
        <w:t xml:space="preserve">, </w:t>
      </w:r>
      <w:r w:rsidR="00085679" w:rsidRPr="003D30B4">
        <w:t>basat</w:t>
      </w:r>
      <w:r w:rsidR="00A54A1A" w:rsidRPr="003D30B4">
        <w:t>i</w:t>
      </w:r>
      <w:r w:rsidR="00085679" w:rsidRPr="003D30B4">
        <w:t xml:space="preserve"> su un ecosistema tecnologico sempre più complesso</w:t>
      </w:r>
      <w:r w:rsidR="00A54A1A" w:rsidRPr="003D30B4">
        <w:t xml:space="preserve">, non possono che richiedere </w:t>
      </w:r>
      <w:r w:rsidR="00EB1C6C" w:rsidRPr="003D30B4">
        <w:t xml:space="preserve">elevate competenze digitali. </w:t>
      </w:r>
      <w:r w:rsidR="00047534" w:rsidRPr="003D30B4">
        <w:t>P</w:t>
      </w:r>
      <w:r w:rsidR="009C51CD" w:rsidRPr="003D30B4">
        <w:t>roprio quest’ultime si configurano come il pilastro portante del Piano d’azione per l’istruzione digitale (2021-2027)</w:t>
      </w:r>
      <w:r w:rsidR="009E61ED" w:rsidRPr="003D30B4">
        <w:t xml:space="preserve">, mediante il quale </w:t>
      </w:r>
      <w:r w:rsidR="00EC4EBB" w:rsidRPr="003D30B4">
        <w:t>le istituzioni</w:t>
      </w:r>
      <w:r w:rsidR="009E61ED" w:rsidRPr="003D30B4">
        <w:t xml:space="preserve"> europee </w:t>
      </w:r>
      <w:r w:rsidR="0001674E" w:rsidRPr="003D30B4">
        <w:t>definisco una visione comune d</w:t>
      </w:r>
      <w:r w:rsidR="00F31699" w:rsidRPr="003D30B4">
        <w:t>’istruzione digitale</w:t>
      </w:r>
      <w:r w:rsidR="00694F89" w:rsidRPr="003D30B4">
        <w:t>,</w:t>
      </w:r>
      <w:r w:rsidR="00F31699" w:rsidRPr="003D30B4">
        <w:t xml:space="preserve"> accessibile e di alta qualità</w:t>
      </w:r>
      <w:r w:rsidR="00694F89" w:rsidRPr="003D30B4">
        <w:t>;</w:t>
      </w:r>
      <w:r w:rsidR="002B4B71" w:rsidRPr="003D30B4">
        <w:t xml:space="preserve"> </w:t>
      </w:r>
      <w:r w:rsidR="00E95F38" w:rsidRPr="003D30B4">
        <w:t xml:space="preserve">e </w:t>
      </w:r>
      <w:r w:rsidR="00021C3B" w:rsidRPr="003D30B4">
        <w:t xml:space="preserve">sostengono l’adeguamento dei sistemi d’istruzione e formazione degli Stati membri </w:t>
      </w:r>
      <w:r w:rsidR="00694F89" w:rsidRPr="003D30B4">
        <w:t>all’era digitale.</w:t>
      </w:r>
      <w:r w:rsidR="00F513ED" w:rsidRPr="003D30B4">
        <w:t xml:space="preserve"> L’iniziativa in questione è </w:t>
      </w:r>
      <w:r w:rsidR="002B5548" w:rsidRPr="003D30B4">
        <w:t>strettamente coesa con le ulteriori priorità della Commissione</w:t>
      </w:r>
      <w:r w:rsidR="00EA4E9F" w:rsidRPr="003D30B4">
        <w:t xml:space="preserve"> europea</w:t>
      </w:r>
      <w:r w:rsidR="00274B76" w:rsidRPr="003D30B4">
        <w:t>, tra le quali: la Next Gen</w:t>
      </w:r>
      <w:r w:rsidR="00767183" w:rsidRPr="003D30B4">
        <w:t>e</w:t>
      </w:r>
      <w:r w:rsidR="00274B76" w:rsidRPr="003D30B4">
        <w:t xml:space="preserve">ration </w:t>
      </w:r>
      <w:r w:rsidR="00355BD6" w:rsidRPr="003D30B4">
        <w:t xml:space="preserve">EU, lo Spazio europeo dell’istruzione, </w:t>
      </w:r>
      <w:r w:rsidR="007873BA" w:rsidRPr="003D30B4">
        <w:t>l’Agenda europea per le competenze e la Bussola digitale 2030</w:t>
      </w:r>
      <w:r w:rsidR="00B24A60" w:rsidRPr="003D30B4">
        <w:t xml:space="preserve">: la via europea per il decennio digitale. </w:t>
      </w:r>
    </w:p>
    <w:p w14:paraId="40EB5E80" w14:textId="7BB40B10" w:rsidR="0064728E" w:rsidRPr="009F4999" w:rsidRDefault="003D30B4" w:rsidP="00E03A62">
      <w:pPr>
        <w:jc w:val="both"/>
        <w:rPr>
          <w:b/>
          <w:bCs/>
          <w:i/>
          <w:iCs/>
        </w:rPr>
      </w:pPr>
      <w:r w:rsidRPr="009F4999">
        <w:rPr>
          <w:b/>
          <w:bCs/>
          <w:i/>
          <w:iCs/>
        </w:rPr>
        <w:t xml:space="preserve">Account di apprendimento individuali e </w:t>
      </w:r>
      <w:r w:rsidR="009145DA" w:rsidRPr="009F4999">
        <w:rPr>
          <w:b/>
          <w:bCs/>
          <w:i/>
          <w:iCs/>
        </w:rPr>
        <w:t>M</w:t>
      </w:r>
      <w:r w:rsidRPr="009F4999">
        <w:rPr>
          <w:b/>
          <w:bCs/>
          <w:i/>
          <w:iCs/>
        </w:rPr>
        <w:t>icro-credenziali</w:t>
      </w:r>
    </w:p>
    <w:p w14:paraId="1F92F706" w14:textId="1304A249" w:rsidR="00E4069E" w:rsidRDefault="00635470" w:rsidP="00E03A62">
      <w:pPr>
        <w:jc w:val="both"/>
      </w:pPr>
      <w:r>
        <w:t xml:space="preserve">L’Account di apprendimento individuale e le Micro-credenziali </w:t>
      </w:r>
      <w:r w:rsidR="00DA02D5">
        <w:t>sono un insieme di iniziative volte alla risoluzione di un importante problema</w:t>
      </w:r>
      <w:r w:rsidR="00664622">
        <w:t xml:space="preserve"> che </w:t>
      </w:r>
      <w:r w:rsidR="009506C4">
        <w:t>colpisce l’intera Eurozona</w:t>
      </w:r>
      <w:r w:rsidR="00EC4F53">
        <w:t xml:space="preserve"> (ad eccezione d</w:t>
      </w:r>
      <w:r w:rsidR="007E1A62">
        <w:t>i Svezia e Finlandia)</w:t>
      </w:r>
      <w:r w:rsidR="00DA02D5">
        <w:t xml:space="preserve">: </w:t>
      </w:r>
      <w:r w:rsidR="00D82500">
        <w:t>la mancata partecipazione a regolari attività di apprendimento dopo l’istruzione e la formazione in</w:t>
      </w:r>
      <w:r w:rsidR="009506C4">
        <w:t>i</w:t>
      </w:r>
      <w:r w:rsidR="00D82500">
        <w:t>ziale</w:t>
      </w:r>
      <w:r w:rsidR="00F02302">
        <w:t xml:space="preserve">. Il problema è sicuramente corroborato dalla </w:t>
      </w:r>
      <w:r w:rsidR="00CA185C">
        <w:t>manca</w:t>
      </w:r>
      <w:r w:rsidR="006257DC">
        <w:t>n</w:t>
      </w:r>
      <w:r w:rsidR="00CA185C">
        <w:t>za</w:t>
      </w:r>
      <w:r w:rsidR="005E3C16">
        <w:t>, per i singoli individui,</w:t>
      </w:r>
      <w:r w:rsidR="00CA185C">
        <w:t xml:space="preserve"> di risorse finanziare e del tempo necessario per</w:t>
      </w:r>
      <w:r w:rsidR="004A7B9F">
        <w:t xml:space="preserve"> sviluppare le proprie competenze o apprenderne di nuove.</w:t>
      </w:r>
    </w:p>
    <w:p w14:paraId="4D9BDB2C" w14:textId="46177EBA" w:rsidR="005355D1" w:rsidRDefault="00F022A3" w:rsidP="00E03A62">
      <w:pPr>
        <w:jc w:val="both"/>
      </w:pPr>
      <w:r>
        <w:t>Proprio per eliminare tali vincoli</w:t>
      </w:r>
      <w:r w:rsidR="00435139">
        <w:t>, il Consig</w:t>
      </w:r>
      <w:r w:rsidR="00AE0631">
        <w:t xml:space="preserve">lio, nella </w:t>
      </w:r>
      <w:r w:rsidR="00AE0631" w:rsidRPr="00F77558">
        <w:rPr>
          <w:i/>
          <w:iCs/>
        </w:rPr>
        <w:t>proposta di raccomandazione</w:t>
      </w:r>
      <w:r w:rsidR="008A394E">
        <w:t xml:space="preserve"> (16/06/2022)</w:t>
      </w:r>
      <w:r w:rsidR="00AE0631">
        <w:t>, ha richiesto agli Stati membri insieme alle parti sociali</w:t>
      </w:r>
      <w:r w:rsidR="00C33CF8">
        <w:t xml:space="preserve">, </w:t>
      </w:r>
      <w:r w:rsidR="00AE0631">
        <w:t xml:space="preserve">la </w:t>
      </w:r>
      <w:r w:rsidR="007961BE">
        <w:t>creazione di account di apprendimento individuali, atti a fornire diritti alla fo</w:t>
      </w:r>
      <w:r w:rsidR="002D1B35">
        <w:t>rmazione per tutti i soggetti in età lavorativa</w:t>
      </w:r>
      <w:r w:rsidR="00AD0F68">
        <w:t>, nonché garantire congedi di formazione retribuit</w:t>
      </w:r>
      <w:r w:rsidR="00C33CF8">
        <w:t xml:space="preserve">i. </w:t>
      </w:r>
      <w:r w:rsidR="004A7B9F">
        <w:t xml:space="preserve"> </w:t>
      </w:r>
    </w:p>
    <w:p w14:paraId="75690CFA" w14:textId="6027335C" w:rsidR="005355D1" w:rsidRDefault="005355D1" w:rsidP="00E03A62">
      <w:pPr>
        <w:jc w:val="both"/>
      </w:pPr>
      <w:r>
        <w:t>Per quanto concerne le micro</w:t>
      </w:r>
      <w:r w:rsidR="001D14DD">
        <w:t>qualificazioni</w:t>
      </w:r>
      <w:r w:rsidR="00FF0288">
        <w:t xml:space="preserve"> (traduzione preferibile rispetto a micro-credenziali)</w:t>
      </w:r>
      <w:r>
        <w:t>, esse</w:t>
      </w:r>
      <w:r w:rsidR="00012289">
        <w:t xml:space="preserve"> sono volte alla certificazione dei risultati dell’apprendimento</w:t>
      </w:r>
      <w:r w:rsidR="00F8369D">
        <w:t xml:space="preserve"> </w:t>
      </w:r>
      <w:r w:rsidR="005E293D">
        <w:t xml:space="preserve">conseguiti mediante una breve esperienza di </w:t>
      </w:r>
      <w:r w:rsidR="008F4D9C">
        <w:t>formazione</w:t>
      </w:r>
      <w:r w:rsidR="00BC2842">
        <w:t xml:space="preserve"> (</w:t>
      </w:r>
      <w:r w:rsidR="00EC4EBB">
        <w:t>come, ad esempio,</w:t>
      </w:r>
      <w:r w:rsidR="00BC2842">
        <w:t xml:space="preserve"> un breve corso</w:t>
      </w:r>
      <w:r w:rsidR="00D04925">
        <w:t xml:space="preserve"> </w:t>
      </w:r>
      <w:r w:rsidR="00BC2842">
        <w:t>forma</w:t>
      </w:r>
      <w:r w:rsidR="00D04925">
        <w:t>t</w:t>
      </w:r>
      <w:r w:rsidR="00BC2842">
        <w:t>i</w:t>
      </w:r>
      <w:r w:rsidR="00D04925">
        <w:t>vo</w:t>
      </w:r>
      <w:r w:rsidR="00BC2842">
        <w:t xml:space="preserve">). </w:t>
      </w:r>
      <w:r w:rsidR="004575B6">
        <w:t xml:space="preserve">L’implementazione di tale iniziativa richiede </w:t>
      </w:r>
      <w:r w:rsidR="00011187">
        <w:t>una collaborazione tra tutte le parti interessate</w:t>
      </w:r>
      <w:r w:rsidR="008431BD">
        <w:t xml:space="preserve"> su una definizione comune di micro-credenziali</w:t>
      </w:r>
      <w:r w:rsidR="000600F5">
        <w:t xml:space="preserve"> e una loro “standardizzazione” a livello comunitario. </w:t>
      </w:r>
    </w:p>
    <w:p w14:paraId="6EBD5BEC" w14:textId="1C3667A8" w:rsidR="007755F4" w:rsidRDefault="00126123" w:rsidP="00E03A62">
      <w:pPr>
        <w:jc w:val="both"/>
      </w:pPr>
      <w:r>
        <w:t xml:space="preserve">Entrambe le iniziative </w:t>
      </w:r>
      <w:r w:rsidR="00FF5F95">
        <w:t xml:space="preserve">sono mirate a creare una modalità di apprendimento </w:t>
      </w:r>
      <w:r w:rsidR="0051155E">
        <w:t>flessibile e si configurano co</w:t>
      </w:r>
      <w:r w:rsidR="00CF69B2">
        <w:t>me un</w:t>
      </w:r>
      <w:r w:rsidR="005F67C3">
        <w:t xml:space="preserve"> espediente fondamentale per la realizzazione dello Spazio europeo dell’istruzione entro il 2025. </w:t>
      </w:r>
    </w:p>
    <w:p w14:paraId="4CC5EB5D" w14:textId="1C25A030" w:rsidR="00B2601B" w:rsidRPr="009F4999" w:rsidRDefault="007755F4" w:rsidP="00E03A62">
      <w:pPr>
        <w:jc w:val="both"/>
        <w:rPr>
          <w:b/>
          <w:bCs/>
          <w:i/>
          <w:iCs/>
        </w:rPr>
      </w:pPr>
      <w:r w:rsidRPr="009F4999">
        <w:rPr>
          <w:b/>
          <w:bCs/>
          <w:i/>
          <w:iCs/>
        </w:rPr>
        <w:t xml:space="preserve">Pacchetto di competenze e talenti </w:t>
      </w:r>
    </w:p>
    <w:p w14:paraId="09D36B44" w14:textId="2045D459" w:rsidR="00AA3578" w:rsidRDefault="00D96642" w:rsidP="00E03A62">
      <w:pPr>
        <w:jc w:val="both"/>
      </w:pPr>
      <w:r>
        <w:t>L’a</w:t>
      </w:r>
      <w:r w:rsidR="00492CA4">
        <w:t>ndamento demografico</w:t>
      </w:r>
      <w:r w:rsidR="00545F5A">
        <w:t xml:space="preserve"> </w:t>
      </w:r>
      <w:r w:rsidR="00492CA4">
        <w:t xml:space="preserve">mostra </w:t>
      </w:r>
      <w:r w:rsidR="00F75B06">
        <w:t xml:space="preserve">l’invecchiamento progressivo della popolazione europea, </w:t>
      </w:r>
      <w:r w:rsidR="000B786B">
        <w:t>tutto ciò è associato ad un’importante implicazione</w:t>
      </w:r>
      <w:r w:rsidR="004A5128">
        <w:t>:</w:t>
      </w:r>
      <w:r w:rsidR="000B786B">
        <w:t xml:space="preserve"> una </w:t>
      </w:r>
      <w:r w:rsidR="002F1359">
        <w:t xml:space="preserve">riduzione sempre più marcata delle competenze e dei talenti necessari allo sviluppo </w:t>
      </w:r>
      <w:r w:rsidR="000371AD">
        <w:t xml:space="preserve">dell’Unione. </w:t>
      </w:r>
      <w:r w:rsidR="0067162D">
        <w:t>Al</w:t>
      </w:r>
      <w:r w:rsidR="003B530F">
        <w:t xml:space="preserve"> </w:t>
      </w:r>
      <w:r w:rsidR="0067162D">
        <w:t xml:space="preserve">fine di risollevare le sorti comunitarie, </w:t>
      </w:r>
      <w:r w:rsidR="007D065B">
        <w:t xml:space="preserve">la Commissione </w:t>
      </w:r>
      <w:r w:rsidR="008C2397">
        <w:t>insieme a</w:t>
      </w:r>
      <w:r w:rsidR="004A5128">
        <w:t xml:space="preserve"> tutte</w:t>
      </w:r>
      <w:r w:rsidR="008C2397">
        <w:t xml:space="preserve"> </w:t>
      </w:r>
      <w:r w:rsidR="00AE2C72">
        <w:t xml:space="preserve">le </w:t>
      </w:r>
      <w:r w:rsidR="008C2397">
        <w:t xml:space="preserve">parti </w:t>
      </w:r>
      <w:r w:rsidR="00C12F24">
        <w:t>interessate, ha elaborato un insieme di azioni</w:t>
      </w:r>
      <w:r w:rsidR="0082046A">
        <w:t xml:space="preserve"> che spaziano dalla riforma della direttiva sulla </w:t>
      </w:r>
      <w:r w:rsidR="0082046A" w:rsidRPr="00E80260">
        <w:rPr>
          <w:i/>
          <w:iCs/>
        </w:rPr>
        <w:t>Carta blu dell’UE</w:t>
      </w:r>
      <w:r w:rsidR="00507C07">
        <w:t>, per attirare i talenti altamente qualificati</w:t>
      </w:r>
      <w:r w:rsidR="00F12BBF">
        <w:t>;</w:t>
      </w:r>
      <w:r w:rsidR="00507C07">
        <w:t xml:space="preserve"> fino </w:t>
      </w:r>
      <w:r w:rsidR="000E26C0">
        <w:t xml:space="preserve">all’istituzione di un </w:t>
      </w:r>
      <w:r w:rsidR="000E26C0" w:rsidRPr="00E80260">
        <w:rPr>
          <w:i/>
          <w:iCs/>
        </w:rPr>
        <w:t>pool di talenti europeo</w:t>
      </w:r>
      <w:r w:rsidR="000E26C0">
        <w:t>, al fine di mettere in contatto i lavora</w:t>
      </w:r>
      <w:r w:rsidR="006A42A4">
        <w:t>tori qualificati</w:t>
      </w:r>
      <w:r w:rsidR="00F93F76">
        <w:t>,</w:t>
      </w:r>
      <w:r w:rsidR="006A42A4">
        <w:t xml:space="preserve"> interessanti a trasferi</w:t>
      </w:r>
      <w:r w:rsidR="00294892">
        <w:t>rsi nell’Unione</w:t>
      </w:r>
      <w:r w:rsidR="00654945">
        <w:t>,</w:t>
      </w:r>
      <w:r w:rsidR="00294892">
        <w:t xml:space="preserve"> con le esigenze dei datori di </w:t>
      </w:r>
      <w:r w:rsidR="00294892">
        <w:lastRenderedPageBreak/>
        <w:t>lavoro.</w:t>
      </w:r>
      <w:r w:rsidR="008E58B6">
        <w:t xml:space="preserve"> </w:t>
      </w:r>
      <w:r w:rsidR="00654945">
        <w:t xml:space="preserve">Ovviamente </w:t>
      </w:r>
      <w:r w:rsidR="00624D1E">
        <w:t>tali iniziative richiedono un</w:t>
      </w:r>
      <w:r w:rsidR="00DE026D">
        <w:t xml:space="preserve">’efficace e sostenibile politica in materia di migrazione </w:t>
      </w:r>
      <w:r w:rsidR="008E58B6">
        <w:t xml:space="preserve">           </w:t>
      </w:r>
      <w:r w:rsidR="00DE026D">
        <w:t>leg</w:t>
      </w:r>
      <w:r w:rsidR="00AF5336">
        <w:t xml:space="preserve">ale, presentata dalla Commissione UE nell’aprile del 2022. </w:t>
      </w:r>
    </w:p>
    <w:p w14:paraId="1B97DA32" w14:textId="60E17D74" w:rsidR="00723B1A" w:rsidRDefault="00064B46" w:rsidP="00E03A62">
      <w:pPr>
        <w:jc w:val="both"/>
      </w:pPr>
      <w:r>
        <w:t>La trattazione</w:t>
      </w:r>
      <w:r w:rsidR="001F10A1">
        <w:t xml:space="preserve"> fino ad ora</w:t>
      </w:r>
      <w:r>
        <w:t xml:space="preserve"> intrapresa, mette in risalto un fattore fondamentale</w:t>
      </w:r>
      <w:r w:rsidR="000B7FAE">
        <w:t>:</w:t>
      </w:r>
      <w:r w:rsidR="00EE4FA1">
        <w:t xml:space="preserve"> </w:t>
      </w:r>
      <w:r>
        <w:t>tutt</w:t>
      </w:r>
      <w:r w:rsidR="001F10A1">
        <w:t>i</w:t>
      </w:r>
      <w:r>
        <w:t xml:space="preserve"> gli interventi </w:t>
      </w:r>
      <w:r w:rsidR="001F10A1">
        <w:t>volti al</w:t>
      </w:r>
      <w:r w:rsidR="00443EDB">
        <w:t xml:space="preserve"> soddisfacimento degli obiettivi in materia d’istruzione e formazione, necessitano</w:t>
      </w:r>
      <w:r w:rsidR="00D074CF">
        <w:t xml:space="preserve"> sempre</w:t>
      </w:r>
      <w:r w:rsidR="00A23631">
        <w:t xml:space="preserve"> di uno sforzo congiunto </w:t>
      </w:r>
      <w:r w:rsidR="00EF27D8">
        <w:t>in tutti gli ambiti d</w:t>
      </w:r>
      <w:r w:rsidR="009B77EE">
        <w:t>ella</w:t>
      </w:r>
      <w:r w:rsidR="00EF27D8">
        <w:t xml:space="preserve"> politica economica</w:t>
      </w:r>
      <w:r w:rsidR="00EE4FA1">
        <w:t xml:space="preserve"> (</w:t>
      </w:r>
      <w:r w:rsidR="00723B1A">
        <w:t xml:space="preserve">allocativo, di stabilizzazione e redistributivo). </w:t>
      </w:r>
      <w:r w:rsidR="002D4DEA">
        <w:t xml:space="preserve">    </w:t>
      </w:r>
      <w:r w:rsidR="00E83F16">
        <w:t>D’altronde, investire in istruzione</w:t>
      </w:r>
      <w:r w:rsidR="00D53792">
        <w:t xml:space="preserve"> (</w:t>
      </w:r>
      <w:r w:rsidR="007B7E85">
        <w:t>nella totalità delle</w:t>
      </w:r>
      <w:r w:rsidR="00D53792">
        <w:t xml:space="preserve"> diramazioni possibili), è un fattore strategico</w:t>
      </w:r>
      <w:r w:rsidR="006C6C14">
        <w:t xml:space="preserve"> per tutti i Paesi Ue, al pari della sostenibilità delle finanze pubbliche e </w:t>
      </w:r>
      <w:r w:rsidR="00090EAC">
        <w:t xml:space="preserve">gli investimenti infrastrutturali. </w:t>
      </w:r>
    </w:p>
    <w:p w14:paraId="125F3404" w14:textId="7F727C85" w:rsidR="00BF23F9" w:rsidRPr="00146DDA" w:rsidRDefault="00BF23F9" w:rsidP="00B20EC0">
      <w:pPr>
        <w:pStyle w:val="Titolo3"/>
        <w:rPr>
          <w:b/>
          <w:bCs/>
          <w:i/>
          <w:iCs/>
          <w:color w:val="auto"/>
        </w:rPr>
      </w:pPr>
      <w:bookmarkStart w:id="6" w:name="_Toc137804221"/>
      <w:bookmarkStart w:id="7" w:name="_Toc137804277"/>
      <w:bookmarkStart w:id="8" w:name="_Toc137804448"/>
      <w:r w:rsidRPr="00146DDA">
        <w:rPr>
          <w:b/>
          <w:bCs/>
          <w:i/>
          <w:iCs/>
          <w:color w:val="auto"/>
        </w:rPr>
        <w:t>L’</w:t>
      </w:r>
      <w:r w:rsidR="00FA31CF" w:rsidRPr="00146DDA">
        <w:rPr>
          <w:b/>
          <w:bCs/>
          <w:i/>
          <w:iCs/>
          <w:color w:val="auto"/>
        </w:rPr>
        <w:t>istruzione e la formazione italiana</w:t>
      </w:r>
      <w:bookmarkEnd w:id="6"/>
      <w:bookmarkEnd w:id="7"/>
      <w:bookmarkEnd w:id="8"/>
    </w:p>
    <w:p w14:paraId="5767C3E1" w14:textId="585FBEA8" w:rsidR="00233B80" w:rsidRDefault="00A02B59" w:rsidP="00F533BE">
      <w:pPr>
        <w:jc w:val="both"/>
      </w:pPr>
      <w:r w:rsidRPr="00703B4E">
        <w:t xml:space="preserve">La situazione italiana </w:t>
      </w:r>
      <w:r w:rsidR="00E14FCE" w:rsidRPr="00703B4E">
        <w:t>in ambito d’istruzione e formazione presenta alcuni tratti atipici e contradittori</w:t>
      </w:r>
      <w:r w:rsidR="00A16863" w:rsidRPr="00703B4E">
        <w:t>.</w:t>
      </w:r>
      <w:r w:rsidR="00263635">
        <w:t xml:space="preserve">        </w:t>
      </w:r>
      <w:r w:rsidR="00A16863" w:rsidRPr="00703B4E">
        <w:t xml:space="preserve"> </w:t>
      </w:r>
      <w:r w:rsidR="00E57AF3" w:rsidRPr="00703B4E">
        <w:t>Infatti, il livello di scolarizzazione del Paese tende</w:t>
      </w:r>
      <w:r w:rsidR="00263635">
        <w:t xml:space="preserve"> progressivamente</w:t>
      </w:r>
      <w:r w:rsidR="00E57AF3" w:rsidRPr="00703B4E">
        <w:t xml:space="preserve"> ad aumentare, </w:t>
      </w:r>
      <w:r w:rsidR="00F572CF" w:rsidRPr="00703B4E">
        <w:t>ma è accompagnato da un incremento del fenomeno dell’abbandono</w:t>
      </w:r>
      <w:r w:rsidR="008F0CC7" w:rsidRPr="00703B4E">
        <w:t xml:space="preserve"> scolastico. </w:t>
      </w:r>
      <w:r w:rsidR="001A2044" w:rsidRPr="00703B4E">
        <w:t xml:space="preserve">Nella popolazione italiana </w:t>
      </w:r>
      <w:r w:rsidR="00A30511" w:rsidRPr="00703B4E">
        <w:t>tra i 15 e 64 anni, il 18% ha conseguito</w:t>
      </w:r>
      <w:r w:rsidR="00415349" w:rsidRPr="00703B4E">
        <w:t xml:space="preserve"> </w:t>
      </w:r>
      <w:r w:rsidR="00FB7512" w:rsidRPr="00703B4E">
        <w:t xml:space="preserve">una laurea e post-laurea, </w:t>
      </w:r>
      <w:r w:rsidR="00A73BBE" w:rsidRPr="00703B4E">
        <w:t xml:space="preserve">il 37% un diploma di maturità, il 35% </w:t>
      </w:r>
      <w:r w:rsidR="008B53B8" w:rsidRPr="00703B4E">
        <w:t>la licenza di scuola media</w:t>
      </w:r>
      <w:r w:rsidR="0072743C" w:rsidRPr="00703B4E">
        <w:t xml:space="preserve">, il 6% un diploma di qualifica professionale e il restante </w:t>
      </w:r>
      <w:r w:rsidR="00E77AD6" w:rsidRPr="00703B4E">
        <w:t xml:space="preserve">4% la licenza di scuola elementare o nessun titolo di studio (Istat </w:t>
      </w:r>
      <w:r w:rsidR="00F15AAE" w:rsidRPr="00703B4E">
        <w:t>2020).</w:t>
      </w:r>
      <w:r w:rsidR="00FD358C" w:rsidRPr="00703B4E">
        <w:t xml:space="preserve"> </w:t>
      </w:r>
    </w:p>
    <w:p w14:paraId="5C2D1451" w14:textId="19BE15E8" w:rsidR="00233B80" w:rsidRPr="006636EB" w:rsidRDefault="00233B80" w:rsidP="00F533BE">
      <w:pPr>
        <w:jc w:val="both"/>
      </w:pPr>
      <w:r>
        <w:t>Osservando la composizione del livello di istruzione per classe d’età, genere e area di residenza, presentata nell’indagine Inapp-PLUS 2021, si può notare un leggero aumento, rispetto agli anni precedenti, dei livelli di istruzione dei più giovani e una sensibile riduzione di coloro che possiedono il solo titolo di licenza media inferiore. Un aspetto su cui è importante focalizzarsi, è l’effetto indotto dall’andamento demografico italiano. Infatti, seppur il livello dei titoli di studio cresce progressivamente nella popolazione, i valori assoluti si riducono a causa del ridimensionamento delle coorti che completano il ciclo formativo</w:t>
      </w:r>
      <w:r w:rsidR="00701DDB">
        <w:t xml:space="preserve">. In sostanza, </w:t>
      </w:r>
      <w:r w:rsidR="004D0FF5">
        <w:t>pur assistendo ad un incremento dell’incidenza dei laureati, la disponibilità de</w:t>
      </w:r>
      <w:r w:rsidR="001F5024">
        <w:t xml:space="preserve">gli stessi </w:t>
      </w:r>
      <w:r w:rsidR="00AC4CAE">
        <w:t>ad entrate nel mercato del lavoro tende a diminuire.</w:t>
      </w:r>
    </w:p>
    <w:p w14:paraId="26381506" w14:textId="0BEF6D73" w:rsidR="00DA7DBF" w:rsidRPr="00703B4E" w:rsidRDefault="00FD358C" w:rsidP="00E03A62">
      <w:pPr>
        <w:jc w:val="both"/>
      </w:pPr>
      <w:r w:rsidRPr="00703B4E">
        <w:t>Nonostante ciò, i</w:t>
      </w:r>
      <w:r w:rsidR="00B16910" w:rsidRPr="00703B4E">
        <w:t xml:space="preserve"> da</w:t>
      </w:r>
      <w:r w:rsidR="00CD5058" w:rsidRPr="00703B4E">
        <w:t xml:space="preserve">ti aggregati non consentono di individuare </w:t>
      </w:r>
      <w:r w:rsidR="007B037A" w:rsidRPr="00703B4E">
        <w:t xml:space="preserve">le profonde trasformazioni che </w:t>
      </w:r>
      <w:r w:rsidR="00624B54" w:rsidRPr="00703B4E">
        <w:t xml:space="preserve">il sistema d’istruzione </w:t>
      </w:r>
      <w:r w:rsidR="006E7271" w:rsidRPr="00703B4E">
        <w:t xml:space="preserve">italiano ha subito nel corso degli anni </w:t>
      </w:r>
      <w:r w:rsidR="00EA092D" w:rsidRPr="00703B4E">
        <w:t>(</w:t>
      </w:r>
      <w:r w:rsidR="006E7271" w:rsidRPr="00703B4E">
        <w:t>a seguito dell</w:t>
      </w:r>
      <w:r w:rsidR="00F4403F" w:rsidRPr="00703B4E">
        <w:t>o stratificarsi di riforme scolastiche</w:t>
      </w:r>
      <w:r w:rsidR="002E76CE" w:rsidRPr="00703B4E">
        <w:t xml:space="preserve"> e universitarie</w:t>
      </w:r>
      <w:r w:rsidR="00EA092D" w:rsidRPr="00703B4E">
        <w:t xml:space="preserve">) </w:t>
      </w:r>
      <w:r w:rsidR="00697BD6" w:rsidRPr="00703B4E">
        <w:t>e</w:t>
      </w:r>
      <w:r w:rsidR="00EA092D" w:rsidRPr="00703B4E">
        <w:t xml:space="preserve"> le</w:t>
      </w:r>
      <w:r w:rsidR="00697BD6" w:rsidRPr="00703B4E">
        <w:t xml:space="preserve"> </w:t>
      </w:r>
      <w:r w:rsidR="0068462C" w:rsidRPr="00703B4E">
        <w:t>principali pro</w:t>
      </w:r>
      <w:r w:rsidR="00D2259F" w:rsidRPr="00703B4E">
        <w:t xml:space="preserve">blematiche che affliggono </w:t>
      </w:r>
      <w:r w:rsidR="008D6D40" w:rsidRPr="00703B4E">
        <w:t>il Paese nell’ambito della formazione professionale</w:t>
      </w:r>
      <w:r w:rsidR="002D59DE" w:rsidRPr="00703B4E">
        <w:t xml:space="preserve">. </w:t>
      </w:r>
    </w:p>
    <w:p w14:paraId="5CCBECF0" w14:textId="511AC556" w:rsidR="002D59DE" w:rsidRDefault="003A130B" w:rsidP="00E03A62">
      <w:pPr>
        <w:jc w:val="both"/>
      </w:pPr>
      <w:r w:rsidRPr="00703B4E">
        <w:t>Dai dati riportati dalla Commissione UE</w:t>
      </w:r>
      <w:r w:rsidR="00232D85" w:rsidRPr="00703B4E">
        <w:t xml:space="preserve">, nell’ </w:t>
      </w:r>
      <w:r w:rsidR="00232D85" w:rsidRPr="00703B4E">
        <w:rPr>
          <w:i/>
          <w:iCs/>
        </w:rPr>
        <w:t>Education and Training Monitor 2022</w:t>
      </w:r>
      <w:r w:rsidR="008B125A" w:rsidRPr="00703B4E">
        <w:rPr>
          <w:i/>
          <w:iCs/>
        </w:rPr>
        <w:t xml:space="preserve">, </w:t>
      </w:r>
      <w:r w:rsidR="008B125A" w:rsidRPr="00703B4E">
        <w:t xml:space="preserve">emergono </w:t>
      </w:r>
      <w:r w:rsidR="003C49FD" w:rsidRPr="00703B4E">
        <w:t>numerose difficoltà da parte</w:t>
      </w:r>
      <w:r w:rsidR="007C7B26" w:rsidRPr="00703B4E">
        <w:t xml:space="preserve"> della penisola italica </w:t>
      </w:r>
      <w:r w:rsidR="008606E4" w:rsidRPr="00703B4E">
        <w:t>nel</w:t>
      </w:r>
      <w:r w:rsidR="00CF7D2C" w:rsidRPr="00703B4E">
        <w:t xml:space="preserve"> raggiungimento degli obiettivi europei in ambito d’istruzione e formazione. </w:t>
      </w:r>
      <w:r w:rsidR="00A85F9A" w:rsidRPr="00703B4E">
        <w:t xml:space="preserve">A destare particolare </w:t>
      </w:r>
      <w:r w:rsidR="00C97BB9" w:rsidRPr="00703B4E">
        <w:t>preoccupazione sono gli elevati tassi di abbandono scolastico</w:t>
      </w:r>
      <w:r w:rsidR="00187E89" w:rsidRPr="00703B4E">
        <w:t xml:space="preserve">, </w:t>
      </w:r>
      <w:r w:rsidR="00D77F01" w:rsidRPr="00703B4E">
        <w:t>le numeros</w:t>
      </w:r>
      <w:r w:rsidR="00A06204" w:rsidRPr="00703B4E">
        <w:t>e</w:t>
      </w:r>
      <w:r w:rsidR="00D77F01" w:rsidRPr="00703B4E">
        <w:t xml:space="preserve"> frizioni alla transizione scuola-lavoro e </w:t>
      </w:r>
      <w:r w:rsidR="00A06204" w:rsidRPr="00703B4E">
        <w:t>la bassa percentuale d’istruzione terziaria</w:t>
      </w:r>
      <w:r w:rsidR="00703B4E" w:rsidRPr="00703B4E">
        <w:t>.</w:t>
      </w: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5"/>
        <w:gridCol w:w="1156"/>
        <w:gridCol w:w="1186"/>
        <w:gridCol w:w="1208"/>
        <w:gridCol w:w="1186"/>
        <w:gridCol w:w="1438"/>
        <w:gridCol w:w="1790"/>
        <w:gridCol w:w="1021"/>
      </w:tblGrid>
      <w:tr w:rsidR="008B035D" w:rsidRPr="008B035D" w14:paraId="2CBC0210" w14:textId="77777777" w:rsidTr="008B035D">
        <w:trPr>
          <w:trHeight w:val="1222"/>
          <w:jc w:val="center"/>
        </w:trPr>
        <w:tc>
          <w:tcPr>
            <w:tcW w:w="1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B7106" w14:textId="2A50DC8B" w:rsidR="008B035D" w:rsidRPr="008B035D" w:rsidRDefault="008B035D" w:rsidP="008B03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BA395" w14:textId="77777777" w:rsidR="008B035D" w:rsidRPr="008B035D" w:rsidRDefault="008B035D" w:rsidP="008B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Educazione della prima infanzia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0F7202" w14:textId="77777777" w:rsidR="008B035D" w:rsidRPr="008B035D" w:rsidRDefault="008B035D" w:rsidP="008B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Risultati insufficienti in lettura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57957" w14:textId="77777777" w:rsidR="008B035D" w:rsidRPr="008B035D" w:rsidRDefault="008B035D" w:rsidP="008B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Risultati insufficienti in matematica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CC470" w14:textId="77777777" w:rsidR="008B035D" w:rsidRPr="008B035D" w:rsidRDefault="008B035D" w:rsidP="008B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Risultati insufficienti in scienze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E8E19D" w14:textId="77777777" w:rsidR="008B035D" w:rsidRPr="008B035D" w:rsidRDefault="008B035D" w:rsidP="008B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Giovani che abbandonano precocemente gli studi e la formazione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43792" w14:textId="77777777" w:rsidR="008B035D" w:rsidRPr="008B035D" w:rsidRDefault="008B035D" w:rsidP="008B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Esposizione dei diplomati dell'IFP all'apprendimento basato sul lavoro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74DFD6" w14:textId="77777777" w:rsidR="008B035D" w:rsidRPr="008B035D" w:rsidRDefault="008B035D" w:rsidP="008B03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Tasso di istruzione terziaria</w:t>
            </w:r>
          </w:p>
        </w:tc>
      </w:tr>
      <w:tr w:rsidR="008B035D" w:rsidRPr="008B035D" w14:paraId="5874053B" w14:textId="77777777" w:rsidTr="008B035D">
        <w:trPr>
          <w:trHeight w:val="136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A7FA2D" w14:textId="77777777" w:rsidR="008B035D" w:rsidRPr="008B035D" w:rsidRDefault="008B035D" w:rsidP="008B0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Italy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356C70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94,60%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8DC13C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23,30%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3AC549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23,80%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AF349F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25,90%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C82A3F5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12,70%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AD8D2EE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31,80%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20E814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28,30%</w:t>
            </w:r>
          </w:p>
        </w:tc>
      </w:tr>
      <w:tr w:rsidR="008B035D" w:rsidRPr="008B035D" w14:paraId="6F044943" w14:textId="77777777" w:rsidTr="008B035D">
        <w:trPr>
          <w:trHeight w:val="136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75F98A96" w14:textId="77777777" w:rsidR="008B035D" w:rsidRPr="008B035D" w:rsidRDefault="008B035D" w:rsidP="008B0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Strongest performer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469AC0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100,00%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CAB6DC7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11,10%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79F1D59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10,20%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E35AB33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8,80%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BF586C7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2,40%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54047CF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96,20%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E0FCBA4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62,60%</w:t>
            </w:r>
          </w:p>
        </w:tc>
      </w:tr>
      <w:tr w:rsidR="008B035D" w:rsidRPr="008B035D" w14:paraId="104526C6" w14:textId="77777777" w:rsidTr="008B035D">
        <w:trPr>
          <w:trHeight w:val="136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18A7A"/>
            <w:noWrap/>
            <w:vAlign w:val="center"/>
            <w:hideMark/>
          </w:tcPr>
          <w:p w14:paraId="127B84C1" w14:textId="77777777" w:rsidR="008B035D" w:rsidRPr="008B035D" w:rsidRDefault="008B035D" w:rsidP="008B0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Weakest performer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7A0ABDE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71,30%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9EE2FA0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47,10%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1A5EE02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46,60%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5A8973E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46,50%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FBF2187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15,30%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276298F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7,10%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A2533E8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23,30%</w:t>
            </w:r>
          </w:p>
        </w:tc>
      </w:tr>
      <w:tr w:rsidR="008B035D" w:rsidRPr="008B035D" w14:paraId="22CCE41C" w14:textId="77777777" w:rsidTr="008B035D">
        <w:trPr>
          <w:trHeight w:val="136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9BCD"/>
            <w:noWrap/>
            <w:vAlign w:val="center"/>
            <w:hideMark/>
          </w:tcPr>
          <w:p w14:paraId="47ED2517" w14:textId="77777777" w:rsidR="008B035D" w:rsidRPr="008B035D" w:rsidRDefault="008B035D" w:rsidP="008B0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EU average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FB4AECE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93,00%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A311AC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22,50%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7E99846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22,90%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7839664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22,30%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E2D3AEA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9,70%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83A12E1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60,70%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6F2FC7C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41,20%</w:t>
            </w:r>
          </w:p>
        </w:tc>
      </w:tr>
      <w:tr w:rsidR="008B035D" w:rsidRPr="008B035D" w14:paraId="4929CCFE" w14:textId="77777777" w:rsidTr="008B035D">
        <w:trPr>
          <w:trHeight w:val="136"/>
          <w:jc w:val="center"/>
        </w:trPr>
        <w:tc>
          <w:tcPr>
            <w:tcW w:w="1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2957CF74" w14:textId="77777777" w:rsidR="008B035D" w:rsidRPr="008B035D" w:rsidRDefault="008B035D" w:rsidP="008B03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EU target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8BE6158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96,00%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AA93C65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15,00%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97EB6D9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15,00%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D397999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15,00%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0FAC976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9,00%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00F7668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60,00%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C3E32A6" w14:textId="77777777" w:rsidR="008B035D" w:rsidRPr="008B035D" w:rsidRDefault="008B035D" w:rsidP="008B03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</w:pPr>
            <w:r w:rsidRPr="008B035D">
              <w:rPr>
                <w:rFonts w:ascii="Arial" w:eastAsia="Times New Roman" w:hAnsi="Arial" w:cs="Arial"/>
                <w:color w:val="000000"/>
                <w:kern w:val="0"/>
                <w:lang w:eastAsia="it-IT"/>
                <w14:ligatures w14:val="none"/>
              </w:rPr>
              <w:t>45,00%</w:t>
            </w:r>
          </w:p>
        </w:tc>
      </w:tr>
    </w:tbl>
    <w:p w14:paraId="7B2422AD" w14:textId="4A6E6F1C" w:rsidR="009B1D9D" w:rsidRPr="009B1D9D" w:rsidRDefault="009B1D9D" w:rsidP="008B035D">
      <w:pPr>
        <w:jc w:val="both"/>
        <w:rPr>
          <w:b/>
          <w:bCs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D553B1">
        <w:rPr>
          <w:i/>
          <w:iCs/>
          <w:sz w:val="16"/>
          <w:szCs w:val="16"/>
        </w:rPr>
        <w:t xml:space="preserve"> </w:t>
      </w:r>
      <w:r w:rsidRPr="009B1D9D">
        <w:rPr>
          <w:i/>
          <w:iCs/>
          <w:sz w:val="16"/>
          <w:szCs w:val="16"/>
        </w:rPr>
        <w:t>Fonte: Education and Training Monitor 2022</w:t>
      </w:r>
    </w:p>
    <w:p w14:paraId="20400186" w14:textId="77777777" w:rsidR="00772D21" w:rsidRDefault="00772D21" w:rsidP="008B035D">
      <w:pPr>
        <w:jc w:val="both"/>
        <w:rPr>
          <w:b/>
          <w:bCs/>
          <w:i/>
          <w:iCs/>
        </w:rPr>
      </w:pPr>
    </w:p>
    <w:p w14:paraId="2971F59F" w14:textId="77777777" w:rsidR="00772D21" w:rsidRDefault="00772D21" w:rsidP="008B035D">
      <w:pPr>
        <w:jc w:val="both"/>
        <w:rPr>
          <w:b/>
          <w:bCs/>
          <w:i/>
          <w:iCs/>
        </w:rPr>
      </w:pPr>
    </w:p>
    <w:p w14:paraId="0FD9408C" w14:textId="52873E68" w:rsidR="005200BF" w:rsidRPr="008B035D" w:rsidRDefault="00E46414" w:rsidP="008B035D">
      <w:pPr>
        <w:jc w:val="both"/>
        <w:rPr>
          <w:sz w:val="24"/>
          <w:szCs w:val="24"/>
        </w:rPr>
      </w:pPr>
      <w:r w:rsidRPr="00E46414">
        <w:rPr>
          <w:b/>
          <w:bCs/>
          <w:i/>
          <w:iCs/>
        </w:rPr>
        <w:lastRenderedPageBreak/>
        <w:t>Abbandono scolastico</w:t>
      </w:r>
      <w:r w:rsidR="001873FC">
        <w:rPr>
          <w:b/>
          <w:bCs/>
          <w:i/>
          <w:iCs/>
        </w:rPr>
        <w:t xml:space="preserve"> e mobilità sociale</w:t>
      </w:r>
    </w:p>
    <w:p w14:paraId="495F68EC" w14:textId="72495032" w:rsidR="00E46414" w:rsidRDefault="00E2544E" w:rsidP="00EB2602">
      <w:pPr>
        <w:jc w:val="both"/>
      </w:pPr>
      <w:r>
        <w:t xml:space="preserve">Uno </w:t>
      </w:r>
      <w:r w:rsidR="007D0735">
        <w:t xml:space="preserve">dei temi più critici per l’Italia </w:t>
      </w:r>
      <w:r w:rsidR="00430D88">
        <w:t xml:space="preserve">è rappresentato dagli elevati tassi di abbandono dei percorsi </w:t>
      </w:r>
      <w:r w:rsidR="008900A4">
        <w:t xml:space="preserve">               </w:t>
      </w:r>
      <w:r w:rsidR="00430D88">
        <w:t>formativ</w:t>
      </w:r>
      <w:r w:rsidR="005109FA">
        <w:t>i</w:t>
      </w:r>
      <w:r w:rsidR="00EB2602">
        <w:t>,</w:t>
      </w:r>
      <w:r w:rsidR="005109FA">
        <w:t xml:space="preserve"> </w:t>
      </w:r>
      <w:r w:rsidR="006C5819">
        <w:t>fattore condizionato dalla situazione economica e sociale dei giovani</w:t>
      </w:r>
      <w:r w:rsidR="00D66365">
        <w:t>.</w:t>
      </w:r>
      <w:r w:rsidR="00E108F2">
        <w:t xml:space="preserve"> </w:t>
      </w:r>
      <w:r w:rsidR="00D90332">
        <w:t>A supporto del</w:t>
      </w:r>
      <w:r w:rsidR="006A2C2F">
        <w:t xml:space="preserve">le </w:t>
      </w:r>
      <w:r w:rsidR="00F77691">
        <w:t>affermazioni</w:t>
      </w:r>
      <w:r w:rsidR="006A2C2F">
        <w:t xml:space="preserve"> poc’anzi effettuate, è possibile basarsi sui dati riportati nell’indagine Inapp-PLUS 2021,</w:t>
      </w:r>
      <w:r w:rsidR="00EA34D4">
        <w:t xml:space="preserve"> che mett</w:t>
      </w:r>
      <w:r w:rsidR="00F77691">
        <w:t>ono</w:t>
      </w:r>
      <w:r w:rsidR="00EA34D4">
        <w:t xml:space="preserve"> in evidenza</w:t>
      </w:r>
      <w:r w:rsidR="00F77691">
        <w:t xml:space="preserve"> </w:t>
      </w:r>
      <w:r w:rsidR="00EA34D4">
        <w:t xml:space="preserve">come un’aliquota rilevante della popolazione </w:t>
      </w:r>
      <w:r w:rsidR="00897409">
        <w:t>(circa 16 milioni di giovani</w:t>
      </w:r>
      <w:r w:rsidR="008B6BAD">
        <w:t xml:space="preserve">) </w:t>
      </w:r>
      <w:r w:rsidR="00897409">
        <w:t xml:space="preserve">decida di non intraprendere un </w:t>
      </w:r>
      <w:r w:rsidR="0052350A">
        <w:t xml:space="preserve">percorso di studi universitario </w:t>
      </w:r>
      <w:r w:rsidR="00342991">
        <w:t xml:space="preserve">o </w:t>
      </w:r>
      <w:r w:rsidR="00B75050">
        <w:t>di non terminarlo</w:t>
      </w:r>
      <w:r w:rsidR="00F77691">
        <w:t xml:space="preserve">. </w:t>
      </w:r>
    </w:p>
    <w:p w14:paraId="43F4CB4F" w14:textId="0389968A" w:rsidR="0007124A" w:rsidRPr="004F0711" w:rsidRDefault="0007124A" w:rsidP="006636EB">
      <w:pPr>
        <w:rPr>
          <w:i/>
          <w:iCs/>
          <w:sz w:val="18"/>
          <w:szCs w:val="18"/>
        </w:rPr>
      </w:pPr>
      <w:r w:rsidRPr="004F0711">
        <w:rPr>
          <w:i/>
          <w:iCs/>
          <w:sz w:val="18"/>
          <w:szCs w:val="18"/>
        </w:rPr>
        <w:t>Dipl</w:t>
      </w:r>
      <w:r w:rsidR="00B15B62" w:rsidRPr="004F0711">
        <w:rPr>
          <w:i/>
          <w:iCs/>
          <w:sz w:val="18"/>
          <w:szCs w:val="18"/>
        </w:rPr>
        <w:t xml:space="preserve">omati che non hanno intrapreso un percorso universitario o l’hanno intrapreso senza conseguire il titolo (valori assoluti). </w:t>
      </w:r>
    </w:p>
    <w:p w14:paraId="070EF39D" w14:textId="74A7D227" w:rsidR="0007124A" w:rsidRDefault="0007124A" w:rsidP="004F0711">
      <w:pPr>
        <w:jc w:val="center"/>
      </w:pPr>
      <w:r w:rsidRPr="0007124A">
        <w:rPr>
          <w:noProof/>
        </w:rPr>
        <w:drawing>
          <wp:inline distT="0" distB="0" distL="0" distR="0" wp14:anchorId="65361CF9" wp14:editId="3E466AE6">
            <wp:extent cx="4963571" cy="2743200"/>
            <wp:effectExtent l="0" t="0" r="8890" b="0"/>
            <wp:docPr id="2" name="Immagine 2" descr="Immagine che contiene testo, schermata, numero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schermata, numero, linea&#10;&#10;Descrizione generata automa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16291" cy="277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54178" w14:textId="254AA91F" w:rsidR="00B15B62" w:rsidRDefault="00B15B62" w:rsidP="006636EB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Pr="00B15B62">
        <w:rPr>
          <w:sz w:val="16"/>
          <w:szCs w:val="16"/>
        </w:rPr>
        <w:t>Fonte: Indagine Inapp-PLUS</w:t>
      </w:r>
      <w:r w:rsidR="004C5CDB">
        <w:rPr>
          <w:sz w:val="16"/>
          <w:szCs w:val="16"/>
        </w:rPr>
        <w:t xml:space="preserve">, </w:t>
      </w:r>
      <w:r w:rsidRPr="00B15B62">
        <w:rPr>
          <w:sz w:val="16"/>
          <w:szCs w:val="16"/>
        </w:rPr>
        <w:t>2021</w:t>
      </w:r>
    </w:p>
    <w:p w14:paraId="4C83C1F4" w14:textId="745627CD" w:rsidR="004F0711" w:rsidRPr="0067098C" w:rsidRDefault="00AD7C7D" w:rsidP="0067098C">
      <w:pPr>
        <w:jc w:val="both"/>
      </w:pPr>
      <w:r w:rsidRPr="0067098C">
        <w:t xml:space="preserve">È necessario estendere il ragionamento e ricercare </w:t>
      </w:r>
      <w:r w:rsidR="00EC4EBB" w:rsidRPr="0067098C">
        <w:t>le motivazioni</w:t>
      </w:r>
      <w:r w:rsidRPr="0067098C">
        <w:t xml:space="preserve"> che spingono i giovani (ma non solo) a</w:t>
      </w:r>
      <w:r w:rsidR="006A61FB" w:rsidRPr="0067098C">
        <w:t>d abbandonare un percorso di studi/formativo</w:t>
      </w:r>
      <w:r w:rsidR="00856397" w:rsidRPr="0067098C">
        <w:t xml:space="preserve">. </w:t>
      </w:r>
      <w:r w:rsidR="00C545FA" w:rsidRPr="0067098C">
        <w:t xml:space="preserve">Tra le principali ragioni addotte, è possibile riscontrare </w:t>
      </w:r>
      <w:r w:rsidR="00E050EF" w:rsidRPr="0067098C">
        <w:t>l’avvento di un’offerta di lavoro</w:t>
      </w:r>
      <w:r w:rsidR="00D067D8" w:rsidRPr="0067098C">
        <w:t xml:space="preserve"> (40%), </w:t>
      </w:r>
      <w:r w:rsidR="0051042D" w:rsidRPr="0067098C">
        <w:t xml:space="preserve">sopravvenuti problemi familiari (33%), </w:t>
      </w:r>
      <w:r w:rsidR="001F3EC5" w:rsidRPr="0067098C">
        <w:t>bassi rendimenti durante il percorso (</w:t>
      </w:r>
      <w:r w:rsidR="00630AAE" w:rsidRPr="0067098C">
        <w:t xml:space="preserve">20%) e il mancato interesse per il corso prescelto </w:t>
      </w:r>
      <w:r w:rsidR="006D67A2" w:rsidRPr="0067098C">
        <w:t>(7</w:t>
      </w:r>
      <w:r w:rsidR="00525648" w:rsidRPr="0067098C">
        <w:t>%)</w:t>
      </w:r>
      <w:r w:rsidR="00912BC8" w:rsidRPr="0067098C">
        <w:t xml:space="preserve"> </w:t>
      </w:r>
    </w:p>
    <w:p w14:paraId="264D4A43" w14:textId="767A4A5D" w:rsidR="006E49B9" w:rsidRPr="0049101D" w:rsidRDefault="0049101D" w:rsidP="006636EB">
      <w:pPr>
        <w:rPr>
          <w:i/>
          <w:iCs/>
          <w:sz w:val="20"/>
          <w:szCs w:val="20"/>
        </w:rPr>
      </w:pPr>
      <w:r w:rsidRPr="004F0711">
        <w:rPr>
          <w:i/>
          <w:iCs/>
          <w:sz w:val="18"/>
          <w:szCs w:val="18"/>
        </w:rPr>
        <w:t>Motivazioni per le quali non si sono proseguiti gli studi per</w:t>
      </w:r>
      <w:r w:rsidR="00525648" w:rsidRPr="004F0711">
        <w:rPr>
          <w:i/>
          <w:iCs/>
          <w:sz w:val="18"/>
          <w:szCs w:val="18"/>
        </w:rPr>
        <w:t xml:space="preserve"> </w:t>
      </w:r>
      <w:r w:rsidRPr="004F0711">
        <w:rPr>
          <w:i/>
          <w:iCs/>
          <w:sz w:val="18"/>
          <w:szCs w:val="18"/>
        </w:rPr>
        <w:t>donne, Sud e Isole, 18.39 anni (%)</w:t>
      </w:r>
    </w:p>
    <w:p w14:paraId="4D058362" w14:textId="1551366E" w:rsidR="00AA7650" w:rsidRPr="00B10D62" w:rsidRDefault="006E49B9" w:rsidP="006E49B9">
      <w:pPr>
        <w:jc w:val="center"/>
        <w:rPr>
          <w:sz w:val="20"/>
          <w:szCs w:val="20"/>
        </w:rPr>
      </w:pPr>
      <w:r w:rsidRPr="006E49B9">
        <w:rPr>
          <w:noProof/>
          <w:sz w:val="20"/>
          <w:szCs w:val="20"/>
        </w:rPr>
        <w:drawing>
          <wp:inline distT="0" distB="0" distL="0" distR="0" wp14:anchorId="67A1D168" wp14:editId="2EAD04A9">
            <wp:extent cx="5566787" cy="2661425"/>
            <wp:effectExtent l="0" t="0" r="0" b="5715"/>
            <wp:docPr id="3" name="Immagine 3" descr="Immagine che contiene testo, schermata, Parallelo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schermata, Parallelo, linea&#10;&#10;Descrizione generata automa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8029" cy="268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42012" w14:textId="0B7ABE38" w:rsidR="00B15B62" w:rsidRDefault="004C5CDB" w:rsidP="006636E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9101D" w:rsidRPr="004C5CDB">
        <w:rPr>
          <w:sz w:val="16"/>
          <w:szCs w:val="16"/>
        </w:rPr>
        <w:t xml:space="preserve">Fonte: </w:t>
      </w:r>
      <w:r w:rsidRPr="004C5CDB">
        <w:rPr>
          <w:sz w:val="16"/>
          <w:szCs w:val="16"/>
        </w:rPr>
        <w:t>Indagine Inapp-PLUS, 2021</w:t>
      </w:r>
    </w:p>
    <w:p w14:paraId="5F3B11EC" w14:textId="3AA28F4C" w:rsidR="0077101A" w:rsidRPr="0067098C" w:rsidRDefault="004E46DB" w:rsidP="0067098C">
      <w:pPr>
        <w:jc w:val="both"/>
      </w:pPr>
      <w:r w:rsidRPr="0067098C">
        <w:lastRenderedPageBreak/>
        <w:t xml:space="preserve">Risulta evidente, come la situazione economica influisca in maniera rilevante sulla decisione dei </w:t>
      </w:r>
      <w:r w:rsidR="000A02A3">
        <w:t xml:space="preserve">                 </w:t>
      </w:r>
      <w:r w:rsidRPr="0067098C">
        <w:t>giovani, ricordando che un percorso formativo richiede ingenti investimenti di tempo e denaro.</w:t>
      </w:r>
      <w:r w:rsidR="00E9608D" w:rsidRPr="0067098C">
        <w:t xml:space="preserve"> L’Italia è ancora oggi caratterizzata da profonde disuguaglianze</w:t>
      </w:r>
      <w:r w:rsidR="00456658" w:rsidRPr="0067098C">
        <w:t xml:space="preserve"> che colpiscono specifici gruppi della popolazione</w:t>
      </w:r>
      <w:r w:rsidR="00A02EB9" w:rsidRPr="0067098C">
        <w:t>: giovani, donne, stranieri e i residenti in specifiche aree geografiche del Paese, come ad esempio il Mezzogiorno</w:t>
      </w:r>
      <w:r w:rsidR="0008365C" w:rsidRPr="0067098C">
        <w:t>. È indubbio</w:t>
      </w:r>
      <w:r w:rsidR="00434E51" w:rsidRPr="0067098C">
        <w:t>,</w:t>
      </w:r>
      <w:r w:rsidR="0008365C" w:rsidRPr="0067098C">
        <w:t xml:space="preserve"> che una delle leve più efficaci </w:t>
      </w:r>
      <w:r w:rsidR="00434E51" w:rsidRPr="0067098C">
        <w:t xml:space="preserve">per ridurre </w:t>
      </w:r>
      <w:r w:rsidR="000F7E8C" w:rsidRPr="0067098C">
        <w:t>tali</w:t>
      </w:r>
      <w:r w:rsidR="00434E51" w:rsidRPr="0067098C">
        <w:t xml:space="preserve"> disuguaglianze</w:t>
      </w:r>
      <w:r w:rsidR="0064298D" w:rsidRPr="0067098C">
        <w:t xml:space="preserve">, </w:t>
      </w:r>
      <w:r w:rsidR="00434E51" w:rsidRPr="0067098C">
        <w:t xml:space="preserve">sia </w:t>
      </w:r>
      <w:r w:rsidR="00084149" w:rsidRPr="0067098C">
        <w:t>l’investimento in istruzione e in formazione di qualità</w:t>
      </w:r>
      <w:r w:rsidR="000D0707" w:rsidRPr="0067098C">
        <w:t xml:space="preserve">. </w:t>
      </w:r>
      <w:r w:rsidR="000E5898">
        <w:t>Però</w:t>
      </w:r>
      <w:r w:rsidR="000D0707" w:rsidRPr="0067098C">
        <w:t>, a</w:t>
      </w:r>
      <w:r w:rsidR="00347090" w:rsidRPr="0067098C">
        <w:t>l fine di costruire una società equa e giusta</w:t>
      </w:r>
      <w:r w:rsidR="00181B1A" w:rsidRPr="0067098C">
        <w:t>, è di vitale importanza che</w:t>
      </w:r>
      <w:r w:rsidR="00EF146E" w:rsidRPr="0067098C">
        <w:t xml:space="preserve"> </w:t>
      </w:r>
      <w:r w:rsidR="00297848" w:rsidRPr="0067098C">
        <w:t xml:space="preserve">le sorti </w:t>
      </w:r>
      <w:r w:rsidR="00EC4EBB" w:rsidRPr="0067098C">
        <w:t>socioeconomiche</w:t>
      </w:r>
      <w:r w:rsidR="00297848" w:rsidRPr="0067098C">
        <w:t xml:space="preserve"> </w:t>
      </w:r>
      <w:r w:rsidR="002B73BF" w:rsidRPr="0067098C">
        <w:t>dei singoli individui non siano influenzate da</w:t>
      </w:r>
      <w:r w:rsidR="00000F49" w:rsidRPr="0067098C">
        <w:t>i “punti di partenza” o</w:t>
      </w:r>
      <w:r w:rsidR="00297848" w:rsidRPr="0067098C">
        <w:t xml:space="preserve"> dal </w:t>
      </w:r>
      <w:r w:rsidR="00000F49" w:rsidRPr="0067098C">
        <w:t xml:space="preserve">contesto familiare </w:t>
      </w:r>
      <w:r w:rsidR="00297848" w:rsidRPr="00034A71">
        <w:t>(Kanbur e Stiglitz 2016</w:t>
      </w:r>
      <w:r w:rsidR="00297848" w:rsidRPr="0067098C">
        <w:t>).</w:t>
      </w:r>
      <w:r w:rsidR="000575FD" w:rsidRPr="0067098C">
        <w:t xml:space="preserve"> È</w:t>
      </w:r>
      <w:r w:rsidR="008962AB" w:rsidRPr="0067098C">
        <w:t xml:space="preserve"> proprio il progressivo allentamento de</w:t>
      </w:r>
      <w:r w:rsidR="00D72173" w:rsidRPr="0067098C">
        <w:t xml:space="preserve">i legami tra le situazioni </w:t>
      </w:r>
      <w:r w:rsidR="00EC4EBB" w:rsidRPr="0067098C">
        <w:t>socioeconomiche</w:t>
      </w:r>
      <w:r w:rsidR="00D72173" w:rsidRPr="0067098C">
        <w:t xml:space="preserve"> dei genitori e quelle dei figli</w:t>
      </w:r>
      <w:r w:rsidR="008C4E84">
        <w:t xml:space="preserve">, </w:t>
      </w:r>
      <w:r w:rsidR="0077221E" w:rsidRPr="0067098C">
        <w:t xml:space="preserve">che consentirebbe di raggiungere un maggior livello di </w:t>
      </w:r>
      <w:r w:rsidR="001873FC" w:rsidRPr="0067098C">
        <w:t>mobilità sociale</w:t>
      </w:r>
      <w:r w:rsidR="008C4E84">
        <w:t xml:space="preserve"> e </w:t>
      </w:r>
      <w:r w:rsidR="001873FC" w:rsidRPr="0067098C">
        <w:t>intergenerazionale.</w:t>
      </w:r>
      <w:r w:rsidR="00584E00" w:rsidRPr="0067098C">
        <w:t xml:space="preserve"> </w:t>
      </w:r>
      <w:r w:rsidR="00402D7A" w:rsidRPr="0067098C">
        <w:t>Purtroppo, n</w:t>
      </w:r>
      <w:r w:rsidR="00584E00" w:rsidRPr="0067098C">
        <w:t xml:space="preserve">umerosi studi </w:t>
      </w:r>
      <w:r w:rsidR="00584E00" w:rsidRPr="00034A71">
        <w:t>(Franzini e Raitano 2008</w:t>
      </w:r>
      <w:r w:rsidR="00402D7A" w:rsidRPr="00034A71">
        <w:t>; Brunetti 2020</w:t>
      </w:r>
      <w:r w:rsidR="00402D7A" w:rsidRPr="0067098C">
        <w:t>) mettono in evidenza come</w:t>
      </w:r>
      <w:r w:rsidR="00FD3CCD" w:rsidRPr="0067098C">
        <w:t xml:space="preserve"> </w:t>
      </w:r>
      <w:r w:rsidR="00AC73BF" w:rsidRPr="0067098C">
        <w:t xml:space="preserve"> in Italia, </w:t>
      </w:r>
      <w:r w:rsidR="00B5665E" w:rsidRPr="0067098C">
        <w:t>l’accesso all’istruzione non risulti equidistribuito</w:t>
      </w:r>
      <w:r w:rsidR="00FD3CCD" w:rsidRPr="0067098C">
        <w:t xml:space="preserve"> e</w:t>
      </w:r>
      <w:r w:rsidR="002D6C13" w:rsidRPr="0067098C">
        <w:t xml:space="preserve"> ciò va ad inficiare sulla possibilità di costruire una società </w:t>
      </w:r>
      <w:r w:rsidR="003F2D4B" w:rsidRPr="0067098C">
        <w:t>basata sulle pari opportunità.</w:t>
      </w:r>
      <w:r w:rsidR="00FD3CCD" w:rsidRPr="0067098C">
        <w:t xml:space="preserve"> In sintesi, </w:t>
      </w:r>
      <w:r w:rsidR="001F1668" w:rsidRPr="0067098C">
        <w:t xml:space="preserve">nonostante la crescita dei livelli d’istruzione </w:t>
      </w:r>
      <w:r w:rsidR="0040212C" w:rsidRPr="0067098C">
        <w:t>degli ultimi anni, i vantaggi relativi d</w:t>
      </w:r>
      <w:r w:rsidR="002E5B23" w:rsidRPr="0067098C">
        <w:t>i</w:t>
      </w:r>
      <w:r w:rsidR="0040212C" w:rsidRPr="0067098C">
        <w:t xml:space="preserve"> coloro che provengono da famiglie più istruite non</w:t>
      </w:r>
      <w:r w:rsidR="00E817A8" w:rsidRPr="0067098C">
        <w:t xml:space="preserve"> hanno subito una riduzione significativa.</w:t>
      </w:r>
    </w:p>
    <w:p w14:paraId="5BE68359" w14:textId="00749017" w:rsidR="00385052" w:rsidRPr="0067098C" w:rsidRDefault="00AC0233" w:rsidP="0067098C">
      <w:pPr>
        <w:jc w:val="both"/>
      </w:pPr>
      <w:r w:rsidRPr="0067098C">
        <w:t xml:space="preserve">Il problema </w:t>
      </w:r>
      <w:r w:rsidR="004A164C" w:rsidRPr="0067098C">
        <w:t xml:space="preserve">del far </w:t>
      </w:r>
      <w:r w:rsidR="00385052" w:rsidRPr="0067098C">
        <w:t>affidamento</w:t>
      </w:r>
      <w:r w:rsidR="00B932AB" w:rsidRPr="0067098C">
        <w:t xml:space="preserve"> esclusivamente su indici sintetici di mobilità, come l’indice </w:t>
      </w:r>
      <w:r w:rsidR="00921634" w:rsidRPr="0067098C">
        <w:t>di Shorrocks</w:t>
      </w:r>
      <w:r w:rsidR="00965253" w:rsidRPr="0067098C">
        <w:t xml:space="preserve">, </w:t>
      </w:r>
      <w:r w:rsidR="00157BA7" w:rsidRPr="0067098C">
        <w:t xml:space="preserve">non consente di cogliere </w:t>
      </w:r>
      <w:r w:rsidR="00502DDD" w:rsidRPr="0067098C">
        <w:t>la dimensione territoriale della disuguaglianza</w:t>
      </w:r>
      <w:r w:rsidR="0042581C" w:rsidRPr="0067098C">
        <w:t>. Quest’ultimo è un aspetto di fondamentale importanza</w:t>
      </w:r>
      <w:r w:rsidR="001025BB" w:rsidRPr="0067098C">
        <w:t xml:space="preserve"> e</w:t>
      </w:r>
      <w:r w:rsidR="0042581C" w:rsidRPr="0067098C">
        <w:t xml:space="preserve"> spesso</w:t>
      </w:r>
      <w:r w:rsidR="00AC1354" w:rsidRPr="0067098C">
        <w:t xml:space="preserve"> al centro dei dibattiti a livello nazionale ed europeo</w:t>
      </w:r>
      <w:r w:rsidR="001025BB" w:rsidRPr="0067098C">
        <w:t xml:space="preserve">, </w:t>
      </w:r>
      <w:r w:rsidR="009A010E" w:rsidRPr="0067098C">
        <w:t xml:space="preserve">nell’ottica di </w:t>
      </w:r>
      <w:r w:rsidR="0091240A" w:rsidRPr="0067098C">
        <w:t>poter proporre degli interventi mirati di politica economica</w:t>
      </w:r>
      <w:r w:rsidR="00CA63DD">
        <w:t>,</w:t>
      </w:r>
      <w:r w:rsidR="0091240A" w:rsidRPr="0067098C">
        <w:t xml:space="preserve"> volti a ridurre le disuguaglianze</w:t>
      </w:r>
      <w:r w:rsidR="00D560CB">
        <w:t xml:space="preserve"> territoriali</w:t>
      </w:r>
      <w:r w:rsidR="00AC1354" w:rsidRPr="0067098C">
        <w:t xml:space="preserve">. </w:t>
      </w:r>
      <w:r w:rsidR="00556954" w:rsidRPr="0067098C">
        <w:t xml:space="preserve">In Italia, </w:t>
      </w:r>
      <w:r w:rsidR="00EC4EBB" w:rsidRPr="0067098C">
        <w:t>i dati PLUS 2021</w:t>
      </w:r>
      <w:r w:rsidR="00556954" w:rsidRPr="0067098C">
        <w:t xml:space="preserve"> </w:t>
      </w:r>
      <w:r w:rsidR="00906472" w:rsidRPr="0067098C">
        <w:t>mettono in evidenza</w:t>
      </w:r>
      <w:r w:rsidR="00A2574B">
        <w:t>,</w:t>
      </w:r>
      <w:r w:rsidR="00906472" w:rsidRPr="0067098C">
        <w:t xml:space="preserve"> come nel Mezzogiorno e le Isole, vi </w:t>
      </w:r>
      <w:r w:rsidR="007B4348" w:rsidRPr="0067098C">
        <w:t>sia</w:t>
      </w:r>
      <w:r w:rsidR="00906472" w:rsidRPr="0067098C">
        <w:t xml:space="preserve"> una maggior</w:t>
      </w:r>
      <w:r w:rsidR="00A2574B">
        <w:t>e</w:t>
      </w:r>
      <w:r w:rsidR="00906472" w:rsidRPr="0067098C">
        <w:t xml:space="preserve"> probabilità per i giovani di ottenere un titolo di studio inferiore </w:t>
      </w:r>
      <w:r w:rsidR="00C31255" w:rsidRPr="0067098C">
        <w:t>rispetto a quello dei propri genitori (relazione più marcata tra figli</w:t>
      </w:r>
      <w:r w:rsidR="004F4CDD" w:rsidRPr="0067098C">
        <w:t>/padre rispetto a quella figli/madre)</w:t>
      </w:r>
      <w:r w:rsidR="00072B57" w:rsidRPr="0067098C">
        <w:t xml:space="preserve">, </w:t>
      </w:r>
      <w:r w:rsidR="00EB2FC0" w:rsidRPr="0067098C">
        <w:t xml:space="preserve">ciò implica che la mobilità “ascendente” in alcune zone </w:t>
      </w:r>
      <w:r w:rsidR="0045517A" w:rsidRPr="0067098C">
        <w:t xml:space="preserve">del Paese risulta molto bassa o addirittura preclusa. </w:t>
      </w:r>
    </w:p>
    <w:p w14:paraId="09AA78B1" w14:textId="77777777" w:rsidR="0048553B" w:rsidRDefault="001C70CA" w:rsidP="0067098C">
      <w:pPr>
        <w:jc w:val="both"/>
      </w:pPr>
      <w:r w:rsidRPr="0067098C">
        <w:t>In conclusion</w:t>
      </w:r>
      <w:r w:rsidR="00524682" w:rsidRPr="0067098C">
        <w:t xml:space="preserve">e, </w:t>
      </w:r>
      <w:r w:rsidR="00E10A5C" w:rsidRPr="0067098C">
        <w:t xml:space="preserve">le dinamiche sottese </w:t>
      </w:r>
      <w:r w:rsidR="00414DCC" w:rsidRPr="0067098C">
        <w:t xml:space="preserve">all’abbandono scolastico sono alquanto complesse da </w:t>
      </w:r>
      <w:r w:rsidR="0065737C">
        <w:t xml:space="preserve">                      </w:t>
      </w:r>
      <w:r w:rsidR="00414DCC" w:rsidRPr="0067098C">
        <w:t xml:space="preserve">analizzare, molteplici </w:t>
      </w:r>
      <w:r w:rsidR="00DE331E" w:rsidRPr="0067098C">
        <w:t>possono essere i fattori scatenanti</w:t>
      </w:r>
      <w:r w:rsidR="00067DE0" w:rsidRPr="0067098C">
        <w:t xml:space="preserve">, ma sicuramente la situazione familiare e i vincoli alle disponibilità liquide </w:t>
      </w:r>
      <w:r w:rsidR="003F15C3" w:rsidRPr="0067098C">
        <w:t xml:space="preserve">ricoprono il ruolo più importante. </w:t>
      </w:r>
      <w:r w:rsidR="00231895" w:rsidRPr="0067098C">
        <w:t>Preme ricordare che una riduzione della mobilità sociale</w:t>
      </w:r>
      <w:r w:rsidR="00E45147" w:rsidRPr="0067098C">
        <w:t xml:space="preserve">, si traduce in una minor probabilità </w:t>
      </w:r>
      <w:r w:rsidR="00E96CCA" w:rsidRPr="0067098C">
        <w:t>di raggiungere posizioni “elevate” per individui proveniente da contesti svantaggiati.</w:t>
      </w:r>
    </w:p>
    <w:p w14:paraId="293F3490" w14:textId="463F68F6" w:rsidR="001C70CA" w:rsidRPr="0067098C" w:rsidRDefault="00E96CCA" w:rsidP="0067098C">
      <w:pPr>
        <w:jc w:val="both"/>
      </w:pPr>
      <w:r w:rsidRPr="0067098C">
        <w:t xml:space="preserve"> </w:t>
      </w:r>
    </w:p>
    <w:p w14:paraId="49309D21" w14:textId="63135D93" w:rsidR="00971FF1" w:rsidRPr="00463BE9" w:rsidRDefault="00DD711B" w:rsidP="004E46DB">
      <w:pPr>
        <w:rPr>
          <w:b/>
          <w:bCs/>
          <w:i/>
          <w:iCs/>
        </w:rPr>
      </w:pPr>
      <w:r w:rsidRPr="00463BE9">
        <w:rPr>
          <w:b/>
          <w:bCs/>
          <w:i/>
          <w:iCs/>
        </w:rPr>
        <w:t>L’investimento italiano in attività formative</w:t>
      </w:r>
      <w:r w:rsidR="00C3105D">
        <w:rPr>
          <w:b/>
          <w:bCs/>
          <w:i/>
          <w:iCs/>
        </w:rPr>
        <w:t xml:space="preserve"> </w:t>
      </w:r>
      <w:r w:rsidR="009278E2">
        <w:rPr>
          <w:b/>
          <w:bCs/>
          <w:i/>
          <w:iCs/>
        </w:rPr>
        <w:t>e la partecipazione dei disoccupati/inattivi</w:t>
      </w:r>
    </w:p>
    <w:p w14:paraId="174F179F" w14:textId="4AA88B26" w:rsidR="00DD711B" w:rsidRPr="00463BE9" w:rsidRDefault="00F75893" w:rsidP="0067098C">
      <w:pPr>
        <w:jc w:val="both"/>
      </w:pPr>
      <w:r w:rsidRPr="00463BE9">
        <w:t xml:space="preserve">Anche dal punto di vista della partecipazione </w:t>
      </w:r>
      <w:r w:rsidR="0084188A" w:rsidRPr="00463BE9">
        <w:t xml:space="preserve">ad attività di formazione tra gli occupati, i disoccupati e gli inattivi, l’Italia presenta delle </w:t>
      </w:r>
      <w:r w:rsidR="007B0BDF" w:rsidRPr="00463BE9">
        <w:t>tipicità che è bene analizzare più da vici</w:t>
      </w:r>
      <w:r w:rsidR="00504BB8" w:rsidRPr="00463BE9">
        <w:t xml:space="preserve">no. </w:t>
      </w:r>
      <w:r w:rsidR="00E1117C" w:rsidRPr="00463BE9">
        <w:t>La debolezza</w:t>
      </w:r>
      <w:r w:rsidR="00994B23">
        <w:t xml:space="preserve"> </w:t>
      </w:r>
      <w:r w:rsidR="00E1117C" w:rsidRPr="00463BE9">
        <w:t>del sistema italiano</w:t>
      </w:r>
      <w:r w:rsidR="00994B23">
        <w:t xml:space="preserve">, in generale, </w:t>
      </w:r>
      <w:r w:rsidR="00E1117C" w:rsidRPr="00463BE9">
        <w:t xml:space="preserve">risiede </w:t>
      </w:r>
      <w:r w:rsidR="00DE4C1C" w:rsidRPr="00463BE9">
        <w:t xml:space="preserve">nell’incapacità di conferire </w:t>
      </w:r>
      <w:r w:rsidR="008A6948" w:rsidRPr="00463BE9">
        <w:t xml:space="preserve">le competenze necessarie a chi ne ha più bisogno, cioè </w:t>
      </w:r>
      <w:r w:rsidR="005D3894">
        <w:t>i soggetti svantaggiati</w:t>
      </w:r>
      <w:r w:rsidR="00472D61">
        <w:t xml:space="preserve"> e</w:t>
      </w:r>
      <w:r w:rsidR="008A6948" w:rsidRPr="00463BE9">
        <w:t xml:space="preserve"> più distanti dal mercat</w:t>
      </w:r>
      <w:r w:rsidR="0042099D" w:rsidRPr="00463BE9">
        <w:t xml:space="preserve">o del lavoro. </w:t>
      </w:r>
      <w:r w:rsidR="00590037" w:rsidRPr="00463BE9">
        <w:t>Ulteriori elementi di criticità</w:t>
      </w:r>
      <w:r w:rsidR="00964A58" w:rsidRPr="00463BE9">
        <w:t>, riguardano la carenza di competenze digitali e di adeguate infrastrutture informatiche</w:t>
      </w:r>
      <w:r w:rsidR="00B9058E" w:rsidRPr="00463BE9">
        <w:t xml:space="preserve"> (tra i principali obiettivi europei), </w:t>
      </w:r>
      <w:r w:rsidR="002279DE" w:rsidRPr="00463BE9">
        <w:t>il problema della governance (verticale)</w:t>
      </w:r>
      <w:r w:rsidR="00E10A3D" w:rsidRPr="00463BE9">
        <w:t xml:space="preserve"> e il persistente divario territoriale</w:t>
      </w:r>
      <w:r w:rsidR="0056772F" w:rsidRPr="00463BE9">
        <w:t>.</w:t>
      </w:r>
    </w:p>
    <w:p w14:paraId="3343D2AD" w14:textId="1AADC435" w:rsidR="00E30335" w:rsidRDefault="00EC4EBB" w:rsidP="0067098C">
      <w:pPr>
        <w:jc w:val="both"/>
      </w:pPr>
      <w:r w:rsidRPr="00463BE9">
        <w:t>Il dato aggregato sullo svolgimento/partecipazione ad attività formative</w:t>
      </w:r>
      <w:r w:rsidR="00E97CC5" w:rsidRPr="00463BE9">
        <w:t xml:space="preserve"> individua un</w:t>
      </w:r>
      <w:r w:rsidR="004A787F">
        <w:t xml:space="preserve"> solo</w:t>
      </w:r>
      <w:r w:rsidR="00E97CC5" w:rsidRPr="00463BE9">
        <w:t xml:space="preserve"> 19% della popolazione</w:t>
      </w:r>
      <w:r w:rsidR="00D96172" w:rsidRPr="00463BE9">
        <w:t xml:space="preserve"> tra i 18 e i 74 anni</w:t>
      </w:r>
      <w:r w:rsidR="0005197A">
        <w:t xml:space="preserve"> e </w:t>
      </w:r>
      <w:r w:rsidR="005623F9">
        <w:t>un 9,9% per la popolazione da 25 ai 64 anni</w:t>
      </w:r>
      <w:r w:rsidR="00E02BCF">
        <w:t>, un dato prossimo alla media europea (10,8%), ma una</w:t>
      </w:r>
      <w:r w:rsidR="00D96172" w:rsidRPr="00463BE9">
        <w:t xml:space="preserve"> </w:t>
      </w:r>
      <w:r w:rsidR="00AA6FA8" w:rsidRPr="00463BE9">
        <w:t>percentuale che si discosta in maniere rilevante</w:t>
      </w:r>
      <w:r w:rsidR="00E02BCF">
        <w:t xml:space="preserve"> </w:t>
      </w:r>
      <w:r w:rsidR="00C046B3" w:rsidRPr="00463BE9">
        <w:t>da</w:t>
      </w:r>
      <w:r w:rsidR="00E02BCF">
        <w:t xml:space="preserve">gli </w:t>
      </w:r>
      <w:r w:rsidR="00C046B3" w:rsidRPr="00463BE9">
        <w:t>obiettivi entro il 2030</w:t>
      </w:r>
      <w:r w:rsidR="002931CE">
        <w:t xml:space="preserve"> </w:t>
      </w:r>
      <w:r w:rsidR="00412510">
        <w:t>(47% entro il 2025 e 60% entro il 2030) (Inapp PLUS, 2022).</w:t>
      </w:r>
    </w:p>
    <w:p w14:paraId="07C2A23C" w14:textId="77777777" w:rsidR="0048553B" w:rsidRDefault="0048553B" w:rsidP="0067098C">
      <w:pPr>
        <w:jc w:val="both"/>
        <w:rPr>
          <w:i/>
          <w:iCs/>
          <w:sz w:val="18"/>
          <w:szCs w:val="18"/>
        </w:rPr>
      </w:pPr>
    </w:p>
    <w:p w14:paraId="5361A5D1" w14:textId="77777777" w:rsidR="0048553B" w:rsidRDefault="0048553B" w:rsidP="0067098C">
      <w:pPr>
        <w:jc w:val="both"/>
        <w:rPr>
          <w:i/>
          <w:iCs/>
          <w:sz w:val="18"/>
          <w:szCs w:val="18"/>
        </w:rPr>
      </w:pPr>
    </w:p>
    <w:p w14:paraId="31B48125" w14:textId="77777777" w:rsidR="0048553B" w:rsidRDefault="0048553B" w:rsidP="0067098C">
      <w:pPr>
        <w:jc w:val="both"/>
        <w:rPr>
          <w:i/>
          <w:iCs/>
          <w:sz w:val="18"/>
          <w:szCs w:val="18"/>
        </w:rPr>
      </w:pPr>
    </w:p>
    <w:p w14:paraId="583CCC2D" w14:textId="77777777" w:rsidR="00F50240" w:rsidRDefault="00F50240" w:rsidP="0067098C">
      <w:pPr>
        <w:jc w:val="both"/>
        <w:rPr>
          <w:i/>
          <w:iCs/>
          <w:sz w:val="18"/>
          <w:szCs w:val="18"/>
        </w:rPr>
      </w:pPr>
    </w:p>
    <w:p w14:paraId="7DDF19D4" w14:textId="7197664F" w:rsidR="0085236B" w:rsidRPr="009A6D11" w:rsidRDefault="006751FA" w:rsidP="0067098C">
      <w:pPr>
        <w:jc w:val="both"/>
        <w:rPr>
          <w:i/>
          <w:iCs/>
          <w:sz w:val="18"/>
          <w:szCs w:val="18"/>
        </w:rPr>
      </w:pPr>
      <w:r w:rsidRPr="009A6D11">
        <w:rPr>
          <w:i/>
          <w:iCs/>
          <w:sz w:val="18"/>
          <w:szCs w:val="18"/>
        </w:rPr>
        <w:lastRenderedPageBreak/>
        <w:t>Persone dai 25-64 anni che partecipano ad attività d</w:t>
      </w:r>
      <w:r w:rsidR="009A6D11" w:rsidRPr="009A6D11">
        <w:rPr>
          <w:i/>
          <w:iCs/>
          <w:sz w:val="18"/>
          <w:szCs w:val="18"/>
        </w:rPr>
        <w:t>i istruzione e formazione in Europa, 2007-2021 (val.%)</w:t>
      </w:r>
    </w:p>
    <w:p w14:paraId="2003D429" w14:textId="7323BEC0" w:rsidR="00412510" w:rsidRDefault="006D23FE" w:rsidP="003E442C">
      <w:pPr>
        <w:jc w:val="center"/>
      </w:pPr>
      <w:r w:rsidRPr="006D23FE">
        <w:rPr>
          <w:noProof/>
        </w:rPr>
        <w:drawing>
          <wp:inline distT="0" distB="0" distL="0" distR="0" wp14:anchorId="3D59C49C" wp14:editId="4AD5C375">
            <wp:extent cx="4025403" cy="2125887"/>
            <wp:effectExtent l="0" t="0" r="0" b="8255"/>
            <wp:docPr id="12" name="Immagine 12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 12" descr="Immagine che contiene testo, schermata, Diagramma, linea&#10;&#10;Descrizione generata automa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74977" cy="2152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3CCBB" w14:textId="055DE45B" w:rsidR="00E30335" w:rsidRDefault="0085236B" w:rsidP="0067098C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6D23FE" w:rsidRPr="0085236B">
        <w:rPr>
          <w:sz w:val="16"/>
          <w:szCs w:val="16"/>
        </w:rPr>
        <w:t xml:space="preserve">Fonte: </w:t>
      </w:r>
      <w:r w:rsidRPr="0085236B">
        <w:rPr>
          <w:sz w:val="16"/>
          <w:szCs w:val="16"/>
        </w:rPr>
        <w:t>Elaborazione Inapp su dati Eurostat, Labour Force Survey</w:t>
      </w:r>
      <w:r>
        <w:t xml:space="preserve"> </w:t>
      </w:r>
    </w:p>
    <w:p w14:paraId="47D71595" w14:textId="77777777" w:rsidR="00602367" w:rsidRDefault="00602367" w:rsidP="0067098C">
      <w:pPr>
        <w:jc w:val="both"/>
      </w:pPr>
    </w:p>
    <w:p w14:paraId="01621592" w14:textId="3ED68C74" w:rsidR="00E97CC5" w:rsidRPr="00463BE9" w:rsidRDefault="00237FC2" w:rsidP="0067098C">
      <w:pPr>
        <w:jc w:val="both"/>
      </w:pPr>
      <w:r w:rsidRPr="00463BE9">
        <w:t xml:space="preserve">L’aspetto che più stupisce </w:t>
      </w:r>
      <w:r w:rsidR="00FE291F" w:rsidRPr="00463BE9">
        <w:t xml:space="preserve">è l’enorme divario tra i tassi di partecipazione degli occupati e dei </w:t>
      </w:r>
      <w:r w:rsidR="006F402F" w:rsidRPr="00463BE9">
        <w:t>disoccupati o inattivi</w:t>
      </w:r>
      <w:r w:rsidR="009A6D11">
        <w:t xml:space="preserve"> del Paese</w:t>
      </w:r>
      <w:r w:rsidR="001C0D7F" w:rsidRPr="00463BE9">
        <w:t xml:space="preserve">, </w:t>
      </w:r>
      <w:r w:rsidR="00B8163F" w:rsidRPr="00463BE9">
        <w:t>che si attesta a</w:t>
      </w:r>
      <w:r w:rsidR="004F5140" w:rsidRPr="00463BE9">
        <w:t xml:space="preserve"> livelli di circa il 20% (Inapp PLUS, 2021)</w:t>
      </w:r>
      <w:r w:rsidR="00CF23AD" w:rsidRPr="00463BE9">
        <w:t>.</w:t>
      </w:r>
    </w:p>
    <w:p w14:paraId="373A3133" w14:textId="77777777" w:rsidR="00F50240" w:rsidRDefault="00F50240" w:rsidP="004E46DB">
      <w:pPr>
        <w:rPr>
          <w:i/>
          <w:iCs/>
          <w:sz w:val="18"/>
          <w:szCs w:val="18"/>
        </w:rPr>
      </w:pPr>
    </w:p>
    <w:p w14:paraId="5A7AD0B8" w14:textId="77777777" w:rsidR="00F50240" w:rsidRDefault="00F50240" w:rsidP="004E46DB">
      <w:pPr>
        <w:rPr>
          <w:i/>
          <w:iCs/>
          <w:sz w:val="18"/>
          <w:szCs w:val="18"/>
        </w:rPr>
      </w:pPr>
    </w:p>
    <w:p w14:paraId="53A609B1" w14:textId="4E7E3317" w:rsidR="00CF23AD" w:rsidRPr="004F0711" w:rsidRDefault="00CF23AD" w:rsidP="004E46DB">
      <w:pPr>
        <w:rPr>
          <w:i/>
          <w:iCs/>
          <w:sz w:val="18"/>
          <w:szCs w:val="18"/>
        </w:rPr>
      </w:pPr>
      <w:r w:rsidRPr="004F0711">
        <w:rPr>
          <w:i/>
          <w:iCs/>
          <w:sz w:val="18"/>
          <w:szCs w:val="18"/>
        </w:rPr>
        <w:t>Partecipazione ad attività formative per condizione occupazionale (%)</w:t>
      </w:r>
    </w:p>
    <w:p w14:paraId="04E3E93D" w14:textId="3F7A217A" w:rsidR="00463BE9" w:rsidRPr="00CF23AD" w:rsidRDefault="00463BE9" w:rsidP="00463BE9">
      <w:pPr>
        <w:jc w:val="center"/>
        <w:rPr>
          <w:i/>
          <w:iCs/>
          <w:sz w:val="20"/>
          <w:szCs w:val="20"/>
        </w:rPr>
      </w:pPr>
      <w:r w:rsidRPr="00463BE9">
        <w:rPr>
          <w:i/>
          <w:iCs/>
          <w:noProof/>
          <w:sz w:val="20"/>
          <w:szCs w:val="20"/>
        </w:rPr>
        <w:drawing>
          <wp:inline distT="0" distB="0" distL="0" distR="0" wp14:anchorId="4B632CF2" wp14:editId="55D3F122">
            <wp:extent cx="4467059" cy="2184400"/>
            <wp:effectExtent l="0" t="0" r="0" b="6350"/>
            <wp:docPr id="4" name="Immagine 4" descr="Immagine che contiene testo, schermata, Rettangolo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schermata, Rettangolo, diagramma&#10;&#10;Descrizione generata automa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83119" cy="2290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189F2" w14:textId="1DBEDA76" w:rsidR="00E817A8" w:rsidRDefault="00463BE9" w:rsidP="004E46D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463BE9">
        <w:rPr>
          <w:sz w:val="16"/>
          <w:szCs w:val="16"/>
        </w:rPr>
        <w:t>Fonte: Indagine Inapp-PLUS, 2021</w:t>
      </w:r>
    </w:p>
    <w:p w14:paraId="584CCEA3" w14:textId="77777777" w:rsidR="005738FB" w:rsidRDefault="005738FB" w:rsidP="006636EB"/>
    <w:p w14:paraId="5A8E7665" w14:textId="77777777" w:rsidR="00602367" w:rsidRDefault="00602367" w:rsidP="008B035D">
      <w:pPr>
        <w:jc w:val="both"/>
      </w:pPr>
    </w:p>
    <w:p w14:paraId="5CE5F5A9" w14:textId="27935772" w:rsidR="0067098C" w:rsidRDefault="005F5ED2" w:rsidP="008B035D">
      <w:pPr>
        <w:jc w:val="both"/>
      </w:pPr>
      <w:r>
        <w:t>Tale scenario sembrerebbe essere fortemente influenzato dalle condizioni personal</w:t>
      </w:r>
      <w:r w:rsidR="00D959A7">
        <w:t>i</w:t>
      </w:r>
      <w:r>
        <w:t xml:space="preserve"> e territoriali degli individui</w:t>
      </w:r>
      <w:r w:rsidR="00D959A7">
        <w:t xml:space="preserve">. L’influenza esercitata da tali variabili </w:t>
      </w:r>
      <w:r w:rsidR="008A56BD">
        <w:t>risulta maggiore per le donne, per i soggetti con un</w:t>
      </w:r>
      <w:r w:rsidR="00224CD8">
        <w:t xml:space="preserve"> titolo di studio più elevato, per fascia di età e</w:t>
      </w:r>
      <w:r w:rsidR="00F25070">
        <w:t xml:space="preserve"> per area geografica.</w:t>
      </w:r>
      <w:r w:rsidR="00406795">
        <w:t xml:space="preserve"> A tal proposito, f</w:t>
      </w:r>
      <w:r w:rsidR="00800235">
        <w:t xml:space="preserve">ocalizzandosi sui dati relativi </w:t>
      </w:r>
      <w:r w:rsidR="00DA2A0F">
        <w:t>a</w:t>
      </w:r>
      <w:r w:rsidR="009B5F04">
        <w:t xml:space="preserve">gli </w:t>
      </w:r>
      <w:r w:rsidR="00DA2A0F">
        <w:t>individui disoccupati e inattivi</w:t>
      </w:r>
      <w:r w:rsidR="00E31F86">
        <w:t>,</w:t>
      </w:r>
      <w:r w:rsidR="00DA2A0F">
        <w:t xml:space="preserve"> è possibile</w:t>
      </w:r>
      <w:r w:rsidR="004C1C14">
        <w:t xml:space="preserve"> estrapolare alcune linee di tendenza</w:t>
      </w:r>
      <w:r w:rsidR="00DA2A0F">
        <w:t xml:space="preserve"> </w:t>
      </w:r>
      <w:r w:rsidR="002A12F9">
        <w:t>sulla partecipazione alle attività formative</w:t>
      </w:r>
      <w:r w:rsidR="006B15F7">
        <w:t xml:space="preserve"> da parte dei soggetti </w:t>
      </w:r>
      <w:r w:rsidR="00A01AFA">
        <w:t>più bisognosi</w:t>
      </w:r>
      <w:r w:rsidR="005738FB">
        <w:t>.</w:t>
      </w:r>
    </w:p>
    <w:p w14:paraId="19545639" w14:textId="77777777" w:rsidR="00602367" w:rsidRDefault="00602367" w:rsidP="008B035D">
      <w:pPr>
        <w:jc w:val="both"/>
      </w:pPr>
    </w:p>
    <w:p w14:paraId="6D2A40E9" w14:textId="77777777" w:rsidR="00602367" w:rsidRDefault="00602367" w:rsidP="008B035D">
      <w:pPr>
        <w:jc w:val="both"/>
      </w:pPr>
    </w:p>
    <w:p w14:paraId="1175C219" w14:textId="4FD132B6" w:rsidR="00602367" w:rsidRPr="00602367" w:rsidRDefault="00602367" w:rsidP="00602367">
      <w:pPr>
        <w:rPr>
          <w:i/>
          <w:iCs/>
          <w:sz w:val="18"/>
          <w:szCs w:val="18"/>
        </w:rPr>
      </w:pPr>
      <w:r w:rsidRPr="004F0711">
        <w:rPr>
          <w:i/>
          <w:iCs/>
          <w:sz w:val="18"/>
          <w:szCs w:val="18"/>
        </w:rPr>
        <w:lastRenderedPageBreak/>
        <w:t>Tassi di partecipazione ad attività formative condizionati per occupazione, genere, età, titolo di studio e area geografica, individui in cerca di lavoro e inattivi (%)</w:t>
      </w:r>
      <w:r>
        <w:rPr>
          <w:i/>
          <w:iCs/>
          <w:sz w:val="18"/>
          <w:szCs w:val="18"/>
        </w:rPr>
        <w:t>.</w:t>
      </w:r>
    </w:p>
    <w:p w14:paraId="18AFA75C" w14:textId="610D70D0" w:rsidR="00B52843" w:rsidRDefault="00B52843" w:rsidP="00B52843">
      <w:pPr>
        <w:jc w:val="center"/>
        <w:rPr>
          <w:i/>
          <w:iCs/>
        </w:rPr>
      </w:pPr>
      <w:r w:rsidRPr="00B52843">
        <w:rPr>
          <w:i/>
          <w:iCs/>
          <w:noProof/>
        </w:rPr>
        <w:drawing>
          <wp:inline distT="0" distB="0" distL="0" distR="0" wp14:anchorId="5BADC476" wp14:editId="27F2A2FB">
            <wp:extent cx="4830418" cy="2671952"/>
            <wp:effectExtent l="0" t="0" r="8890" b="0"/>
            <wp:docPr id="5" name="Immagine 5" descr="Immagine che contiene testo, schermata, Carattere, Parall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schermata, Carattere, Parallelo&#10;&#10;Descrizione generata automa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03255" cy="2767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BDB7CA" w14:textId="6A9ABDBF" w:rsidR="00B52843" w:rsidRDefault="00B52843" w:rsidP="006636EB">
      <w:pPr>
        <w:rPr>
          <w:sz w:val="16"/>
          <w:szCs w:val="16"/>
        </w:rPr>
      </w:pPr>
      <w:r w:rsidRPr="00B52843"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B52843">
        <w:rPr>
          <w:sz w:val="16"/>
          <w:szCs w:val="16"/>
        </w:rPr>
        <w:t xml:space="preserve"> Fonte: Inapp-PLUS, 2021</w:t>
      </w:r>
    </w:p>
    <w:p w14:paraId="528D6426" w14:textId="7B8B0137" w:rsidR="00B52843" w:rsidRDefault="0070379F" w:rsidP="0067098C">
      <w:pPr>
        <w:jc w:val="both"/>
      </w:pPr>
      <w:r>
        <w:t xml:space="preserve">I dati condizionati mettono in evidenza </w:t>
      </w:r>
      <w:r w:rsidR="00B33A55">
        <w:t>ulteriori criticità che affliggono il Paese, prime fra tutte, l’acuirsi delle disparità di genere</w:t>
      </w:r>
      <w:r w:rsidR="008F1E64">
        <w:t xml:space="preserve"> accompagnate da una marcata diversificazione territoriale</w:t>
      </w:r>
      <w:r w:rsidR="004972AA">
        <w:t xml:space="preserve"> (i tassi di partecipazione più elevati si</w:t>
      </w:r>
      <w:r w:rsidR="008155FB">
        <w:t xml:space="preserve"> riscontrano al Nord-Ovest</w:t>
      </w:r>
      <w:r w:rsidR="00DE22B9">
        <w:t xml:space="preserve">). </w:t>
      </w:r>
    </w:p>
    <w:p w14:paraId="552FD4B4" w14:textId="55F10F36" w:rsidR="00FB4126" w:rsidRDefault="00BE4DC6" w:rsidP="0067098C">
      <w:pPr>
        <w:jc w:val="both"/>
      </w:pPr>
      <w:r>
        <w:t>Un ul</w:t>
      </w:r>
      <w:r w:rsidR="00712EAB">
        <w:t>teriore aspetto su cui focalizzarsi</w:t>
      </w:r>
      <w:r w:rsidR="008C0FEB">
        <w:t>,</w:t>
      </w:r>
      <w:r w:rsidR="00712EAB">
        <w:t xml:space="preserve"> al fine di comprendere al meglio le dinamiche sottese al sistema di formazione italiano</w:t>
      </w:r>
      <w:r w:rsidR="008C0FEB">
        <w:t xml:space="preserve">, è la tipologia di </w:t>
      </w:r>
      <w:r w:rsidR="002E187E">
        <w:t xml:space="preserve">svolgimento delle attività formative e le modalità di finanziamento delle stesse. </w:t>
      </w:r>
      <w:r w:rsidR="000C65C5">
        <w:t xml:space="preserve">Non stupisce, dato anche l’impatto della pandemia, come le principali </w:t>
      </w:r>
      <w:r w:rsidR="00832E6D">
        <w:t xml:space="preserve">modalità di fruizione delle attività formative </w:t>
      </w:r>
      <w:r w:rsidR="002255CA">
        <w:t xml:space="preserve">siano i </w:t>
      </w:r>
      <w:r w:rsidR="00AD4AE4">
        <w:t>corsi di formazione a distanza (</w:t>
      </w:r>
      <w:r w:rsidR="00AD4AE4" w:rsidRPr="00AD4AE4">
        <w:rPr>
          <w:i/>
          <w:iCs/>
        </w:rPr>
        <w:t>c.d. FAD</w:t>
      </w:r>
      <w:r w:rsidR="00AD4AE4">
        <w:t>)</w:t>
      </w:r>
      <w:r w:rsidR="005B298F">
        <w:t>, è pur vero che tale componente risulta più rilevante per i so</w:t>
      </w:r>
      <w:r w:rsidR="00D027DC">
        <w:t xml:space="preserve">ggetti in cerca di un’occupazione rispetto agli inattivi (probabilmente dovuto alla mancanza di competenze </w:t>
      </w:r>
      <w:r w:rsidR="00BC1B36">
        <w:t xml:space="preserve">digitali o l’idonea strumentazione da parte di quest’ultimi) (Inapp-PLUS, 2022). </w:t>
      </w:r>
    </w:p>
    <w:p w14:paraId="76F57994" w14:textId="696EC7D3" w:rsidR="00D35960" w:rsidRDefault="00B8779C" w:rsidP="0067098C">
      <w:pPr>
        <w:jc w:val="both"/>
      </w:pPr>
      <w:r>
        <w:t>Per quanto concerne le modalità di finanziamento</w:t>
      </w:r>
      <w:r w:rsidR="00A94D99">
        <w:t xml:space="preserve"> delle attività formative</w:t>
      </w:r>
      <w:r w:rsidR="00201C84">
        <w:t xml:space="preserve">, la componente più rilevante è assorbita </w:t>
      </w:r>
      <w:r w:rsidR="009C7281">
        <w:t>da una serie di contributi anche di natura pubblica, seguita</w:t>
      </w:r>
      <w:r w:rsidR="003C3404">
        <w:t xml:space="preserve"> dalle </w:t>
      </w:r>
      <w:r w:rsidR="0049069B">
        <w:t>risorse finanziarie personali</w:t>
      </w:r>
      <w:r w:rsidR="00E724D0">
        <w:t xml:space="preserve"> (Inapp-PLUS, 2022)</w:t>
      </w:r>
      <w:r w:rsidR="0049069B">
        <w:t xml:space="preserve">. </w:t>
      </w:r>
      <w:r w:rsidR="002A352B">
        <w:t xml:space="preserve">Anche in quest’ambito è possibile riscontrare </w:t>
      </w:r>
      <w:r w:rsidR="00905F05">
        <w:t>delle differenze tra soggetti in cerca di un’occupazione e</w:t>
      </w:r>
      <w:r w:rsidR="002850F3">
        <w:t xml:space="preserve"> inattivi; infatti, è proprio su quest’ultimi </w:t>
      </w:r>
      <w:r w:rsidR="000167E8">
        <w:t xml:space="preserve">che l’onere della formazione risulta più </w:t>
      </w:r>
      <w:r w:rsidR="0088240E">
        <w:t xml:space="preserve">             </w:t>
      </w:r>
      <w:r w:rsidR="000167E8">
        <w:t xml:space="preserve">elevato, dato l’utilizzo di una quota inferiore di </w:t>
      </w:r>
      <w:r w:rsidR="00E913FE">
        <w:t xml:space="preserve">contributi pubblici. </w:t>
      </w:r>
      <w:r w:rsidR="00713809">
        <w:t xml:space="preserve">Ad incidere </w:t>
      </w:r>
      <w:r w:rsidR="009A5659">
        <w:t>sulla componente finanziaria è</w:t>
      </w:r>
      <w:r w:rsidR="002413D0">
        <w:t xml:space="preserve"> anche l’efficacia nella </w:t>
      </w:r>
      <w:r w:rsidR="00887278">
        <w:t>programmazione dei fondi destinati alla</w:t>
      </w:r>
      <w:r w:rsidR="00393BCA">
        <w:t xml:space="preserve"> formazione e la crescita regionale</w:t>
      </w:r>
      <w:r w:rsidR="00945C84">
        <w:t xml:space="preserve"> (POR)</w:t>
      </w:r>
      <w:r w:rsidR="00B77E8B">
        <w:t xml:space="preserve"> intrapresa </w:t>
      </w:r>
      <w:r w:rsidR="00960338">
        <w:t>dalle singole regioni</w:t>
      </w:r>
      <w:r w:rsidR="00B77E8B">
        <w:t xml:space="preserve"> italiane. </w:t>
      </w:r>
      <w:r w:rsidR="00667B7A">
        <w:t>A tal proposito, le regioni e province autonome più svilup</w:t>
      </w:r>
      <w:r w:rsidR="00B340B7">
        <w:t>pate</w:t>
      </w:r>
      <w:r w:rsidR="00931BCF">
        <w:t xml:space="preserve"> in quest’ambito</w:t>
      </w:r>
      <w:r w:rsidR="00B340B7">
        <w:t xml:space="preserve"> (Emilia- Romagna, Friuli-Venezia Giulia, </w:t>
      </w:r>
      <w:r w:rsidR="005E3F34">
        <w:t>Toscana, Veneto, Piemonte e Provincia autonoma di Trento)</w:t>
      </w:r>
      <w:r w:rsidR="005B7A63">
        <w:t>,</w:t>
      </w:r>
      <w:r w:rsidR="005E3F34">
        <w:t xml:space="preserve"> </w:t>
      </w:r>
      <w:r w:rsidR="00A139B9">
        <w:t>si sono spesso interessante alla creazione di iniziative regionali</w:t>
      </w:r>
      <w:r w:rsidR="003B606E">
        <w:t>,</w:t>
      </w:r>
      <w:r w:rsidR="00A139B9">
        <w:t xml:space="preserve"> volte a</w:t>
      </w:r>
      <w:r w:rsidR="005D388C">
        <w:t xml:space="preserve"> contribuire alla spesa in formazione per soggetti disoccupati/inattivi</w:t>
      </w:r>
      <w:r w:rsidR="00D82AA2">
        <w:t xml:space="preserve"> (</w:t>
      </w:r>
      <w:r w:rsidR="00312E9D">
        <w:t xml:space="preserve">ad esempio, la Regione del Veneto eroga </w:t>
      </w:r>
      <w:r w:rsidR="00BA0D4C">
        <w:t>dei voucher formativi individuali, del valore di 150</w:t>
      </w:r>
      <w:r w:rsidR="002B0947">
        <w:t>0 euro, per conferire un supporto economico ai soggetti disoccupati/inattivi che hanno deciso di partecipare a specifici percorsi formativi)</w:t>
      </w:r>
      <w:r w:rsidR="00E724D0">
        <w:t xml:space="preserve">. </w:t>
      </w:r>
    </w:p>
    <w:p w14:paraId="61F709B1" w14:textId="06C59CF3" w:rsidR="00380F67" w:rsidRDefault="00243CBC" w:rsidP="0067098C">
      <w:pPr>
        <w:jc w:val="both"/>
      </w:pPr>
      <w:r>
        <w:t xml:space="preserve">L’analisi effettuata mette </w:t>
      </w:r>
      <w:r w:rsidR="006961B2">
        <w:t xml:space="preserve">in evidenza </w:t>
      </w:r>
      <w:r w:rsidR="00DC1A34">
        <w:t xml:space="preserve">alcune delle disuguaglianze che caratterizzano l’accesso alla </w:t>
      </w:r>
      <w:r w:rsidR="003E06E3">
        <w:t xml:space="preserve">           </w:t>
      </w:r>
      <w:r w:rsidR="00554371">
        <w:t>formazione, soprattutto per le categorie più svantaggiate. Nonostante le dinamiche in questione</w:t>
      </w:r>
      <w:r w:rsidR="00AE276C">
        <w:t xml:space="preserve"> </w:t>
      </w:r>
      <w:r w:rsidR="004E6117">
        <w:t xml:space="preserve">coinvolgano </w:t>
      </w:r>
      <w:r w:rsidR="005F6799">
        <w:t>la totalità dei Paesi europei,</w:t>
      </w:r>
      <w:r w:rsidR="00B20332">
        <w:t xml:space="preserve"> la loro presenza risulta meno consistente rispetto al caso italiano.</w:t>
      </w:r>
    </w:p>
    <w:p w14:paraId="54F8B6ED" w14:textId="77777777" w:rsidR="00380F67" w:rsidRDefault="00380F67" w:rsidP="006636EB"/>
    <w:p w14:paraId="46156DAE" w14:textId="77777777" w:rsidR="009F4999" w:rsidRDefault="009F4999" w:rsidP="006636EB">
      <w:pPr>
        <w:rPr>
          <w:b/>
          <w:bCs/>
          <w:i/>
          <w:iCs/>
        </w:rPr>
      </w:pPr>
    </w:p>
    <w:p w14:paraId="4218AEDF" w14:textId="77777777" w:rsidR="00892437" w:rsidRDefault="00892437" w:rsidP="006636EB">
      <w:pPr>
        <w:rPr>
          <w:b/>
          <w:bCs/>
          <w:i/>
          <w:iCs/>
        </w:rPr>
      </w:pPr>
    </w:p>
    <w:p w14:paraId="4835A35F" w14:textId="6080BE67" w:rsidR="00380F67" w:rsidRDefault="009278E2" w:rsidP="006636EB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La partecipazione</w:t>
      </w:r>
      <w:r w:rsidR="00C50755">
        <w:rPr>
          <w:b/>
          <w:bCs/>
          <w:i/>
          <w:iCs/>
        </w:rPr>
        <w:t xml:space="preserve"> ad attività formative degli occupati</w:t>
      </w:r>
      <w:r w:rsidR="00131819">
        <w:rPr>
          <w:b/>
          <w:bCs/>
          <w:i/>
          <w:iCs/>
        </w:rPr>
        <w:t xml:space="preserve"> e la formazione continua </w:t>
      </w:r>
    </w:p>
    <w:p w14:paraId="653A74B4" w14:textId="086530F2" w:rsidR="00882AEB" w:rsidRDefault="00C50755" w:rsidP="0067098C">
      <w:pPr>
        <w:jc w:val="both"/>
      </w:pPr>
      <w:r>
        <w:t xml:space="preserve">Un discorso a sé stante </w:t>
      </w:r>
      <w:r w:rsidR="004F1BAC">
        <w:t>riguarda la partecipazione degli occupati alle attività formative</w:t>
      </w:r>
      <w:r w:rsidR="0012624D">
        <w:t>, dato che s</w:t>
      </w:r>
      <w:r w:rsidR="00DE79FD">
        <w:t xml:space="preserve">pesso </w:t>
      </w:r>
      <w:r w:rsidR="0012624D">
        <w:t xml:space="preserve">si rimarca </w:t>
      </w:r>
      <w:r w:rsidR="00C6272B">
        <w:t xml:space="preserve">l’importanza della formazione </w:t>
      </w:r>
      <w:r w:rsidR="00100B10">
        <w:t xml:space="preserve">nel conferire un vantaggio competitivo a livello globale. </w:t>
      </w:r>
      <w:r w:rsidR="0012624D">
        <w:t xml:space="preserve">          </w:t>
      </w:r>
      <w:r w:rsidR="006762F5">
        <w:t>Oggigiorno, nella</w:t>
      </w:r>
      <w:r w:rsidR="00451A5B">
        <w:t xml:space="preserve"> </w:t>
      </w:r>
      <w:r w:rsidR="00451A5B" w:rsidRPr="00451A5B">
        <w:rPr>
          <w:i/>
          <w:iCs/>
        </w:rPr>
        <w:t>“</w:t>
      </w:r>
      <w:r w:rsidR="006762F5" w:rsidRPr="00451A5B">
        <w:rPr>
          <w:i/>
          <w:iCs/>
        </w:rPr>
        <w:t>società della</w:t>
      </w:r>
      <w:r w:rsidR="009B2B53" w:rsidRPr="00451A5B">
        <w:rPr>
          <w:i/>
          <w:iCs/>
        </w:rPr>
        <w:t xml:space="preserve"> conoscenza</w:t>
      </w:r>
      <w:r w:rsidR="00451A5B" w:rsidRPr="00451A5B">
        <w:rPr>
          <w:i/>
          <w:iCs/>
        </w:rPr>
        <w:t>”</w:t>
      </w:r>
      <w:r w:rsidR="009B2B53">
        <w:t xml:space="preserve">, la formazione continua </w:t>
      </w:r>
      <w:r w:rsidR="008F4D4F">
        <w:t xml:space="preserve">sul luogo di lavoro consente il </w:t>
      </w:r>
      <w:r w:rsidR="001507A7">
        <w:t>raggiungimento degli obiettivi aziendali</w:t>
      </w:r>
      <w:r w:rsidR="00472B64">
        <w:t xml:space="preserve">, </w:t>
      </w:r>
      <w:r w:rsidR="002643FF">
        <w:t xml:space="preserve">attraverso un incremento della produttività (tema alquanto complesso </w:t>
      </w:r>
      <w:r w:rsidR="00167D96">
        <w:t>in ambito comunitario</w:t>
      </w:r>
      <w:r w:rsidR="00690456">
        <w:t xml:space="preserve">, dato il trade-off tra </w:t>
      </w:r>
      <w:r w:rsidR="00C10883">
        <w:t>produttività e occupazione</w:t>
      </w:r>
      <w:r w:rsidR="00167D96">
        <w:t>) e dei volumi di attività</w:t>
      </w:r>
      <w:r w:rsidR="00EE1741">
        <w:t xml:space="preserve"> dell’impresa; nonché una maggiore mobilità</w:t>
      </w:r>
      <w:r w:rsidR="00AF0C81">
        <w:t xml:space="preserve"> del fattore lavoro, anche con riferimento alla componente retributiva.</w:t>
      </w:r>
      <w:r w:rsidR="009D5CD8">
        <w:t xml:space="preserve"> </w:t>
      </w:r>
      <w:r w:rsidR="000B4311">
        <w:t xml:space="preserve">Come </w:t>
      </w:r>
      <w:r w:rsidR="00274B33">
        <w:t>effettuato per i soggetti disoccupati e inattivi, risulta alquanto proficuo</w:t>
      </w:r>
      <w:r w:rsidR="00F2420D">
        <w:t xml:space="preserve"> approfondire la percezione che gli occupati hanno della formazione</w:t>
      </w:r>
      <w:r w:rsidR="00EB0ABA">
        <w:t xml:space="preserve"> continua, i tassi di partecipazione e </w:t>
      </w:r>
      <w:r w:rsidR="00AF19D1">
        <w:t>l’onere dei percorsi formativi.</w:t>
      </w:r>
      <w:r w:rsidR="00882AEB">
        <w:t xml:space="preserve"> L’analisi in questione potrebbe risultare utile anche per comprendere quanto il</w:t>
      </w:r>
      <w:r w:rsidR="00BF661F">
        <w:t xml:space="preserve"> sistema imprenditoriale italiano </w:t>
      </w:r>
      <w:r w:rsidR="00F74627">
        <w:t>si interessi del tema della formazione</w:t>
      </w:r>
      <w:r w:rsidR="00376A10">
        <w:t xml:space="preserve"> continua.</w:t>
      </w:r>
    </w:p>
    <w:p w14:paraId="59119C34" w14:textId="63C98A33" w:rsidR="007D7013" w:rsidRDefault="003F4E46" w:rsidP="0067098C">
      <w:pPr>
        <w:jc w:val="both"/>
      </w:pPr>
      <w:r>
        <w:t xml:space="preserve">Utilizzando i dati del </w:t>
      </w:r>
      <w:r w:rsidR="00F34485">
        <w:t xml:space="preserve">Rapporto Inapp-PLUS 2022, </w:t>
      </w:r>
      <w:r w:rsidR="008549D7">
        <w:t>è possibile riscontrare alcune linee di tendenza</w:t>
      </w:r>
      <w:r w:rsidR="006556F2">
        <w:t>, soprattutto con riferimento all</w:t>
      </w:r>
      <w:r w:rsidR="007661CE">
        <w:t xml:space="preserve">e varie </w:t>
      </w:r>
      <w:r w:rsidR="006556F2">
        <w:t>class</w:t>
      </w:r>
      <w:r w:rsidR="007661CE">
        <w:t>i</w:t>
      </w:r>
      <w:r w:rsidR="006556F2">
        <w:t xml:space="preserve"> di età. A far ricorso</w:t>
      </w:r>
      <w:r w:rsidR="00057181">
        <w:t xml:space="preserve"> </w:t>
      </w:r>
      <w:r w:rsidR="004A2F76">
        <w:t>in maniera rilevante</w:t>
      </w:r>
      <w:r w:rsidR="00F533D4">
        <w:t xml:space="preserve"> alla formazione continua sono lavoratrici e lavoratori over 50</w:t>
      </w:r>
      <w:r w:rsidR="006954B6">
        <w:t xml:space="preserve">, ciò risulta coerente con la </w:t>
      </w:r>
      <w:r w:rsidR="007637F6">
        <w:t>necessit</w:t>
      </w:r>
      <w:r w:rsidR="00F02B40">
        <w:t>à</w:t>
      </w:r>
      <w:r w:rsidR="007637F6">
        <w:t xml:space="preserve"> di dover dar vita </w:t>
      </w:r>
      <w:r w:rsidR="00F02B40">
        <w:t xml:space="preserve">a continue attività di </w:t>
      </w:r>
      <w:r w:rsidR="007E267F">
        <w:t>aggiornamento</w:t>
      </w:r>
      <w:r w:rsidR="00E00C1A">
        <w:t xml:space="preserve"> </w:t>
      </w:r>
      <w:r w:rsidR="007E267F">
        <w:t>e di riqualificazione professionale</w:t>
      </w:r>
      <w:r w:rsidR="00057181">
        <w:t xml:space="preserve">. </w:t>
      </w:r>
      <w:r w:rsidR="004A2F76">
        <w:t>Ma è p</w:t>
      </w:r>
      <w:r w:rsidR="00BC0266">
        <w:t>roprio la classe di età “centrale”, dai 30 ai 49</w:t>
      </w:r>
      <w:r w:rsidR="00E00C1A">
        <w:t xml:space="preserve">           </w:t>
      </w:r>
      <w:r w:rsidR="00BC0266">
        <w:t xml:space="preserve"> anni, </w:t>
      </w:r>
      <w:r w:rsidR="00E622D6">
        <w:t>a ricorrere maggiormente al</w:t>
      </w:r>
      <w:r w:rsidR="00AF13F2">
        <w:t xml:space="preserve">le attività formative, essendo anche </w:t>
      </w:r>
      <w:r w:rsidR="00B2768D">
        <w:t>all’apice dello sviluppo della propria attività lavorativa</w:t>
      </w:r>
      <w:r w:rsidR="00616633">
        <w:t xml:space="preserve">. </w:t>
      </w:r>
      <w:r w:rsidR="004005D0">
        <w:t xml:space="preserve">Ad interessarsi </w:t>
      </w:r>
      <w:r w:rsidR="002F4129">
        <w:t>in maniera minoritaria alla formazione</w:t>
      </w:r>
      <w:r w:rsidR="00A249CF">
        <w:t>,</w:t>
      </w:r>
      <w:r w:rsidR="002F4129">
        <w:t xml:space="preserve"> è la classe degli occupati dai 18 ai 29</w:t>
      </w:r>
      <w:r w:rsidR="00895A9A">
        <w:t xml:space="preserve"> </w:t>
      </w:r>
      <w:r w:rsidR="002F4129">
        <w:t xml:space="preserve">anni, ciò </w:t>
      </w:r>
      <w:r w:rsidR="00057493">
        <w:t>in ragione della</w:t>
      </w:r>
      <w:r w:rsidR="00460754">
        <w:t xml:space="preserve"> </w:t>
      </w:r>
      <w:r w:rsidR="00ED4F7B">
        <w:t xml:space="preserve">“recente” conclusione di un percorso formativo formale. </w:t>
      </w:r>
    </w:p>
    <w:p w14:paraId="5023308D" w14:textId="7E73FA89" w:rsidR="007D7013" w:rsidRDefault="00255914" w:rsidP="0067098C">
      <w:pPr>
        <w:jc w:val="both"/>
      </w:pPr>
      <w:r>
        <w:t>È interessante notare</w:t>
      </w:r>
      <w:r w:rsidR="00276CEF">
        <w:t xml:space="preserve"> come nell’ambito in questione, non si manifestino </w:t>
      </w:r>
      <w:r w:rsidR="00844AF9">
        <w:t xml:space="preserve">rilevanti disuguaglianze territoriali  </w:t>
      </w:r>
      <w:r w:rsidR="00083D54">
        <w:t>o di gener</w:t>
      </w:r>
      <w:r w:rsidR="009023AE">
        <w:t>e</w:t>
      </w:r>
      <w:r w:rsidR="00571BD5">
        <w:t xml:space="preserve">, la variabile più influente </w:t>
      </w:r>
      <w:r w:rsidR="00F97E1E">
        <w:t>è rappresentata dal titolo di studio</w:t>
      </w:r>
      <w:r w:rsidR="009023AE">
        <w:t>;</w:t>
      </w:r>
      <w:r w:rsidR="00F97E1E">
        <w:t xml:space="preserve"> soggetti </w:t>
      </w:r>
      <w:r w:rsidR="00C505A2">
        <w:t>che hanno conseguito una laurea o un post</w:t>
      </w:r>
      <w:r w:rsidR="00FD2006">
        <w:t xml:space="preserve">-lauream accedono con maggiore frequenza </w:t>
      </w:r>
      <w:r w:rsidR="007E3A78">
        <w:t>ad attività formative</w:t>
      </w:r>
      <w:r w:rsidR="009023AE">
        <w:t xml:space="preserve"> (spesso plurime). </w:t>
      </w:r>
    </w:p>
    <w:p w14:paraId="70DD62CF" w14:textId="5938647A" w:rsidR="007512C6" w:rsidRDefault="00BF12AD" w:rsidP="0067098C">
      <w:pPr>
        <w:jc w:val="both"/>
      </w:pPr>
      <w:r>
        <w:t>Un dato che può sorprendere è il tasso di partec</w:t>
      </w:r>
      <w:r w:rsidR="007451B9">
        <w:t>ipazione alla formazione continua in funzione del settore economico analizzato.</w:t>
      </w:r>
      <w:r w:rsidR="002C2480">
        <w:t xml:space="preserve"> Infatti, a registrare la percentuale</w:t>
      </w:r>
      <w:r w:rsidR="00F10B66">
        <w:t xml:space="preserve"> più modesta sono il settore </w:t>
      </w:r>
      <w:r w:rsidR="0014234F">
        <w:t>A</w:t>
      </w:r>
      <w:r w:rsidR="00F10B66">
        <w:t>gricolo</w:t>
      </w:r>
      <w:r w:rsidR="00E33931">
        <w:t xml:space="preserve">, nonostante le continue innovazioni al quale è soggetto, </w:t>
      </w:r>
      <w:r w:rsidR="00CD24F8">
        <w:t xml:space="preserve">e il settore </w:t>
      </w:r>
      <w:r w:rsidR="00B1526A">
        <w:t>dell’</w:t>
      </w:r>
      <w:r w:rsidR="00B834A8">
        <w:t>Industria</w:t>
      </w:r>
      <w:r w:rsidR="00F6089D">
        <w:t xml:space="preserve"> (con un solo </w:t>
      </w:r>
      <w:r w:rsidR="00535FF9">
        <w:t xml:space="preserve">23% tra attività plurime e singole). </w:t>
      </w:r>
      <w:r w:rsidR="0014234F">
        <w:t>I tassi più elevati di partecipazione si registrano</w:t>
      </w:r>
      <w:r w:rsidR="007573B2">
        <w:t xml:space="preserve"> nell’oramai</w:t>
      </w:r>
      <w:r w:rsidR="00B42A9C">
        <w:t xml:space="preserve"> onnipresente </w:t>
      </w:r>
      <w:r w:rsidR="007573B2">
        <w:t>settore dei Servizi</w:t>
      </w:r>
      <w:r w:rsidR="002C01AF">
        <w:t xml:space="preserve">, ciò </w:t>
      </w:r>
      <w:r w:rsidR="00500D09">
        <w:t>risulta coerente con il dato riportato in precedenza sui titoli di studio</w:t>
      </w:r>
      <w:r w:rsidR="000E650C">
        <w:t xml:space="preserve"> e sulla necessità di</w:t>
      </w:r>
      <w:r w:rsidR="000C3DF4">
        <w:t xml:space="preserve"> ovviare all’obsolescenza dei propri pr</w:t>
      </w:r>
      <w:r w:rsidR="00D557C9">
        <w:t>odotti e servizi (basti pensare ai servizi finanziar</w:t>
      </w:r>
      <w:r w:rsidR="007700FB">
        <w:t xml:space="preserve">i e bancari). </w:t>
      </w:r>
    </w:p>
    <w:p w14:paraId="52A8D445" w14:textId="421210F9" w:rsidR="007649A9" w:rsidRPr="004F0711" w:rsidRDefault="00F1596C" w:rsidP="006636EB">
      <w:pPr>
        <w:rPr>
          <w:i/>
          <w:iCs/>
          <w:sz w:val="18"/>
          <w:szCs w:val="18"/>
        </w:rPr>
      </w:pPr>
      <w:r w:rsidRPr="004F0711">
        <w:rPr>
          <w:i/>
          <w:iCs/>
          <w:sz w:val="18"/>
          <w:szCs w:val="18"/>
        </w:rPr>
        <w:t>Tassi di partecipazione tra gli occupati alla formazione continua per settore</w:t>
      </w:r>
      <w:r w:rsidR="00952D10" w:rsidRPr="004F0711">
        <w:rPr>
          <w:i/>
          <w:iCs/>
          <w:sz w:val="18"/>
          <w:szCs w:val="18"/>
        </w:rPr>
        <w:t xml:space="preserve"> economico (%) </w:t>
      </w:r>
    </w:p>
    <w:p w14:paraId="554C377D" w14:textId="0C886F25" w:rsidR="002F051E" w:rsidRDefault="007649A9" w:rsidP="007649A9">
      <w:pPr>
        <w:jc w:val="center"/>
      </w:pPr>
      <w:r w:rsidRPr="007649A9">
        <w:rPr>
          <w:noProof/>
        </w:rPr>
        <w:drawing>
          <wp:inline distT="0" distB="0" distL="0" distR="0" wp14:anchorId="691C858D" wp14:editId="6B033EFA">
            <wp:extent cx="4619767" cy="2455522"/>
            <wp:effectExtent l="0" t="0" r="0" b="2540"/>
            <wp:docPr id="6" name="Immagine 6" descr="Immagine che contiene testo, schermata, Paralle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schermata, Parallelo, design&#10;&#10;Descrizione generata automa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47239" cy="2576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7AAC2" w14:textId="0B72789E" w:rsidR="00952D10" w:rsidRDefault="00952D10" w:rsidP="00952D10">
      <w:pPr>
        <w:tabs>
          <w:tab w:val="left" w:pos="3509"/>
        </w:tabs>
        <w:rPr>
          <w:sz w:val="16"/>
          <w:szCs w:val="16"/>
        </w:rPr>
      </w:pPr>
      <w:r>
        <w:tab/>
        <w:t xml:space="preserve">                                                                              </w:t>
      </w:r>
      <w:r w:rsidRPr="00952D10">
        <w:rPr>
          <w:sz w:val="16"/>
          <w:szCs w:val="16"/>
        </w:rPr>
        <w:t>Fonte: Indagine Inapp-PLUS, 2021</w:t>
      </w:r>
    </w:p>
    <w:p w14:paraId="66443500" w14:textId="503D0C17" w:rsidR="00952D10" w:rsidRDefault="007C2D57" w:rsidP="0067098C">
      <w:pPr>
        <w:tabs>
          <w:tab w:val="left" w:pos="3509"/>
        </w:tabs>
        <w:jc w:val="both"/>
      </w:pPr>
      <w:r>
        <w:lastRenderedPageBreak/>
        <w:t xml:space="preserve">Quindi </w:t>
      </w:r>
      <w:r w:rsidR="004C5A2D">
        <w:t>nonostante la flessibilità</w:t>
      </w:r>
      <w:r w:rsidR="00E41297">
        <w:t xml:space="preserve"> </w:t>
      </w:r>
      <w:r w:rsidR="00000822">
        <w:t xml:space="preserve">da parte </w:t>
      </w:r>
      <w:r w:rsidR="007726C8">
        <w:t>del sistema produttivo industriale nazi</w:t>
      </w:r>
      <w:r w:rsidR="00812CA0">
        <w:t>onale,</w:t>
      </w:r>
      <w:r w:rsidR="00057F83">
        <w:t xml:space="preserve"> manifestata anche dagli shock più recenti, </w:t>
      </w:r>
      <w:r w:rsidR="00812CA0">
        <w:t xml:space="preserve">quest’ultimo </w:t>
      </w:r>
      <w:r w:rsidR="00393439">
        <w:t>risulta</w:t>
      </w:r>
      <w:r w:rsidR="00812CA0">
        <w:t xml:space="preserve"> </w:t>
      </w:r>
      <w:r w:rsidR="00A61E7C">
        <w:t>caratterizzato</w:t>
      </w:r>
      <w:r w:rsidR="00812CA0">
        <w:t xml:space="preserve"> dalla totale impermeabilità </w:t>
      </w:r>
      <w:r w:rsidR="006E6589">
        <w:t xml:space="preserve">alla formazione </w:t>
      </w:r>
      <w:r w:rsidR="0072589C">
        <w:t xml:space="preserve">            </w:t>
      </w:r>
      <w:r w:rsidR="006E6589">
        <w:t>continua</w:t>
      </w:r>
      <w:r w:rsidR="00801EE6">
        <w:t xml:space="preserve">; fattore in grado di inficiare sui </w:t>
      </w:r>
      <w:r w:rsidR="007D1D2B">
        <w:t xml:space="preserve">tassi potenziali di crescita del Paese. </w:t>
      </w:r>
    </w:p>
    <w:p w14:paraId="4204B234" w14:textId="4F86E02F" w:rsidR="00BB71A4" w:rsidRDefault="00A274ED" w:rsidP="0067098C">
      <w:pPr>
        <w:tabs>
          <w:tab w:val="left" w:pos="3509"/>
        </w:tabs>
        <w:jc w:val="both"/>
      </w:pPr>
      <w:r>
        <w:t>Rilevazioni non del tutto positive ri</w:t>
      </w:r>
      <w:r w:rsidR="00E82527">
        <w:t>guardano i contenuti delle attività formative,</w:t>
      </w:r>
      <w:r w:rsidR="00F27A91">
        <w:t xml:space="preserve"> basat</w:t>
      </w:r>
      <w:r w:rsidR="004C1376">
        <w:t>i in gran parte sul</w:t>
      </w:r>
      <w:r w:rsidR="0084371E">
        <w:t xml:space="preserve">la </w:t>
      </w:r>
      <w:r w:rsidR="00B27A37">
        <w:t>S</w:t>
      </w:r>
      <w:r w:rsidR="0084371E">
        <w:t>icurezza sul lavoro, igiene</w:t>
      </w:r>
      <w:r w:rsidR="006F236C">
        <w:t xml:space="preserve"> e protezione ambiental</w:t>
      </w:r>
      <w:r w:rsidR="00667F06">
        <w:t xml:space="preserve">e, che </w:t>
      </w:r>
      <w:r w:rsidR="00997178">
        <w:t xml:space="preserve">spinge a dedurre la mera volontà di adempiere agli obblighi di legge </w:t>
      </w:r>
      <w:r w:rsidR="00AD296A">
        <w:t xml:space="preserve">più che </w:t>
      </w:r>
      <w:r w:rsidR="00926333">
        <w:t xml:space="preserve">conferire </w:t>
      </w:r>
      <w:r w:rsidR="00B27A37">
        <w:t>una vera e propria attività di formazione</w:t>
      </w:r>
      <w:r w:rsidR="001A2891">
        <w:t xml:space="preserve"> continua. Preme specif</w:t>
      </w:r>
      <w:r w:rsidR="00AD3CB6">
        <w:t xml:space="preserve">icare, che non si vuole “screditare” assolutamente l’importanza </w:t>
      </w:r>
      <w:r w:rsidR="00B50BE7">
        <w:t>de</w:t>
      </w:r>
      <w:r w:rsidR="004860BD">
        <w:t>i contenuti poc’anzi citati,</w:t>
      </w:r>
      <w:r w:rsidR="007637BD">
        <w:t xml:space="preserve"> la</w:t>
      </w:r>
      <w:r w:rsidR="00E51A32">
        <w:t xml:space="preserve"> cui inosservanza è in grado di recare un danno pernicioso alla società civile,</w:t>
      </w:r>
      <w:r w:rsidR="004860BD">
        <w:t xml:space="preserve"> </w:t>
      </w:r>
      <w:r w:rsidR="00F10173">
        <w:t>piuttosto</w:t>
      </w:r>
      <w:r w:rsidR="00685587">
        <w:t xml:space="preserve"> la necessità di accompagnare</w:t>
      </w:r>
      <w:r w:rsidR="00F10173">
        <w:t xml:space="preserve"> </w:t>
      </w:r>
      <w:r w:rsidR="00471719">
        <w:t>tali contenuti</w:t>
      </w:r>
      <w:r w:rsidR="00685587">
        <w:t xml:space="preserve"> ad attività </w:t>
      </w:r>
      <w:r w:rsidR="00BC4220">
        <w:t xml:space="preserve">professionalizzanti. </w:t>
      </w:r>
    </w:p>
    <w:p w14:paraId="6238A2F2" w14:textId="28E4C03D" w:rsidR="00EC30A3" w:rsidRDefault="00EC30A3" w:rsidP="0067098C">
      <w:pPr>
        <w:tabs>
          <w:tab w:val="left" w:pos="3509"/>
        </w:tabs>
        <w:jc w:val="both"/>
      </w:pPr>
      <w:r>
        <w:t>C</w:t>
      </w:r>
      <w:r w:rsidR="00295919">
        <w:t>on riferimento alle modalità di finanziamento</w:t>
      </w:r>
      <w:r w:rsidR="0036038A">
        <w:t xml:space="preserve"> delle attività </w:t>
      </w:r>
      <w:r w:rsidR="008623F3">
        <w:t>per gli occupati, non stupisce</w:t>
      </w:r>
      <w:r w:rsidR="00F61002">
        <w:t xml:space="preserve"> che la quasi totalità dei costi sia a carico de</w:t>
      </w:r>
      <w:r w:rsidR="00E007A1">
        <w:t>lle aziende (Rapporto Inapp-PLUS, 2022)</w:t>
      </w:r>
      <w:r w:rsidR="009E3200">
        <w:t>. Es</w:t>
      </w:r>
      <w:r w:rsidR="000E12E6">
        <w:t xml:space="preserve">tendendo l’analisi è possibile notare come </w:t>
      </w:r>
      <w:r w:rsidR="00AD1921">
        <w:t>la gran parte dei costi per attività formative sostenuti dalle aziend</w:t>
      </w:r>
      <w:r w:rsidR="009F08EF">
        <w:t xml:space="preserve">e </w:t>
      </w:r>
      <w:r w:rsidR="004D0269">
        <w:t xml:space="preserve">siano finanziati mediante contributi pubblici (Regionali, </w:t>
      </w:r>
      <w:r w:rsidR="00140ABB">
        <w:t>Provinciali o altri enti pubblici)</w:t>
      </w:r>
      <w:r w:rsidR="006A7BA0">
        <w:t xml:space="preserve"> e comunitari, come le risorse </w:t>
      </w:r>
      <w:r w:rsidR="00B32599">
        <w:t xml:space="preserve">derivanti dal Fondo Sociale Europeo (FSE). </w:t>
      </w:r>
    </w:p>
    <w:p w14:paraId="0FB4B67C" w14:textId="77777777" w:rsidR="009F08EF" w:rsidRDefault="009F08EF" w:rsidP="00952D10">
      <w:pPr>
        <w:tabs>
          <w:tab w:val="left" w:pos="3509"/>
        </w:tabs>
        <w:rPr>
          <w:i/>
          <w:iCs/>
          <w:sz w:val="18"/>
          <w:szCs w:val="18"/>
        </w:rPr>
      </w:pPr>
    </w:p>
    <w:p w14:paraId="0BEC0A55" w14:textId="33FDB13A" w:rsidR="00DD7C1B" w:rsidRPr="004F0711" w:rsidRDefault="008333A2" w:rsidP="008333A2">
      <w:pPr>
        <w:tabs>
          <w:tab w:val="left" w:pos="3509"/>
        </w:tabs>
        <w:rPr>
          <w:i/>
          <w:iCs/>
          <w:sz w:val="18"/>
          <w:szCs w:val="18"/>
        </w:rPr>
      </w:pPr>
      <w:r w:rsidRPr="00DD7C1B">
        <w:rPr>
          <w:noProof/>
        </w:rPr>
        <w:drawing>
          <wp:anchor distT="0" distB="0" distL="114300" distR="114300" simplePos="0" relativeHeight="251658240" behindDoc="0" locked="0" layoutInCell="1" allowOverlap="1" wp14:anchorId="6146717A" wp14:editId="515C948A">
            <wp:simplePos x="0" y="0"/>
            <wp:positionH relativeFrom="margin">
              <wp:align>right</wp:align>
            </wp:positionH>
            <wp:positionV relativeFrom="paragraph">
              <wp:posOffset>253365</wp:posOffset>
            </wp:positionV>
            <wp:extent cx="6106795" cy="2824480"/>
            <wp:effectExtent l="0" t="0" r="8255" b="0"/>
            <wp:wrapSquare wrapText="bothSides"/>
            <wp:docPr id="7" name="Immagine 7" descr="Immagine che contiene testo, schermat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schermata, diagramma, linea&#10;&#10;Descrizione generata automaticamente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C1B" w:rsidRPr="004F0711">
        <w:rPr>
          <w:i/>
          <w:iCs/>
          <w:sz w:val="18"/>
          <w:szCs w:val="18"/>
        </w:rPr>
        <w:t>Modalità di finanziamento dei costi sostenuti dalle aziende per le attività di formazione (%)</w:t>
      </w:r>
    </w:p>
    <w:p w14:paraId="2CEFB343" w14:textId="78D8E608" w:rsidR="00DD7C1B" w:rsidRDefault="00A87A12" w:rsidP="00A87A12">
      <w:pPr>
        <w:tabs>
          <w:tab w:val="left" w:pos="3509"/>
        </w:tabs>
      </w:pPr>
      <w:r>
        <w:br w:type="textWrapping" w:clear="all"/>
      </w:r>
    </w:p>
    <w:p w14:paraId="653D71DD" w14:textId="2AC1539C" w:rsidR="00DD7C1B" w:rsidRDefault="00DD7C1B" w:rsidP="00DD7C1B">
      <w:pPr>
        <w:tabs>
          <w:tab w:val="left" w:pos="1510"/>
        </w:tabs>
        <w:rPr>
          <w:sz w:val="16"/>
          <w:szCs w:val="16"/>
        </w:rPr>
      </w:pPr>
      <w:r>
        <w:tab/>
        <w:t xml:space="preserve">                                                                                                                      </w:t>
      </w:r>
      <w:r w:rsidRPr="00DD7C1B">
        <w:rPr>
          <w:sz w:val="16"/>
          <w:szCs w:val="16"/>
        </w:rPr>
        <w:t>Fonte: Indagine Inapp- PLUS, 2021</w:t>
      </w:r>
    </w:p>
    <w:p w14:paraId="4D79B7DA" w14:textId="77777777" w:rsidR="00367F5A" w:rsidRDefault="00367F5A" w:rsidP="00DD7C1B">
      <w:pPr>
        <w:tabs>
          <w:tab w:val="left" w:pos="1510"/>
        </w:tabs>
      </w:pPr>
    </w:p>
    <w:p w14:paraId="4E8B384C" w14:textId="794B0131" w:rsidR="004F0711" w:rsidRDefault="00E74288" w:rsidP="00086031">
      <w:pPr>
        <w:tabs>
          <w:tab w:val="left" w:pos="1510"/>
        </w:tabs>
        <w:jc w:val="both"/>
      </w:pPr>
      <w:r>
        <w:t xml:space="preserve">Quanto riportato </w:t>
      </w:r>
      <w:r w:rsidR="00F7752F">
        <w:t xml:space="preserve">può condurre a </w:t>
      </w:r>
      <w:r w:rsidR="001C3CB9">
        <w:t xml:space="preserve">una </w:t>
      </w:r>
      <w:r w:rsidR="008C7CAD">
        <w:t>duplice affermazione. La prima</w:t>
      </w:r>
      <w:r w:rsidR="003C7F1D">
        <w:t>,</w:t>
      </w:r>
      <w:r w:rsidR="008C7CAD">
        <w:t xml:space="preserve"> riguarda il mancato interesse da parte del</w:t>
      </w:r>
      <w:r w:rsidR="00C50CC3">
        <w:t>le aziende italiane</w:t>
      </w:r>
      <w:r w:rsidR="0031356F">
        <w:t xml:space="preserve"> </w:t>
      </w:r>
      <w:r w:rsidR="00C50CC3">
        <w:t>nell’investire nella formazione dei propri collaboratori</w:t>
      </w:r>
      <w:r w:rsidR="00B644D8">
        <w:t>,</w:t>
      </w:r>
      <w:r w:rsidR="003C7F1D">
        <w:t xml:space="preserve"> attingendo esclusivamente a risorse proprie; la seconda, concerne </w:t>
      </w:r>
      <w:r w:rsidR="005245FB">
        <w:t>l’</w:t>
      </w:r>
      <w:r w:rsidR="00B644D8">
        <w:t xml:space="preserve">efficacia dei programmi e dei fondi comunitari </w:t>
      </w:r>
      <w:r w:rsidR="00B1713C">
        <w:t xml:space="preserve">nel supportare </w:t>
      </w:r>
      <w:r w:rsidR="00AD44F6">
        <w:t xml:space="preserve">la crescita e la transizione del Paese. </w:t>
      </w:r>
    </w:p>
    <w:p w14:paraId="5C99FD2A" w14:textId="77777777" w:rsidR="0093475E" w:rsidRDefault="0093475E" w:rsidP="00DD7C1B">
      <w:pPr>
        <w:tabs>
          <w:tab w:val="left" w:pos="1510"/>
        </w:tabs>
        <w:rPr>
          <w:b/>
          <w:bCs/>
          <w:i/>
          <w:iCs/>
        </w:rPr>
      </w:pPr>
    </w:p>
    <w:p w14:paraId="67FD714D" w14:textId="77777777" w:rsidR="009F4999" w:rsidRDefault="009F4999" w:rsidP="00DD7C1B">
      <w:pPr>
        <w:tabs>
          <w:tab w:val="left" w:pos="1510"/>
        </w:tabs>
        <w:rPr>
          <w:b/>
          <w:bCs/>
          <w:i/>
          <w:iCs/>
        </w:rPr>
      </w:pPr>
    </w:p>
    <w:p w14:paraId="3C769F6C" w14:textId="77777777" w:rsidR="00B127DA" w:rsidRDefault="00B127DA" w:rsidP="00DD7C1B">
      <w:pPr>
        <w:tabs>
          <w:tab w:val="left" w:pos="1510"/>
        </w:tabs>
        <w:rPr>
          <w:b/>
          <w:bCs/>
          <w:i/>
          <w:iCs/>
        </w:rPr>
      </w:pPr>
    </w:p>
    <w:p w14:paraId="71A9FCF9" w14:textId="2092D809" w:rsidR="000F2A5C" w:rsidRDefault="0093475E" w:rsidP="00DD7C1B">
      <w:pPr>
        <w:tabs>
          <w:tab w:val="left" w:pos="1510"/>
        </w:tabs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Ritorni dell’investimento in formazione</w:t>
      </w:r>
    </w:p>
    <w:p w14:paraId="0908C2ED" w14:textId="42846172" w:rsidR="00690063" w:rsidRDefault="00B01186" w:rsidP="0067098C">
      <w:pPr>
        <w:tabs>
          <w:tab w:val="left" w:pos="1510"/>
        </w:tabs>
        <w:jc w:val="both"/>
      </w:pPr>
      <w:r>
        <w:t xml:space="preserve">Al fine di poter </w:t>
      </w:r>
      <w:r w:rsidR="00EA6A2E">
        <w:t xml:space="preserve">arrivare ad una conclusione sull’analisi condotta </w:t>
      </w:r>
      <w:r w:rsidR="00947B1E">
        <w:t xml:space="preserve">sull’Italia, è necessario prendere in considerazione gli impatti positivi che la formazione continua </w:t>
      </w:r>
      <w:r w:rsidR="00861EB3">
        <w:t>ha generato su coloro che ne hanno beneficiato. Sempre facendo af</w:t>
      </w:r>
      <w:r w:rsidR="00CD18ED">
        <w:t xml:space="preserve">fidamento </w:t>
      </w:r>
      <w:r w:rsidR="00DA77E3">
        <w:t>sulle pubblicazioni</w:t>
      </w:r>
      <w:r w:rsidR="00CD18ED">
        <w:t xml:space="preserve"> effettuate </w:t>
      </w:r>
      <w:r w:rsidR="005D1D67">
        <w:t xml:space="preserve">dall’Istituto nazionale per l’analisi delle politiche pubbliche (INAPP), </w:t>
      </w:r>
      <w:r w:rsidR="004622AE">
        <w:t>si può affermare che gli effetti delle attività formativ</w:t>
      </w:r>
      <w:r w:rsidR="005671D8">
        <w:t>e</w:t>
      </w:r>
      <w:r w:rsidR="004D2E98">
        <w:t>, in termini di incremento retributivo</w:t>
      </w:r>
      <w:r w:rsidR="007E1875">
        <w:t xml:space="preserve"> e avanzamento di carrie</w:t>
      </w:r>
      <w:r w:rsidR="0027364A">
        <w:t>ra, risultino alquanto modesti</w:t>
      </w:r>
      <w:r w:rsidR="006E19D8">
        <w:t xml:space="preserve">. Vi sono delle eccezioni da </w:t>
      </w:r>
      <w:r w:rsidR="006114A5">
        <w:t xml:space="preserve">mettere in risalto; infatti, </w:t>
      </w:r>
      <w:r w:rsidR="008B2961">
        <w:t>per la classe di età 18-29 anni</w:t>
      </w:r>
      <w:r w:rsidR="00D34CE0">
        <w:t>, più di un terzo ha dichiarato un</w:t>
      </w:r>
      <w:r w:rsidR="00162371">
        <w:t xml:space="preserve"> avanzamento di carriera</w:t>
      </w:r>
      <w:r w:rsidR="006A4722">
        <w:t xml:space="preserve"> e</w:t>
      </w:r>
      <w:r w:rsidR="00CB3496">
        <w:t xml:space="preserve"> </w:t>
      </w:r>
      <w:r w:rsidR="00E578E4">
        <w:t>tra i 30-49 anni</w:t>
      </w:r>
      <w:r w:rsidR="00134F8A">
        <w:t xml:space="preserve">, </w:t>
      </w:r>
      <w:r w:rsidR="00316492">
        <w:t xml:space="preserve">più del 15% ha registrato un miglioramento dei livelli retributivi. </w:t>
      </w:r>
    </w:p>
    <w:p w14:paraId="711F5C25" w14:textId="14D9F7EC" w:rsidR="0093475E" w:rsidRDefault="0051397A" w:rsidP="0067098C">
      <w:pPr>
        <w:tabs>
          <w:tab w:val="left" w:pos="1510"/>
        </w:tabs>
        <w:jc w:val="both"/>
      </w:pPr>
      <w:r>
        <w:t>In linea generale,</w:t>
      </w:r>
      <w:r w:rsidR="0019322B">
        <w:t xml:space="preserve"> per</w:t>
      </w:r>
      <w:r>
        <w:t xml:space="preserve"> tutte le classi di età, compresi gli over 50, </w:t>
      </w:r>
      <w:r w:rsidR="0019322B">
        <w:t>si è</w:t>
      </w:r>
      <w:r w:rsidR="00227119">
        <w:t xml:space="preserve"> </w:t>
      </w:r>
      <w:r w:rsidR="0019322B">
        <w:t xml:space="preserve">registrato un </w:t>
      </w:r>
      <w:r w:rsidR="00714CC9">
        <w:t>miglioramento e una maggior facilità nello svolgimento dell’attività lavorativa corrente</w:t>
      </w:r>
      <w:r w:rsidR="00B94326">
        <w:t xml:space="preserve"> (</w:t>
      </w:r>
      <w:r w:rsidR="00015A9A">
        <w:t>Rapporto Inapp 2022).</w:t>
      </w:r>
    </w:p>
    <w:p w14:paraId="6F88A744" w14:textId="5FC4D525" w:rsidR="000639B7" w:rsidRPr="00742695" w:rsidRDefault="005D43F1" w:rsidP="0067098C">
      <w:pPr>
        <w:tabs>
          <w:tab w:val="left" w:pos="1510"/>
        </w:tabs>
        <w:jc w:val="both"/>
        <w:rPr>
          <w:i/>
          <w:iCs/>
          <w:sz w:val="18"/>
          <w:szCs w:val="18"/>
        </w:rPr>
      </w:pPr>
      <w:r w:rsidRPr="00742695">
        <w:rPr>
          <w:i/>
          <w:iCs/>
          <w:sz w:val="18"/>
          <w:szCs w:val="18"/>
        </w:rPr>
        <w:t>Effetti della formazione continua (val.</w:t>
      </w:r>
      <w:r w:rsidR="00742695" w:rsidRPr="00742695">
        <w:rPr>
          <w:i/>
          <w:iCs/>
          <w:sz w:val="18"/>
          <w:szCs w:val="18"/>
        </w:rPr>
        <w:t>%)</w:t>
      </w:r>
    </w:p>
    <w:p w14:paraId="3EFD6FC4" w14:textId="4A4FE07E" w:rsidR="006D3A96" w:rsidRPr="00B01186" w:rsidRDefault="006D3A96" w:rsidP="006D3A96">
      <w:pPr>
        <w:tabs>
          <w:tab w:val="left" w:pos="1510"/>
        </w:tabs>
        <w:jc w:val="center"/>
      </w:pPr>
      <w:r w:rsidRPr="006D3A96">
        <w:rPr>
          <w:noProof/>
        </w:rPr>
        <w:drawing>
          <wp:inline distT="0" distB="0" distL="0" distR="0" wp14:anchorId="75642C05" wp14:editId="144F5ECF">
            <wp:extent cx="5249334" cy="4138247"/>
            <wp:effectExtent l="0" t="0" r="8890" b="0"/>
            <wp:docPr id="8" name="Immagine 8" descr="Immagine che contiene testo, schermata, diagramma, Parall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 descr="Immagine che contiene testo, schermata, diagramma, Parallelo&#10;&#10;Descrizione generata automa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90932" cy="4171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B928" w14:textId="6737AD73" w:rsidR="0093475E" w:rsidRDefault="00044446" w:rsidP="00DD7C1B">
      <w:pPr>
        <w:tabs>
          <w:tab w:val="left" w:pos="151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CC0201">
        <w:rPr>
          <w:sz w:val="16"/>
          <w:szCs w:val="16"/>
        </w:rPr>
        <w:t xml:space="preserve">  </w:t>
      </w:r>
      <w:r w:rsidR="006D3A96" w:rsidRPr="00044446">
        <w:rPr>
          <w:sz w:val="16"/>
          <w:szCs w:val="16"/>
        </w:rPr>
        <w:t xml:space="preserve">Fonte: </w:t>
      </w:r>
      <w:r w:rsidRPr="00044446">
        <w:rPr>
          <w:sz w:val="16"/>
          <w:szCs w:val="16"/>
        </w:rPr>
        <w:t xml:space="preserve">Indagine Inapp-PLUS, 2021 </w:t>
      </w:r>
    </w:p>
    <w:p w14:paraId="25A5894E" w14:textId="77777777" w:rsidR="00CC0201" w:rsidRDefault="00CC0201" w:rsidP="0067098C">
      <w:pPr>
        <w:tabs>
          <w:tab w:val="left" w:pos="1510"/>
        </w:tabs>
        <w:jc w:val="both"/>
      </w:pPr>
    </w:p>
    <w:p w14:paraId="7D0BCA6A" w14:textId="00F68266" w:rsidR="00044446" w:rsidRDefault="00CE1BD6" w:rsidP="0067098C">
      <w:pPr>
        <w:tabs>
          <w:tab w:val="left" w:pos="1510"/>
        </w:tabs>
        <w:jc w:val="both"/>
      </w:pPr>
      <w:r>
        <w:t>In conclusion</w:t>
      </w:r>
      <w:r w:rsidR="008164CB">
        <w:t xml:space="preserve">e, la formazione continua in Italia sembrerebbe </w:t>
      </w:r>
      <w:r w:rsidR="000D06EB">
        <w:t>apportare</w:t>
      </w:r>
      <w:r w:rsidR="008164CB">
        <w:t xml:space="preserve"> un unico </w:t>
      </w:r>
      <w:r w:rsidR="00CB7647">
        <w:t xml:space="preserve">vantaggio, </w:t>
      </w:r>
      <w:r w:rsidR="00347B78">
        <w:t>cioè di svolgere in maniere più agevole o migliore il proprio</w:t>
      </w:r>
      <w:r w:rsidR="00AB239E">
        <w:t xml:space="preserve"> lavoro</w:t>
      </w:r>
      <w:r w:rsidR="00347B78">
        <w:t xml:space="preserve">. L’assenza degli ulteriori effetti positivi generati dalla formazione e messi in evidenza </w:t>
      </w:r>
      <w:r w:rsidR="00FE0883">
        <w:t>dalla letteratura scientifica</w:t>
      </w:r>
      <w:r w:rsidR="00F45BB6">
        <w:t xml:space="preserve"> internazionale, semb</w:t>
      </w:r>
      <w:r w:rsidR="00080043">
        <w:t>rerebbero non riguardare il caso italiano</w:t>
      </w:r>
      <w:r w:rsidR="00D36D7C">
        <w:t xml:space="preserve">. Tutto ciò </w:t>
      </w:r>
      <w:r w:rsidR="007A2210">
        <w:t>è sicuramente il frutto di una confluenza di fattori</w:t>
      </w:r>
      <w:r w:rsidR="00FC7BFF">
        <w:t>, per la quale risulterebbe necessario</w:t>
      </w:r>
      <w:r w:rsidR="008E3685">
        <w:t xml:space="preserve"> </w:t>
      </w:r>
      <w:r w:rsidR="0006125A">
        <w:t xml:space="preserve">un intervento di politica economica </w:t>
      </w:r>
      <w:r w:rsidR="0006125A">
        <w:rPr>
          <w:i/>
          <w:iCs/>
        </w:rPr>
        <w:t>ad hoc</w:t>
      </w:r>
      <w:r w:rsidR="0006125A">
        <w:t xml:space="preserve"> e un maggior coordinamento </w:t>
      </w:r>
      <w:r w:rsidR="009B662A">
        <w:t>con le istituzioni europee, ma soprattutto tra le autorità nazionali</w:t>
      </w:r>
      <w:r w:rsidR="00B32544">
        <w:t>,</w:t>
      </w:r>
      <w:r w:rsidR="009B662A">
        <w:t xml:space="preserve"> </w:t>
      </w:r>
      <w:r w:rsidR="00D837D2">
        <w:t>data la presenza di forti disparità territoriali.</w:t>
      </w:r>
      <w:r w:rsidR="00503E35">
        <w:t xml:space="preserve"> Nel prossimo futuro l’Italia sarà chiamata a risolvere almeno quattro sfide che riguardano il sistema d’istruzione nazionale: il forte mis</w:t>
      </w:r>
      <w:r w:rsidR="005B7433">
        <w:t>match orizzontale e verticale, bassa attrattività dell’i</w:t>
      </w:r>
      <w:r w:rsidR="003E073A">
        <w:t>struzione e formazione professionale (dati i bassi tassi di partecipazione), analfabetismo funzionale e scarsa padronanza delle competenze digitali</w:t>
      </w:r>
      <w:r w:rsidR="006B5CC1">
        <w:t xml:space="preserve"> (</w:t>
      </w:r>
      <w:r w:rsidR="00052488">
        <w:t xml:space="preserve">identificata dal </w:t>
      </w:r>
      <w:r w:rsidR="006B5CC1">
        <w:t>Rapporto DESI 2022).</w:t>
      </w:r>
    </w:p>
    <w:p w14:paraId="49BAFA5F" w14:textId="00F08A37" w:rsidR="00E55E4D" w:rsidRPr="00146DDA" w:rsidRDefault="00802CA4" w:rsidP="00B20EC0">
      <w:pPr>
        <w:pStyle w:val="Titolo4"/>
        <w:rPr>
          <w:b/>
          <w:bCs/>
          <w:sz w:val="24"/>
          <w:szCs w:val="24"/>
        </w:rPr>
      </w:pPr>
      <w:bookmarkStart w:id="9" w:name="_Toc137804222"/>
      <w:bookmarkStart w:id="10" w:name="_Toc137804278"/>
      <w:bookmarkStart w:id="11" w:name="_Toc137804449"/>
      <w:r w:rsidRPr="00146DDA">
        <w:rPr>
          <w:b/>
          <w:bCs/>
          <w:color w:val="auto"/>
          <w:sz w:val="24"/>
          <w:szCs w:val="24"/>
        </w:rPr>
        <w:lastRenderedPageBreak/>
        <w:t>Gli interventi di policy italiani e l’utilizzo dei fondi europei</w:t>
      </w:r>
      <w:bookmarkEnd w:id="9"/>
      <w:bookmarkEnd w:id="10"/>
      <w:bookmarkEnd w:id="11"/>
    </w:p>
    <w:p w14:paraId="6E8656D3" w14:textId="3D618221" w:rsidR="0031356F" w:rsidRDefault="00D32FF2" w:rsidP="0067098C">
      <w:pPr>
        <w:tabs>
          <w:tab w:val="left" w:pos="1510"/>
        </w:tabs>
        <w:jc w:val="both"/>
      </w:pPr>
      <w:r>
        <w:t>Nell’ultimo biennio</w:t>
      </w:r>
      <w:r w:rsidR="00BD1202">
        <w:t xml:space="preserve">, l’azione programmatoria dell’Italia in materia di </w:t>
      </w:r>
      <w:r w:rsidR="0003164F">
        <w:t>politiche sociali, di qualificazione del capitale umano e del lavoro</w:t>
      </w:r>
      <w:r w:rsidR="003D2D82">
        <w:t xml:space="preserve"> è stata caratterizzata da un aumento </w:t>
      </w:r>
      <w:r w:rsidR="003044BC">
        <w:t xml:space="preserve">del dialogo interistituzionale e con tutti gli attori </w:t>
      </w:r>
      <w:r w:rsidR="00DA77E3">
        <w:t>socioeconomici</w:t>
      </w:r>
      <w:r w:rsidR="003044BC">
        <w:t xml:space="preserve"> </w:t>
      </w:r>
      <w:r w:rsidR="007C19D7">
        <w:t xml:space="preserve">interessati (Rapporto Inapp, 2022). Si è virati da una modalità </w:t>
      </w:r>
      <w:r w:rsidR="00A245AA">
        <w:t>pulviscolare di interventi di policy frammentati, ad un approccio più organico</w:t>
      </w:r>
      <w:r w:rsidR="00D43042">
        <w:t xml:space="preserve">, in grado di inglobare la complessità delle dinamiche che colpiscono il Paese. </w:t>
      </w:r>
      <w:r w:rsidR="00E75ED6">
        <w:t xml:space="preserve">Tale decisione </w:t>
      </w:r>
      <w:r w:rsidR="00630A82">
        <w:t xml:space="preserve">traspare in maniera inequivocabile nell’attuazione del </w:t>
      </w:r>
      <w:r w:rsidR="00B94E64">
        <w:t xml:space="preserve">Piano nazionale di ripresa e resilienza (PNRR), </w:t>
      </w:r>
      <w:r w:rsidR="00735D23">
        <w:t>composto da una serie di linee di azione volte al potenz</w:t>
      </w:r>
      <w:r w:rsidR="00683FC3">
        <w:t xml:space="preserve">iamento delle politiche attive del mercato del lavoro, </w:t>
      </w:r>
      <w:r w:rsidR="004340F7">
        <w:t xml:space="preserve">del sistema nazionale di istruzione e della formazione professionale. </w:t>
      </w:r>
    </w:p>
    <w:p w14:paraId="2D36E9EB" w14:textId="77777777" w:rsidR="00C411A3" w:rsidRDefault="005B61EA" w:rsidP="0067098C">
      <w:pPr>
        <w:tabs>
          <w:tab w:val="left" w:pos="1510"/>
        </w:tabs>
        <w:jc w:val="both"/>
      </w:pPr>
      <w:r>
        <w:t>A tal proposito, l</w:t>
      </w:r>
      <w:r w:rsidR="000B68DB">
        <w:t xml:space="preserve">a Missione </w:t>
      </w:r>
      <w:r w:rsidR="00C411A3">
        <w:t xml:space="preserve">4 e 5 </w:t>
      </w:r>
      <w:r w:rsidR="004E08DB">
        <w:t>del PNRR</w:t>
      </w:r>
      <w:r w:rsidR="00C411A3">
        <w:t xml:space="preserve">, </w:t>
      </w:r>
      <w:r w:rsidR="004E08DB">
        <w:t>preved</w:t>
      </w:r>
      <w:r w:rsidR="00C411A3">
        <w:t>ono rispettivamente</w:t>
      </w:r>
      <w:r w:rsidR="00D34681">
        <w:t>:</w:t>
      </w:r>
    </w:p>
    <w:p w14:paraId="5AA1E9FE" w14:textId="63417C30" w:rsidR="00D363EA" w:rsidRDefault="00F75BB3" w:rsidP="00F75BB3">
      <w:pPr>
        <w:tabs>
          <w:tab w:val="left" w:pos="1510"/>
        </w:tabs>
        <w:jc w:val="both"/>
      </w:pPr>
      <w:r>
        <w:t xml:space="preserve">Missione 4 </w:t>
      </w:r>
      <w:r w:rsidR="00750698">
        <w:t>C1 e C2</w:t>
      </w:r>
    </w:p>
    <w:p w14:paraId="3A1C80BF" w14:textId="5B03FDF6" w:rsidR="00750698" w:rsidRDefault="00750698" w:rsidP="00750698">
      <w:pPr>
        <w:pStyle w:val="Paragrafoelenco"/>
        <w:numPr>
          <w:ilvl w:val="0"/>
          <w:numId w:val="17"/>
        </w:numPr>
        <w:tabs>
          <w:tab w:val="left" w:pos="1510"/>
        </w:tabs>
        <w:jc w:val="both"/>
      </w:pPr>
      <w:r>
        <w:t xml:space="preserve">Potenziamento dell’offerta </w:t>
      </w:r>
      <w:r w:rsidR="005F5058">
        <w:t>dei servizi di istruzione: dagli asili nido alle università</w:t>
      </w:r>
      <w:r w:rsidR="00F019AD">
        <w:t xml:space="preserve"> (</w:t>
      </w:r>
      <w:r w:rsidR="00E71632">
        <w:t>19,44 miliardi di euro)</w:t>
      </w:r>
    </w:p>
    <w:p w14:paraId="6AB95584" w14:textId="54EC31A5" w:rsidR="005F5058" w:rsidRDefault="004249DA" w:rsidP="00750698">
      <w:pPr>
        <w:pStyle w:val="Paragrafoelenco"/>
        <w:numPr>
          <w:ilvl w:val="0"/>
          <w:numId w:val="17"/>
        </w:numPr>
        <w:tabs>
          <w:tab w:val="left" w:pos="1510"/>
        </w:tabs>
        <w:jc w:val="both"/>
      </w:pPr>
      <w:r>
        <w:t>Dalla ricerca all’impresa</w:t>
      </w:r>
      <w:r w:rsidR="00E71632">
        <w:t xml:space="preserve"> (11,4 miliardi di euro)</w:t>
      </w:r>
    </w:p>
    <w:p w14:paraId="2FD584F5" w14:textId="36448A6D" w:rsidR="00F019AD" w:rsidRDefault="00F019AD" w:rsidP="00F019AD">
      <w:pPr>
        <w:tabs>
          <w:tab w:val="left" w:pos="1510"/>
        </w:tabs>
        <w:jc w:val="both"/>
      </w:pPr>
      <w:r>
        <w:t>Missione 5 C1</w:t>
      </w:r>
    </w:p>
    <w:p w14:paraId="2D5A8598" w14:textId="77777777" w:rsidR="00F019AD" w:rsidRDefault="00F019AD" w:rsidP="00F019AD">
      <w:pPr>
        <w:pStyle w:val="Paragrafoelenco"/>
        <w:numPr>
          <w:ilvl w:val="0"/>
          <w:numId w:val="14"/>
        </w:numPr>
        <w:tabs>
          <w:tab w:val="left" w:pos="1510"/>
        </w:tabs>
        <w:jc w:val="both"/>
      </w:pPr>
      <w:r>
        <w:t>Piano Nazionale per le Nuove Competenze (PNNC).</w:t>
      </w:r>
    </w:p>
    <w:p w14:paraId="04C3E2DA" w14:textId="77777777" w:rsidR="00F019AD" w:rsidRDefault="00F019AD" w:rsidP="00F019AD">
      <w:pPr>
        <w:pStyle w:val="Paragrafoelenco"/>
        <w:numPr>
          <w:ilvl w:val="0"/>
          <w:numId w:val="14"/>
        </w:numPr>
        <w:tabs>
          <w:tab w:val="left" w:pos="1510"/>
        </w:tabs>
        <w:jc w:val="both"/>
      </w:pPr>
      <w:r>
        <w:t>Programma di Garanzia di occupabilità dei lavoratori (GOL).</w:t>
      </w:r>
    </w:p>
    <w:p w14:paraId="635C947C" w14:textId="77777777" w:rsidR="00F019AD" w:rsidRDefault="00F019AD" w:rsidP="00F019AD">
      <w:pPr>
        <w:pStyle w:val="Paragrafoelenco"/>
        <w:numPr>
          <w:ilvl w:val="0"/>
          <w:numId w:val="14"/>
        </w:numPr>
        <w:tabs>
          <w:tab w:val="left" w:pos="1510"/>
        </w:tabs>
        <w:jc w:val="both"/>
      </w:pPr>
      <w:r>
        <w:t>Potenziamento dei Centri per l’Impiego.</w:t>
      </w:r>
    </w:p>
    <w:p w14:paraId="17A1A8CD" w14:textId="1370A452" w:rsidR="00F019AD" w:rsidRDefault="00F019AD" w:rsidP="00F019AD">
      <w:pPr>
        <w:pStyle w:val="Paragrafoelenco"/>
        <w:numPr>
          <w:ilvl w:val="0"/>
          <w:numId w:val="14"/>
        </w:numPr>
        <w:tabs>
          <w:tab w:val="left" w:pos="1510"/>
        </w:tabs>
        <w:jc w:val="both"/>
      </w:pPr>
      <w:r>
        <w:t>Rafforzamento del sistema duale</w:t>
      </w:r>
    </w:p>
    <w:p w14:paraId="55DA748D" w14:textId="58CFC025" w:rsidR="001A4E7D" w:rsidRDefault="006E5308" w:rsidP="0067098C">
      <w:pPr>
        <w:tabs>
          <w:tab w:val="left" w:pos="1510"/>
        </w:tabs>
        <w:jc w:val="both"/>
      </w:pPr>
      <w:r>
        <w:t xml:space="preserve">La Missione 4 </w:t>
      </w:r>
      <w:r w:rsidR="00142584">
        <w:t xml:space="preserve">mira a </w:t>
      </w:r>
      <w:r w:rsidR="008D4B2B">
        <w:t>rafforzare</w:t>
      </w:r>
      <w:r w:rsidR="00CB74D1">
        <w:t xml:space="preserve"> le condizioni per lo sviluppo di un’economia ad alta intensità di conoscenza</w:t>
      </w:r>
      <w:r w:rsidR="00A041E8">
        <w:t>, il tutto</w:t>
      </w:r>
      <w:r w:rsidR="00CB74D1">
        <w:t xml:space="preserve"> </w:t>
      </w:r>
      <w:r w:rsidR="00D2094B">
        <w:t xml:space="preserve">mediante </w:t>
      </w:r>
      <w:r w:rsidR="00D1552A">
        <w:t>una serie di investimenti strutturali e di valorizzazione del capitale umano</w:t>
      </w:r>
      <w:r w:rsidR="00944BE0">
        <w:t xml:space="preserve">, </w:t>
      </w:r>
      <w:r w:rsidR="00C87287">
        <w:t>e volti a sostenere  l’attività di ricerca</w:t>
      </w:r>
      <w:r w:rsidR="008B548C">
        <w:t xml:space="preserve"> e sviluppo del Paese.</w:t>
      </w:r>
      <w:r w:rsidR="008D4B2B">
        <w:t xml:space="preserve"> Con riferimento alla Missione 5 C1</w:t>
      </w:r>
      <w:r w:rsidR="00AD5702">
        <w:t>;</w:t>
      </w:r>
      <w:r w:rsidR="008B548C">
        <w:t xml:space="preserve"> </w:t>
      </w:r>
      <w:r w:rsidR="00AD5702">
        <w:t>l’</w:t>
      </w:r>
      <w:r w:rsidR="00443412">
        <w:t>adozione del PNNC contribuisce a definire i livelli essenziali dell’</w:t>
      </w:r>
      <w:r w:rsidR="00984058">
        <w:t>istruzione e formazione professionale (IFP)</w:t>
      </w:r>
      <w:r w:rsidR="00ED3CC6">
        <w:t>, definendo gli standard della formazione dei lavoratori</w:t>
      </w:r>
      <w:r w:rsidR="00A401FC">
        <w:t xml:space="preserve">. </w:t>
      </w:r>
      <w:r w:rsidR="00CB36BF">
        <w:t>Per quanto concerne il programma GOL, esso assume le caratterist</w:t>
      </w:r>
      <w:r w:rsidR="006127BD">
        <w:t xml:space="preserve">iche di una riforma sistemica, date le ingenti risorse sulle quali si basa </w:t>
      </w:r>
      <w:r w:rsidR="00730665">
        <w:t>(4,4 miliardi di</w:t>
      </w:r>
      <w:r w:rsidR="008973E7">
        <w:t xml:space="preserve"> </w:t>
      </w:r>
      <w:r w:rsidR="00730665">
        <w:t xml:space="preserve">euro, sommati ai 500 milioni di euro a valere su REACT-EU) e </w:t>
      </w:r>
      <w:r w:rsidR="006A53A0">
        <w:t>l’orizzonte temporale</w:t>
      </w:r>
      <w:r w:rsidR="00B043B1">
        <w:t xml:space="preserve"> 2021-2025. Il </w:t>
      </w:r>
      <w:r w:rsidR="005A3BB5">
        <w:t xml:space="preserve">Programma si basa sull’introduzione di un approccio personalizzato alle </w:t>
      </w:r>
      <w:r w:rsidR="00EC1FC0">
        <w:t>politiche attive con il mercato del lavoro</w:t>
      </w:r>
      <w:r w:rsidR="002E3C91">
        <w:t xml:space="preserve">, creando dei percorsi specifici </w:t>
      </w:r>
      <w:r w:rsidR="00896C99">
        <w:t>per ogni lavoratore</w:t>
      </w:r>
      <w:r w:rsidR="004148BB">
        <w:t xml:space="preserve"> che costituiscono Livelli essenziali delle prestazioni (LEP)</w:t>
      </w:r>
      <w:r w:rsidR="00380CAC">
        <w:t>.</w:t>
      </w:r>
      <w:r w:rsidR="001A4E7D">
        <w:t xml:space="preserve"> Non bisogna sottovalutare </w:t>
      </w:r>
      <w:r w:rsidR="00892051">
        <w:t xml:space="preserve">l’importanza della </w:t>
      </w:r>
      <w:r w:rsidR="00892051" w:rsidRPr="00892051">
        <w:rPr>
          <w:i/>
          <w:iCs/>
        </w:rPr>
        <w:t>personalizzazion</w:t>
      </w:r>
      <w:r w:rsidR="00B3233D">
        <w:rPr>
          <w:i/>
          <w:iCs/>
        </w:rPr>
        <w:t xml:space="preserve">e </w:t>
      </w:r>
      <w:r w:rsidR="00B3233D">
        <w:t xml:space="preserve">dei </w:t>
      </w:r>
      <w:r w:rsidR="007F26C8">
        <w:t>percorsi educativi e di formazione; infatti, si tr</w:t>
      </w:r>
      <w:r w:rsidR="00B82B1D">
        <w:t xml:space="preserve">atta di uno dei pochi espedienti mediante il quale si è in grado di eliminare le barriere e </w:t>
      </w:r>
      <w:r w:rsidR="00EE6116">
        <w:t>gli ostacoli che spesso valicano la dimensione lavorativa</w:t>
      </w:r>
      <w:r w:rsidR="006B6A17">
        <w:t xml:space="preserve"> (basti pensare </w:t>
      </w:r>
      <w:r w:rsidR="00893B3C">
        <w:t xml:space="preserve">alle condizioni </w:t>
      </w:r>
      <w:r w:rsidR="00DA77E3">
        <w:t>sociosanitarie</w:t>
      </w:r>
      <w:r w:rsidR="00893B3C">
        <w:t xml:space="preserve"> e </w:t>
      </w:r>
      <w:r w:rsidR="001E2620">
        <w:t xml:space="preserve">ai problemi di </w:t>
      </w:r>
      <w:r w:rsidR="00990375">
        <w:t>conciliazione vita-lavoro)</w:t>
      </w:r>
      <w:r w:rsidR="00832A13">
        <w:t>, riportando così la centralità dell’individuo.</w:t>
      </w:r>
      <w:r w:rsidR="000556A1">
        <w:t xml:space="preserve"> Perciò, è fuori da ogni dubbio che interventi delineati in quest’ottica siano in grado di </w:t>
      </w:r>
      <w:r w:rsidR="0089213A">
        <w:t>conferi</w:t>
      </w:r>
      <w:r w:rsidR="00582E81">
        <w:t>re</w:t>
      </w:r>
      <w:r w:rsidR="00617357">
        <w:t xml:space="preserve"> nuovamente </w:t>
      </w:r>
      <w:r w:rsidR="00582E81">
        <w:t xml:space="preserve">valore all’istruzione e ridurre i differenziali regionali e </w:t>
      </w:r>
      <w:r w:rsidR="0082422B">
        <w:t xml:space="preserve">nei confronti degli altri Stati membri. </w:t>
      </w:r>
    </w:p>
    <w:p w14:paraId="3087087B" w14:textId="0D27FADB" w:rsidR="00DB3A87" w:rsidRPr="00E9169B" w:rsidRDefault="00617357" w:rsidP="0067098C">
      <w:pPr>
        <w:tabs>
          <w:tab w:val="left" w:pos="1510"/>
        </w:tabs>
        <w:jc w:val="both"/>
      </w:pPr>
      <w:r>
        <w:t>I</w:t>
      </w:r>
      <w:r w:rsidR="008C4CB2">
        <w:t xml:space="preserve">nvece, per favorire i giovani </w:t>
      </w:r>
      <w:r w:rsidR="005815C8">
        <w:t xml:space="preserve">nella transizione verso il mercato del lavoro, </w:t>
      </w:r>
      <w:r w:rsidR="008B252B">
        <w:t>ci si è basati su un incremento d</w:t>
      </w:r>
      <w:r w:rsidR="00B049F1">
        <w:t xml:space="preserve">ella propensione del ricorso </w:t>
      </w:r>
      <w:r w:rsidR="00B049F1" w:rsidRPr="005F39D5">
        <w:t>all’apprendistato d</w:t>
      </w:r>
      <w:r w:rsidR="00B049F1">
        <w:t xml:space="preserve">uale da parte delle imprese, nonché </w:t>
      </w:r>
      <w:r w:rsidR="004210C1">
        <w:t>un aumento delle modalità di applicazione d</w:t>
      </w:r>
      <w:r w:rsidR="00674896">
        <w:t xml:space="preserve">i tali contratti. </w:t>
      </w:r>
      <w:r w:rsidR="00DB3A87">
        <w:t>Il finanziamento degli interventi di policy poc’anzi citati si basa sul Fondo nuove competenze (FNC, composto da risorse del Fondo sociale europeo)</w:t>
      </w:r>
      <w:r w:rsidR="00B06349">
        <w:t xml:space="preserve">; dispositivo </w:t>
      </w:r>
      <w:r w:rsidR="00EE42F5">
        <w:t xml:space="preserve">volto all’ottenimento di nuove o maggiori competenze </w:t>
      </w:r>
      <w:r w:rsidR="0063592B">
        <w:t>da parte</w:t>
      </w:r>
      <w:r w:rsidR="00176838">
        <w:t xml:space="preserve"> dei </w:t>
      </w:r>
      <w:r w:rsidR="0063592B">
        <w:t>lavoratori e</w:t>
      </w:r>
      <w:r w:rsidR="00176838">
        <w:t xml:space="preserve"> delle</w:t>
      </w:r>
      <w:r w:rsidR="0063592B">
        <w:t xml:space="preserve"> lavoratrici</w:t>
      </w:r>
      <w:r w:rsidR="00176838">
        <w:t xml:space="preserve">, </w:t>
      </w:r>
      <w:r w:rsidR="00FE7D30">
        <w:t xml:space="preserve">ma anche a supporto delle imprese che necessitano di adattarsi ai nuovi modelli organizzativi e produttivi. </w:t>
      </w:r>
      <w:r w:rsidR="00297145">
        <w:t>Inoltre, vi sono ulteriori</w:t>
      </w:r>
      <w:r w:rsidR="00BC735E">
        <w:t xml:space="preserve"> risorse</w:t>
      </w:r>
      <w:r w:rsidR="00FB34C8">
        <w:t xml:space="preserve"> allocate nel FSE Plus</w:t>
      </w:r>
      <w:r w:rsidR="00C82857">
        <w:t xml:space="preserve"> per la realizzazione dei medesimi obiettivi</w:t>
      </w:r>
      <w:r w:rsidR="00132AE9">
        <w:t>.</w:t>
      </w:r>
      <w:r w:rsidR="007615B2">
        <w:t xml:space="preserve"> </w:t>
      </w:r>
      <w:r w:rsidR="00132AE9">
        <w:t xml:space="preserve">È importante </w:t>
      </w:r>
      <w:r w:rsidR="003D1038">
        <w:t>ricordare</w:t>
      </w:r>
      <w:r w:rsidR="00132AE9">
        <w:t xml:space="preserve"> </w:t>
      </w:r>
      <w:r w:rsidR="006769CD">
        <w:t xml:space="preserve">che </w:t>
      </w:r>
      <w:r w:rsidR="00E9169B">
        <w:t>le politiche dell</w:t>
      </w:r>
      <w:r w:rsidR="00E9169B" w:rsidRPr="00E9169B">
        <w:rPr>
          <w:i/>
          <w:iCs/>
        </w:rPr>
        <w:t>’education</w:t>
      </w:r>
      <w:r w:rsidR="00E9169B">
        <w:rPr>
          <w:i/>
          <w:iCs/>
        </w:rPr>
        <w:t xml:space="preserve"> </w:t>
      </w:r>
      <w:r w:rsidR="00153348">
        <w:t>operano in sinergia con</w:t>
      </w:r>
      <w:r w:rsidR="00984DA4">
        <w:t xml:space="preserve"> quelle</w:t>
      </w:r>
      <w:r w:rsidR="00724F08">
        <w:t xml:space="preserve"> </w:t>
      </w:r>
      <w:r w:rsidR="00153348">
        <w:t>economiche</w:t>
      </w:r>
      <w:r w:rsidR="001D629C">
        <w:t>,</w:t>
      </w:r>
      <w:r w:rsidR="00724F08">
        <w:t xml:space="preserve"> </w:t>
      </w:r>
      <w:r w:rsidR="001D629C">
        <w:t>dell’inclusione sociale, dell’innovazione e del lavoro, per tale ragione</w:t>
      </w:r>
      <w:r w:rsidR="000611E7">
        <w:t xml:space="preserve"> risulta alquanto complesso scindere le varie aree di policy</w:t>
      </w:r>
      <w:r w:rsidR="00257B60">
        <w:t>.</w:t>
      </w:r>
    </w:p>
    <w:p w14:paraId="6E2940B3" w14:textId="414992C9" w:rsidR="004C7134" w:rsidRDefault="00ED2770" w:rsidP="0067098C">
      <w:pPr>
        <w:tabs>
          <w:tab w:val="left" w:pos="1510"/>
        </w:tabs>
        <w:jc w:val="both"/>
      </w:pPr>
      <w:r>
        <w:lastRenderedPageBreak/>
        <w:t>Da quanto riportato in precedenza, il</w:t>
      </w:r>
      <w:r w:rsidR="00483CA8">
        <w:t xml:space="preserve"> disegno strategico italiano sembrerebbe aver recepito le principali problematiche che colpiscono il sistema di istruzione e formazione nazionale</w:t>
      </w:r>
      <w:r w:rsidR="00FB7AC0">
        <w:t>, ma</w:t>
      </w:r>
      <w:r w:rsidR="0081255C">
        <w:t xml:space="preserve"> risulta </w:t>
      </w:r>
      <w:r w:rsidR="007C3A73">
        <w:t xml:space="preserve">oramai inderogabile l’intervento su due fronti: </w:t>
      </w:r>
    </w:p>
    <w:p w14:paraId="660E30A8" w14:textId="069DB204" w:rsidR="004C7134" w:rsidRDefault="00C06FCD" w:rsidP="0067098C">
      <w:pPr>
        <w:pStyle w:val="Paragrafoelenco"/>
        <w:numPr>
          <w:ilvl w:val="0"/>
          <w:numId w:val="16"/>
        </w:numPr>
        <w:tabs>
          <w:tab w:val="left" w:pos="1510"/>
        </w:tabs>
        <w:jc w:val="both"/>
      </w:pPr>
      <w:r>
        <w:t xml:space="preserve">La costruzione di un’offerta formativa di qualità e accessibile ai soggetti più svantaggiati, </w:t>
      </w:r>
      <w:r w:rsidR="00E0453B">
        <w:t>al fine di abbattere gli elevati tassi di abbandono e i bassi tassi di partecipazione</w:t>
      </w:r>
      <w:r w:rsidR="001A4E7D">
        <w:t xml:space="preserve">. </w:t>
      </w:r>
    </w:p>
    <w:p w14:paraId="0765193F" w14:textId="0827D602" w:rsidR="00E0453B" w:rsidRDefault="00DD6751" w:rsidP="0067098C">
      <w:pPr>
        <w:pStyle w:val="Paragrafoelenco"/>
        <w:numPr>
          <w:ilvl w:val="0"/>
          <w:numId w:val="16"/>
        </w:numPr>
        <w:tabs>
          <w:tab w:val="left" w:pos="1510"/>
        </w:tabs>
        <w:jc w:val="both"/>
      </w:pPr>
      <w:r>
        <w:t xml:space="preserve">Delineare interventi </w:t>
      </w:r>
      <w:r>
        <w:rPr>
          <w:i/>
          <w:iCs/>
        </w:rPr>
        <w:t>ad hoc</w:t>
      </w:r>
      <w:r>
        <w:t xml:space="preserve"> per eliminare le disparit</w:t>
      </w:r>
      <w:r w:rsidR="00B40D62">
        <w:t>à e i ritardi territoriali che caratterizzano il Paese</w:t>
      </w:r>
      <w:r w:rsidR="005D66C6">
        <w:t xml:space="preserve"> (anche con riferimento ai punteggi medi di </w:t>
      </w:r>
      <w:r w:rsidR="005D66C6">
        <w:rPr>
          <w:i/>
          <w:iCs/>
        </w:rPr>
        <w:t xml:space="preserve">literacy </w:t>
      </w:r>
      <w:r w:rsidR="005D66C6">
        <w:t xml:space="preserve">e </w:t>
      </w:r>
      <w:r w:rsidR="005D66C6">
        <w:rPr>
          <w:i/>
          <w:iCs/>
        </w:rPr>
        <w:t>numeracy</w:t>
      </w:r>
      <w:r w:rsidR="005B3604">
        <w:rPr>
          <w:i/>
          <w:iCs/>
        </w:rPr>
        <w:t xml:space="preserve"> </w:t>
      </w:r>
      <w:r w:rsidR="005B3604">
        <w:t xml:space="preserve">emersi dal </w:t>
      </w:r>
      <w:r w:rsidR="005B3604" w:rsidRPr="00034A71">
        <w:rPr>
          <w:i/>
          <w:iCs/>
        </w:rPr>
        <w:t>Survey of Adult skills</w:t>
      </w:r>
      <w:r w:rsidR="005B3604">
        <w:t>)</w:t>
      </w:r>
      <w:r w:rsidR="005D66C6">
        <w:rPr>
          <w:i/>
          <w:iCs/>
        </w:rPr>
        <w:t xml:space="preserve"> </w:t>
      </w:r>
    </w:p>
    <w:p w14:paraId="482E73D1" w14:textId="750F54F5" w:rsidR="00905532" w:rsidRDefault="00B56BE5" w:rsidP="00905532">
      <w:pPr>
        <w:tabs>
          <w:tab w:val="left" w:pos="1510"/>
        </w:tabs>
        <w:jc w:val="both"/>
      </w:pPr>
      <w:r>
        <w:t xml:space="preserve">Gli interventi </w:t>
      </w:r>
      <w:r w:rsidR="00BE595C">
        <w:t xml:space="preserve">in questione risulterebbero un mero buon auspicio, qualora non fossero </w:t>
      </w:r>
      <w:r w:rsidR="00833DEA">
        <w:t xml:space="preserve">accompagnati da un </w:t>
      </w:r>
      <w:r w:rsidR="00833DEA" w:rsidRPr="000258D5">
        <w:rPr>
          <w:i/>
          <w:iCs/>
        </w:rPr>
        <w:t>sistema di governance</w:t>
      </w:r>
      <w:r w:rsidR="00833DEA">
        <w:t xml:space="preserve"> congiunta</w:t>
      </w:r>
      <w:r w:rsidR="000258D5">
        <w:t xml:space="preserve">, basato su relazioni stabili tra varie istituzioni. </w:t>
      </w:r>
    </w:p>
    <w:p w14:paraId="7057329E" w14:textId="1AA9DF30" w:rsidR="005F39D5" w:rsidRDefault="00701CA9" w:rsidP="00905532">
      <w:pPr>
        <w:tabs>
          <w:tab w:val="left" w:pos="1510"/>
        </w:tabs>
        <w:jc w:val="both"/>
      </w:pPr>
      <w:r>
        <w:t xml:space="preserve">Ai fini dell’analisi condotta </w:t>
      </w:r>
      <w:r w:rsidR="00762F54">
        <w:t>sulla programmazione</w:t>
      </w:r>
      <w:r>
        <w:t xml:space="preserve"> italian</w:t>
      </w:r>
      <w:r w:rsidR="00762F54">
        <w:t>a,</w:t>
      </w:r>
      <w:r w:rsidR="003521AF">
        <w:t xml:space="preserve"> destano particolare interesse</w:t>
      </w:r>
      <w:r w:rsidR="00762F54">
        <w:t xml:space="preserve"> gli interventi </w:t>
      </w:r>
      <w:r w:rsidR="00EC2B68">
        <w:t xml:space="preserve">finalizzati al miglioramento </w:t>
      </w:r>
      <w:r w:rsidR="006F0222">
        <w:t>del sistema dual</w:t>
      </w:r>
      <w:r w:rsidR="00BD7DEE">
        <w:t>e</w:t>
      </w:r>
      <w:r w:rsidR="00277821">
        <w:t xml:space="preserve"> e </w:t>
      </w:r>
      <w:r w:rsidR="00D50EA9">
        <w:t>del sistema di formazione tecnico-professionale</w:t>
      </w:r>
      <w:r w:rsidR="008D10F3">
        <w:t xml:space="preserve">, quest’ultimo basato sulla riforma dei corsi IFTS (Istruzione </w:t>
      </w:r>
      <w:r w:rsidR="006F6565">
        <w:t xml:space="preserve">e formazione tecnica superiore) e gli ITS </w:t>
      </w:r>
      <w:r w:rsidR="00386EB8">
        <w:t>Academy (Istituti tecnologici superiori)</w:t>
      </w:r>
      <w:r w:rsidR="00CC2F0E">
        <w:t>.</w:t>
      </w:r>
    </w:p>
    <w:p w14:paraId="210AF940" w14:textId="0A4689C0" w:rsidR="00CC2F0E" w:rsidRPr="00B20EC0" w:rsidRDefault="00CC2F0E" w:rsidP="00B20EC0">
      <w:pPr>
        <w:pStyle w:val="Titolo5"/>
        <w:rPr>
          <w:b/>
          <w:bCs/>
          <w:i/>
          <w:iCs/>
          <w:color w:val="auto"/>
        </w:rPr>
      </w:pPr>
      <w:bookmarkStart w:id="12" w:name="_Toc137804223"/>
      <w:bookmarkStart w:id="13" w:name="_Toc137804279"/>
      <w:bookmarkStart w:id="14" w:name="_Toc137804450"/>
      <w:r w:rsidRPr="00B20EC0">
        <w:rPr>
          <w:b/>
          <w:bCs/>
          <w:i/>
          <w:iCs/>
          <w:color w:val="auto"/>
        </w:rPr>
        <w:t xml:space="preserve">La “via al duale” </w:t>
      </w:r>
      <w:r w:rsidR="00EF7974" w:rsidRPr="00B20EC0">
        <w:rPr>
          <w:b/>
          <w:bCs/>
          <w:i/>
          <w:iCs/>
          <w:color w:val="auto"/>
        </w:rPr>
        <w:t>europea</w:t>
      </w:r>
      <w:bookmarkEnd w:id="12"/>
      <w:bookmarkEnd w:id="13"/>
      <w:bookmarkEnd w:id="14"/>
    </w:p>
    <w:p w14:paraId="4E4C420F" w14:textId="084CEEA8" w:rsidR="00CC2F0E" w:rsidRDefault="001C43C8" w:rsidP="00905532">
      <w:pPr>
        <w:tabs>
          <w:tab w:val="left" w:pos="1510"/>
        </w:tabs>
        <w:jc w:val="both"/>
      </w:pPr>
      <w:r>
        <w:t>Al fine</w:t>
      </w:r>
      <w:r w:rsidR="00C95C02">
        <w:t xml:space="preserve"> di coniugare</w:t>
      </w:r>
      <w:r w:rsidR="00F81FA9">
        <w:t xml:space="preserve"> </w:t>
      </w:r>
      <w:r w:rsidR="00121A87">
        <w:t>formazione e lavoro,</w:t>
      </w:r>
      <w:r w:rsidR="005B234F">
        <w:t xml:space="preserve"> l</w:t>
      </w:r>
      <w:r w:rsidR="00345054">
        <w:t>e Istituzioni europee hanno da sempre posto particolare attenzione al</w:t>
      </w:r>
      <w:r w:rsidR="001424F0">
        <w:t xml:space="preserve"> contratto di apprendistato, </w:t>
      </w:r>
      <w:r w:rsidR="00B56613">
        <w:t xml:space="preserve">considerato uno strumento in grado di </w:t>
      </w:r>
      <w:r w:rsidR="00A67FDE">
        <w:t xml:space="preserve">sostenere il sistema educativo e </w:t>
      </w:r>
      <w:r w:rsidR="003536B0">
        <w:t xml:space="preserve">il mercato del </w:t>
      </w:r>
      <w:r w:rsidR="00107585">
        <w:t>lavoro di una Paese</w:t>
      </w:r>
      <w:r w:rsidR="00E86A2C">
        <w:t>. Si tratta di una tipologia contrattuale atipica</w:t>
      </w:r>
      <w:r w:rsidR="00B14E16">
        <w:t>, la cui atipicità risiede</w:t>
      </w:r>
      <w:r w:rsidR="004F0452">
        <w:t xml:space="preserve"> nella </w:t>
      </w:r>
      <w:r w:rsidR="004F0452">
        <w:rPr>
          <w:i/>
          <w:iCs/>
        </w:rPr>
        <w:t xml:space="preserve">causa </w:t>
      </w:r>
      <w:r w:rsidR="00B14E16">
        <w:t>del contratto, rappresentato non dalla prestazione lavorativ</w:t>
      </w:r>
      <w:r w:rsidR="0086522C">
        <w:t>a, ma</w:t>
      </w:r>
      <w:r w:rsidR="00B14E16">
        <w:t xml:space="preserve"> dall’attività formativa svolta durante tutto il periodo del</w:t>
      </w:r>
      <w:r w:rsidR="00400F67">
        <w:t xml:space="preserve"> rapporto</w:t>
      </w:r>
      <w:r w:rsidR="00B14E16">
        <w:t>.</w:t>
      </w:r>
      <w:r w:rsidR="005E59D5">
        <w:t xml:space="preserve"> </w:t>
      </w:r>
      <w:r w:rsidR="002E28B2">
        <w:t>A tal proposito, alcuni Paesi e</w:t>
      </w:r>
      <w:r w:rsidR="00A12382">
        <w:t>uropei</w:t>
      </w:r>
      <w:r w:rsidR="00ED1C0C">
        <w:t>:</w:t>
      </w:r>
      <w:r w:rsidR="00A12382">
        <w:t xml:space="preserve"> Austria, Svizzera e Germani</w:t>
      </w:r>
      <w:r w:rsidR="00E93720">
        <w:t>a</w:t>
      </w:r>
      <w:r w:rsidR="00A12382">
        <w:t xml:space="preserve"> (c.d. </w:t>
      </w:r>
      <w:r w:rsidR="00A12382">
        <w:rPr>
          <w:i/>
          <w:iCs/>
        </w:rPr>
        <w:t>apprenticeships co</w:t>
      </w:r>
      <w:r w:rsidR="00874CFA">
        <w:rPr>
          <w:i/>
          <w:iCs/>
        </w:rPr>
        <w:t>u</w:t>
      </w:r>
      <w:r w:rsidR="00A12382">
        <w:rPr>
          <w:i/>
          <w:iCs/>
        </w:rPr>
        <w:t>ntries</w:t>
      </w:r>
      <w:r w:rsidR="00261813">
        <w:rPr>
          <w:i/>
          <w:iCs/>
        </w:rPr>
        <w:t>)</w:t>
      </w:r>
      <w:r w:rsidR="00D93ED2">
        <w:rPr>
          <w:i/>
          <w:iCs/>
        </w:rPr>
        <w:t xml:space="preserve"> </w:t>
      </w:r>
      <w:r w:rsidR="00A8347A">
        <w:t>considerano tale tipologia contrattuale come una componente strutturale del proprio sistema educativo</w:t>
      </w:r>
      <w:r w:rsidR="00B73AC6">
        <w:t>,</w:t>
      </w:r>
      <w:r w:rsidR="003E7186">
        <w:t xml:space="preserve"> e sono riusci</w:t>
      </w:r>
      <w:r w:rsidR="00900BCF">
        <w:t xml:space="preserve">ti a mantenere relativamente bassi i tassi di disoccupazione giovanile anche durante </w:t>
      </w:r>
      <w:r w:rsidR="003E354B">
        <w:t>violente fasi recessive</w:t>
      </w:r>
      <w:r w:rsidR="00DE5D85">
        <w:t>.</w:t>
      </w:r>
      <w:r w:rsidR="00F416AB">
        <w:t xml:space="preserve"> Le aree in questione, a cui è possibile aggiungere la Francia negli ultimi anni</w:t>
      </w:r>
      <w:r w:rsidR="00C91772">
        <w:t>, si sono focalizzate sul miglioramento della qualità de</w:t>
      </w:r>
      <w:r w:rsidR="00845C03">
        <w:t xml:space="preserve">l sistema duale, </w:t>
      </w:r>
      <w:r w:rsidR="00DC0835">
        <w:t xml:space="preserve">ponendo particolare attenzione alla governance del sistema. </w:t>
      </w:r>
      <w:r w:rsidR="00DA77E3">
        <w:t>In seguito,</w:t>
      </w:r>
      <w:r w:rsidR="00364745">
        <w:t xml:space="preserve"> verranno analizzate le caratteriste del sistema tedesco, </w:t>
      </w:r>
      <w:r w:rsidR="00464485">
        <w:t>considerato come l’eccellenza eur</w:t>
      </w:r>
      <w:r w:rsidR="003F6B9C">
        <w:t>opea.</w:t>
      </w:r>
    </w:p>
    <w:p w14:paraId="208AF4B0" w14:textId="1A4C392C" w:rsidR="00081EBE" w:rsidRDefault="0083451F" w:rsidP="00905532">
      <w:pPr>
        <w:tabs>
          <w:tab w:val="left" w:pos="1510"/>
        </w:tabs>
        <w:jc w:val="both"/>
      </w:pPr>
      <w:r>
        <w:t>L’analisi dell’andamento dei sistemi duali europei</w:t>
      </w:r>
      <w:r w:rsidR="0013440B">
        <w:t xml:space="preserve"> (Inapp, 2022)</w:t>
      </w:r>
      <w:r>
        <w:t xml:space="preserve"> ha </w:t>
      </w:r>
      <w:r w:rsidR="00485DEA">
        <w:t>dimostrato come le strategie utilizzate siano state efficaci</w:t>
      </w:r>
      <w:r w:rsidR="00E17004">
        <w:t xml:space="preserve">, consentendo a tale strumento di preservare la propria attrattività, sia per </w:t>
      </w:r>
      <w:r w:rsidR="00946E8E">
        <w:t>i giovani che per le imprese</w:t>
      </w:r>
      <w:r w:rsidR="00425EA8">
        <w:t>.</w:t>
      </w:r>
      <w:r w:rsidR="00A54404">
        <w:t xml:space="preserve"> È importante sottolineare </w:t>
      </w:r>
      <w:r w:rsidR="00CC6E41">
        <w:t xml:space="preserve">un fattore limitante i vantaggi dell’apprendistato; infatti, </w:t>
      </w:r>
      <w:r w:rsidR="00013C8A">
        <w:t>si assiste</w:t>
      </w:r>
      <w:r w:rsidR="002555F0">
        <w:t>,</w:t>
      </w:r>
      <w:r w:rsidR="00371430">
        <w:t xml:space="preserve"> </w:t>
      </w:r>
      <w:r w:rsidR="0084587D">
        <w:t>in tutti i Paesi membri</w:t>
      </w:r>
      <w:r w:rsidR="00527F6C">
        <w:t>,</w:t>
      </w:r>
      <w:r w:rsidR="00013C8A">
        <w:t xml:space="preserve"> ad una progressiva riduzione delle capacità del</w:t>
      </w:r>
      <w:r w:rsidR="006738E1">
        <w:t xml:space="preserve"> dispositivo di promuovere la formazione e l’inserimento nel mercato del lavoro</w:t>
      </w:r>
      <w:r w:rsidR="00771376">
        <w:t xml:space="preserve"> </w:t>
      </w:r>
      <w:r w:rsidR="00202D28">
        <w:t>per i</w:t>
      </w:r>
      <w:r w:rsidR="00B06AF3">
        <w:t xml:space="preserve"> soggetti più svantaggiati </w:t>
      </w:r>
      <w:r w:rsidR="00B30873">
        <w:t>(le donne rimangono una quota minoritaria</w:t>
      </w:r>
      <w:r w:rsidR="00BE6AD4">
        <w:t xml:space="preserve"> e i giovani con un passato migratorio riscontrano maggiori difficoltà)</w:t>
      </w:r>
      <w:r w:rsidR="0013440B">
        <w:t>.</w:t>
      </w:r>
    </w:p>
    <w:p w14:paraId="10CACFFF" w14:textId="5EE86294" w:rsidR="000E33A4" w:rsidRPr="00B20EC0" w:rsidRDefault="000E33A4" w:rsidP="00B20EC0">
      <w:pPr>
        <w:pStyle w:val="Titolo6"/>
        <w:rPr>
          <w:b/>
          <w:bCs/>
          <w:i/>
          <w:iCs/>
          <w:color w:val="auto"/>
        </w:rPr>
      </w:pPr>
      <w:bookmarkStart w:id="15" w:name="_Toc137804224"/>
      <w:bookmarkStart w:id="16" w:name="_Toc137804280"/>
      <w:bookmarkStart w:id="17" w:name="_Toc137804451"/>
      <w:r w:rsidRPr="00B20EC0">
        <w:rPr>
          <w:b/>
          <w:bCs/>
          <w:i/>
          <w:iCs/>
          <w:color w:val="auto"/>
        </w:rPr>
        <w:t>Il caso tedesco</w:t>
      </w:r>
      <w:bookmarkEnd w:id="15"/>
      <w:bookmarkEnd w:id="16"/>
      <w:bookmarkEnd w:id="17"/>
    </w:p>
    <w:p w14:paraId="7C1585DD" w14:textId="1AE85EEE" w:rsidR="003F6B9C" w:rsidRDefault="00040785" w:rsidP="00905532">
      <w:pPr>
        <w:tabs>
          <w:tab w:val="left" w:pos="1510"/>
        </w:tabs>
        <w:jc w:val="both"/>
      </w:pPr>
      <w:r>
        <w:t>L’analisi del sistema tedesco necessita di una premessa</w:t>
      </w:r>
      <w:r w:rsidR="004703CE">
        <w:t>:</w:t>
      </w:r>
      <w:r>
        <w:t xml:space="preserve"> da sempre la Germania </w:t>
      </w:r>
      <w:r w:rsidR="00EB1FA9">
        <w:t>ha posto particolare attenzione al sistema duale come strumento</w:t>
      </w:r>
      <w:r w:rsidR="00DB18D3">
        <w:t xml:space="preserve"> volto, non solo </w:t>
      </w:r>
      <w:r w:rsidR="00815220">
        <w:t>al</w:t>
      </w:r>
      <w:r w:rsidR="00DB18D3">
        <w:t xml:space="preserve"> raggiung</w:t>
      </w:r>
      <w:r w:rsidR="00815220">
        <w:t xml:space="preserve">imento di </w:t>
      </w:r>
      <w:r w:rsidR="00DB18D3">
        <w:t xml:space="preserve">un’elevata occupazione giovanile, </w:t>
      </w:r>
      <w:r w:rsidR="00F51340">
        <w:t>ma anche alla promozione della crescita economica e</w:t>
      </w:r>
      <w:r w:rsidR="004703CE">
        <w:t xml:space="preserve"> la </w:t>
      </w:r>
      <w:r w:rsidR="00F51340">
        <w:t>coesione social</w:t>
      </w:r>
      <w:r w:rsidR="00C66D54">
        <w:t>e; l</w:t>
      </w:r>
      <w:r w:rsidR="002F0231">
        <w:t>’efficacia e</w:t>
      </w:r>
      <w:r w:rsidR="002E6AA7">
        <w:t>d i</w:t>
      </w:r>
      <w:r w:rsidR="002F0231">
        <w:t xml:space="preserve"> fini “superiori”</w:t>
      </w:r>
      <w:r w:rsidR="00C66D54">
        <w:t>,</w:t>
      </w:r>
      <w:r w:rsidR="002F0231">
        <w:t xml:space="preserve"> rendono</w:t>
      </w:r>
      <w:r w:rsidR="00C66D54">
        <w:t xml:space="preserve"> il sistema</w:t>
      </w:r>
      <w:r w:rsidR="000023CC">
        <w:t xml:space="preserve"> </w:t>
      </w:r>
      <w:r w:rsidR="002F0231">
        <w:t>u</w:t>
      </w:r>
      <w:r w:rsidR="000023CC">
        <w:t xml:space="preserve">n </w:t>
      </w:r>
      <w:r w:rsidR="002F0231">
        <w:t xml:space="preserve">punto di riferimento per tutti </w:t>
      </w:r>
      <w:r w:rsidR="000023CC">
        <w:t>i Paesi europei</w:t>
      </w:r>
      <w:r w:rsidR="002E6AA7">
        <w:t xml:space="preserve"> </w:t>
      </w:r>
      <w:r w:rsidR="00A354D8">
        <w:t xml:space="preserve">e </w:t>
      </w:r>
      <w:r w:rsidR="00DA77E3">
        <w:t>no</w:t>
      </w:r>
      <w:r w:rsidR="008C4318">
        <w:t>n solo</w:t>
      </w:r>
      <w:r w:rsidR="00A354D8">
        <w:t xml:space="preserve">. </w:t>
      </w:r>
    </w:p>
    <w:p w14:paraId="2F711B7B" w14:textId="182A8F30" w:rsidR="00AA4724" w:rsidRDefault="00B80BC2" w:rsidP="00905532">
      <w:pPr>
        <w:tabs>
          <w:tab w:val="left" w:pos="1510"/>
        </w:tabs>
        <w:jc w:val="both"/>
      </w:pPr>
      <w:r>
        <w:t xml:space="preserve">Per quanto concerne la </w:t>
      </w:r>
      <w:r>
        <w:rPr>
          <w:i/>
          <w:iCs/>
        </w:rPr>
        <w:t xml:space="preserve">governance </w:t>
      </w:r>
      <w:r>
        <w:t>del sistema,</w:t>
      </w:r>
      <w:r w:rsidR="00AE42AD">
        <w:t xml:space="preserve"> è importante sottolineare che</w:t>
      </w:r>
      <w:r>
        <w:t xml:space="preserve"> </w:t>
      </w:r>
      <w:r w:rsidR="00000118">
        <w:t>la Germani</w:t>
      </w:r>
      <w:r w:rsidR="00AE42AD">
        <w:t xml:space="preserve">a </w:t>
      </w:r>
      <w:r w:rsidR="00000118">
        <w:t xml:space="preserve">è una repubblica federale parlamentare composta da 16 </w:t>
      </w:r>
      <w:r w:rsidR="00000118" w:rsidRPr="00000118">
        <w:t>Länder</w:t>
      </w:r>
      <w:r w:rsidR="00000118">
        <w:t xml:space="preserve"> e tre città-Stato caratterizzate da una forte autonomia. Nonostante</w:t>
      </w:r>
      <w:r w:rsidR="00C41E12">
        <w:t xml:space="preserve"> </w:t>
      </w:r>
      <w:r w:rsidR="00905C01">
        <w:t xml:space="preserve">la materia dell’istruzione e della formazione professionale sia regolata dai singoli Länder, </w:t>
      </w:r>
      <w:r w:rsidR="009C65B8">
        <w:t>la regolazione e il coordinamento del sistema duale spettano all</w:t>
      </w:r>
      <w:r w:rsidR="00A52829">
        <w:t>e autorità federali</w:t>
      </w:r>
      <w:r w:rsidR="00DB13C0">
        <w:t>.</w:t>
      </w:r>
      <w:r w:rsidR="00A44613">
        <w:t xml:space="preserve"> La struttur</w:t>
      </w:r>
      <w:r w:rsidR="005B584E">
        <w:t>a del sistema duale è formata da numero</w:t>
      </w:r>
      <w:r w:rsidR="003B28FE">
        <w:t>si partecipa</w:t>
      </w:r>
      <w:r w:rsidR="00D27026">
        <w:t>n</w:t>
      </w:r>
      <w:r w:rsidR="003B28FE">
        <w:t xml:space="preserve">ti, tutti </w:t>
      </w:r>
      <w:r w:rsidR="007862E2">
        <w:t>associati a chiare responsabilità</w:t>
      </w:r>
      <w:r w:rsidR="008C449F">
        <w:t xml:space="preserve">: il </w:t>
      </w:r>
      <w:r w:rsidR="008C449F" w:rsidRPr="00A006BA">
        <w:rPr>
          <w:i/>
          <w:iCs/>
        </w:rPr>
        <w:t>Ministero dell’</w:t>
      </w:r>
      <w:r w:rsidR="005477E8" w:rsidRPr="00A006BA">
        <w:rPr>
          <w:i/>
          <w:iCs/>
        </w:rPr>
        <w:t>I</w:t>
      </w:r>
      <w:r w:rsidR="008C449F" w:rsidRPr="00A006BA">
        <w:rPr>
          <w:i/>
          <w:iCs/>
        </w:rPr>
        <w:t>struzione e della Ricerc</w:t>
      </w:r>
      <w:r w:rsidR="00C12521" w:rsidRPr="00A006BA">
        <w:rPr>
          <w:i/>
          <w:iCs/>
        </w:rPr>
        <w:t>a</w:t>
      </w:r>
      <w:r w:rsidR="00C9685D">
        <w:t xml:space="preserve">, </w:t>
      </w:r>
      <w:r w:rsidR="00C12521">
        <w:t>svolge un ruolo di coord</w:t>
      </w:r>
      <w:r w:rsidR="0073400C">
        <w:t xml:space="preserve">inamento; </w:t>
      </w:r>
      <w:r w:rsidR="009B2B33">
        <w:t>ai</w:t>
      </w:r>
      <w:r w:rsidR="0073400C">
        <w:t xml:space="preserve"> </w:t>
      </w:r>
      <w:r w:rsidR="0073400C" w:rsidRPr="00A006BA">
        <w:rPr>
          <w:i/>
          <w:iCs/>
        </w:rPr>
        <w:t>Ministri per l’Istruzione e la Cultura</w:t>
      </w:r>
      <w:r w:rsidR="0090667F">
        <w:rPr>
          <w:i/>
          <w:iCs/>
        </w:rPr>
        <w:t xml:space="preserve"> </w:t>
      </w:r>
      <w:r w:rsidR="0090667F">
        <w:t>dei singoli</w:t>
      </w:r>
      <w:r w:rsidR="0090667F" w:rsidRPr="0090667F">
        <w:t xml:space="preserve"> </w:t>
      </w:r>
      <w:r w:rsidR="0090667F" w:rsidRPr="00000118">
        <w:t>Länder</w:t>
      </w:r>
      <w:r w:rsidR="00305325">
        <w:t>,</w:t>
      </w:r>
      <w:r w:rsidR="009B2B33">
        <w:t xml:space="preserve"> </w:t>
      </w:r>
      <w:r w:rsidR="00305325">
        <w:t>è delegata la responsabilità del buon funzionamento delle scuole professionali e il loro finanziamento</w:t>
      </w:r>
      <w:r w:rsidR="00BD60EE">
        <w:t xml:space="preserve">; il </w:t>
      </w:r>
      <w:r w:rsidR="00BD60EE" w:rsidRPr="00A006BA">
        <w:rPr>
          <w:i/>
          <w:iCs/>
        </w:rPr>
        <w:t>Comitato per l’Istruzione e la formazione professionale</w:t>
      </w:r>
      <w:r w:rsidR="00693290">
        <w:t>,</w:t>
      </w:r>
      <w:r w:rsidR="009B2B33">
        <w:t xml:space="preserve"> </w:t>
      </w:r>
      <w:r w:rsidR="00693290">
        <w:t>assicura una sede di confronto e collaborazione tra le</w:t>
      </w:r>
      <w:r w:rsidR="00DB7362">
        <w:t xml:space="preserve"> Autorità federali e i singoli Länder</w:t>
      </w:r>
      <w:r w:rsidR="004A179D">
        <w:t>;</w:t>
      </w:r>
      <w:r w:rsidR="00AA4724">
        <w:t xml:space="preserve"> </w:t>
      </w:r>
      <w:r w:rsidR="0028747B">
        <w:t xml:space="preserve">i </w:t>
      </w:r>
      <w:r w:rsidR="0028747B" w:rsidRPr="00A006BA">
        <w:rPr>
          <w:i/>
          <w:iCs/>
        </w:rPr>
        <w:t>Consigli Regionali</w:t>
      </w:r>
      <w:r w:rsidR="0028747B">
        <w:t xml:space="preserve">, composti da rappresentati dei datori </w:t>
      </w:r>
      <w:r w:rsidR="00DA170A">
        <w:t>di lavoro e dei lavoratori</w:t>
      </w:r>
      <w:r w:rsidR="00AA4724">
        <w:t xml:space="preserve">; </w:t>
      </w:r>
      <w:r w:rsidR="00AA4724">
        <w:lastRenderedPageBreak/>
        <w:t>e infine</w:t>
      </w:r>
      <w:r w:rsidR="00662D0C">
        <w:t>,</w:t>
      </w:r>
      <w:r w:rsidR="00042057">
        <w:t xml:space="preserve"> gli </w:t>
      </w:r>
      <w:r w:rsidR="00042057" w:rsidRPr="00A006BA">
        <w:rPr>
          <w:i/>
          <w:iCs/>
        </w:rPr>
        <w:t>Organismi competenti</w:t>
      </w:r>
      <w:r w:rsidR="0051445B">
        <w:t xml:space="preserve"> (generalmente la Camere dell’Industria e del Commercio, dell’Artigianato</w:t>
      </w:r>
      <w:r w:rsidR="007343BE">
        <w:t xml:space="preserve"> e dell’Agricoltura)</w:t>
      </w:r>
      <w:r w:rsidR="00042057">
        <w:t xml:space="preserve">, che hanno un ruolo centrale nell’assicurare il buon funzionamento del sistema, </w:t>
      </w:r>
      <w:r w:rsidR="00994969">
        <w:t xml:space="preserve">verificando </w:t>
      </w:r>
      <w:r w:rsidR="00B154C3">
        <w:t xml:space="preserve">tutti gli adempimenti </w:t>
      </w:r>
      <w:r w:rsidR="00994969">
        <w:t xml:space="preserve">delle imprese accreditate. </w:t>
      </w:r>
      <w:r w:rsidR="001E0827">
        <w:t>A moni</w:t>
      </w:r>
      <w:r w:rsidR="00833BCF">
        <w:t>torare il sistema con cadenza annuale</w:t>
      </w:r>
      <w:r w:rsidR="00315779">
        <w:t xml:space="preserve"> è </w:t>
      </w:r>
      <w:r w:rsidR="00315779" w:rsidRPr="00152FA0">
        <w:rPr>
          <w:i/>
          <w:iCs/>
        </w:rPr>
        <w:t>l’Istituto federale per l’istruzione e la formazione professionale</w:t>
      </w:r>
      <w:r w:rsidR="00BA146F">
        <w:t xml:space="preserve"> (BIBB), nel cui C.D.A. </w:t>
      </w:r>
      <w:r w:rsidR="00852493">
        <w:t>presiedono i rappresentati di tutte le parti coinvolte nel sistema duale.</w:t>
      </w:r>
    </w:p>
    <w:p w14:paraId="540C6D4F" w14:textId="1F580263" w:rsidR="00BF4EB0" w:rsidRDefault="00E020A0" w:rsidP="00905532">
      <w:pPr>
        <w:tabs>
          <w:tab w:val="left" w:pos="1510"/>
        </w:tabs>
        <w:jc w:val="both"/>
      </w:pPr>
      <w:r>
        <w:t xml:space="preserve">La descrizione del sistema mette in evidenza </w:t>
      </w:r>
      <w:r w:rsidR="00B4010A">
        <w:t>l’importanza che la Germani</w:t>
      </w:r>
      <w:r w:rsidR="00152FA0">
        <w:t>a</w:t>
      </w:r>
      <w:r w:rsidR="00B4010A">
        <w:t xml:space="preserve"> conferisce alla partecipazione dei lavoratori </w:t>
      </w:r>
      <w:r w:rsidR="008E6C0D">
        <w:t xml:space="preserve">e delle imprese; infatti, è proprio il consenso tra tutti gli </w:t>
      </w:r>
      <w:r w:rsidR="008E6C0D">
        <w:rPr>
          <w:i/>
          <w:iCs/>
        </w:rPr>
        <w:t>stake</w:t>
      </w:r>
      <w:r w:rsidR="0030705B">
        <w:rPr>
          <w:i/>
          <w:iCs/>
        </w:rPr>
        <w:t>holder</w:t>
      </w:r>
      <w:r w:rsidR="0030705B">
        <w:t xml:space="preserve"> che sostiene e avvalora il </w:t>
      </w:r>
      <w:r w:rsidR="00134A2C">
        <w:t>“meccanismo”</w:t>
      </w:r>
      <w:r w:rsidR="0030705B">
        <w:t>.</w:t>
      </w:r>
      <w:r w:rsidR="00DB368C">
        <w:t xml:space="preserve"> Molteplici sono i punti di forza che giustificano </w:t>
      </w:r>
      <w:r w:rsidR="007D252D">
        <w:t xml:space="preserve">l’ottima reputazione di cui esso gode a livello internazionale. </w:t>
      </w:r>
      <w:r w:rsidR="007160DA">
        <w:t>Grazie</w:t>
      </w:r>
      <w:r w:rsidR="00C71E99">
        <w:t xml:space="preserve"> </w:t>
      </w:r>
      <w:r w:rsidR="007160DA">
        <w:t>ad una gestione coordinata</w:t>
      </w:r>
      <w:r w:rsidR="003C251B">
        <w:t xml:space="preserve"> e una fertile collaborazione</w:t>
      </w:r>
      <w:r w:rsidR="008E5C87">
        <w:t xml:space="preserve"> a livell</w:t>
      </w:r>
      <w:r w:rsidR="005A0F2F">
        <w:t xml:space="preserve">o </w:t>
      </w:r>
      <w:r w:rsidR="008E5C87">
        <w:t xml:space="preserve">federale, regionale, comunale e aziendale, </w:t>
      </w:r>
      <w:r w:rsidR="007123C1">
        <w:t xml:space="preserve">il sistema è in grado di raggiungere obiettivi educativi ed economici più </w:t>
      </w:r>
      <w:r w:rsidR="00F2537D">
        <w:t>estesi</w:t>
      </w:r>
      <w:r w:rsidR="007123C1">
        <w:t>, coerenti con le esigenze dell’intero sistema produttivo</w:t>
      </w:r>
      <w:r w:rsidR="00194864">
        <w:t>.</w:t>
      </w:r>
      <w:r w:rsidR="00B95851">
        <w:t xml:space="preserve"> Un</w:t>
      </w:r>
      <w:r w:rsidR="001B0077">
        <w:t xml:space="preserve"> grande </w:t>
      </w:r>
      <w:r w:rsidR="00B95851">
        <w:t>punto</w:t>
      </w:r>
      <w:r w:rsidR="001B0077">
        <w:t xml:space="preserve"> di forza </w:t>
      </w:r>
      <w:r w:rsidR="00B95851">
        <w:t>su cui è necessario focalizzarsi</w:t>
      </w:r>
      <w:r w:rsidR="000505B7">
        <w:t xml:space="preserve"> è l’eterogeneità </w:t>
      </w:r>
      <w:r w:rsidR="00E673A3">
        <w:t>dei profili che il sistema mette a disposizione</w:t>
      </w:r>
      <w:r w:rsidR="00FA689A">
        <w:t>;</w:t>
      </w:r>
      <w:r w:rsidR="00E673A3">
        <w:t xml:space="preserve"> ciò permette di </w:t>
      </w:r>
      <w:r w:rsidR="00891C2B">
        <w:t>rispondere alle</w:t>
      </w:r>
      <w:r w:rsidR="009C1B07">
        <w:t xml:space="preserve"> diverse esigenze di coloro che abbandonano un percorso di istruzione,</w:t>
      </w:r>
      <w:r w:rsidR="00765B2E">
        <w:t xml:space="preserve"> ma soprattutto, conferisce ai giovani la possibilità </w:t>
      </w:r>
      <w:r w:rsidR="007D0D9A">
        <w:t xml:space="preserve">di costruire la propria personalità </w:t>
      </w:r>
      <w:r w:rsidR="00FE1051">
        <w:t>di adulti, con nuove responsabilità e maggiore autonomia</w:t>
      </w:r>
      <w:r w:rsidR="0021659C">
        <w:t>, quest’ultima</w:t>
      </w:r>
      <w:r w:rsidR="00FE1051">
        <w:t xml:space="preserve"> derivante </w:t>
      </w:r>
      <w:r w:rsidR="005D6679">
        <w:t xml:space="preserve">dalla remunerazione ricevuta per il loro lavoro. </w:t>
      </w:r>
      <w:r w:rsidR="009D6896">
        <w:t xml:space="preserve">Tutto ciò </w:t>
      </w:r>
      <w:r w:rsidR="00AC460C">
        <w:t>è rafforzato d</w:t>
      </w:r>
      <w:r w:rsidR="009D6896">
        <w:t xml:space="preserve">alla fiducia che le </w:t>
      </w:r>
      <w:r w:rsidR="00605A81">
        <w:t xml:space="preserve">imprese nazionali nutrono </w:t>
      </w:r>
      <w:r w:rsidR="00CE090F">
        <w:t>nei confronti del sistema</w:t>
      </w:r>
      <w:r w:rsidR="007772AE">
        <w:t xml:space="preserve"> per investire </w:t>
      </w:r>
      <w:r w:rsidR="00B370A8">
        <w:t xml:space="preserve">in formazione, spinte </w:t>
      </w:r>
      <w:r w:rsidR="00E54881">
        <w:t xml:space="preserve">da motivazioni di responsabilità sociale d’impresa più che meramente economiche. </w:t>
      </w:r>
    </w:p>
    <w:p w14:paraId="2AA5913A" w14:textId="39C192EF" w:rsidR="005E566C" w:rsidRPr="00085D17" w:rsidRDefault="00EF086F" w:rsidP="00905532">
      <w:pPr>
        <w:tabs>
          <w:tab w:val="left" w:pos="1510"/>
        </w:tabs>
        <w:jc w:val="both"/>
      </w:pPr>
      <w:r>
        <w:t xml:space="preserve">Le </w:t>
      </w:r>
      <w:r w:rsidR="00B449B1">
        <w:t xml:space="preserve">caratteristiche poc’anzi citate permettono di concludere sulla coerenza </w:t>
      </w:r>
      <w:r w:rsidR="004A56AB">
        <w:t xml:space="preserve">con le strategie europee, con riferimento specifico al </w:t>
      </w:r>
      <w:r w:rsidR="003454E8">
        <w:t xml:space="preserve">primo principio del </w:t>
      </w:r>
      <w:r w:rsidR="003454E8" w:rsidRPr="009D5E9C">
        <w:rPr>
          <w:i/>
          <w:iCs/>
        </w:rPr>
        <w:t xml:space="preserve">Pilastro Europeo per </w:t>
      </w:r>
      <w:r w:rsidR="009D5E9C" w:rsidRPr="009D5E9C">
        <w:rPr>
          <w:i/>
          <w:iCs/>
        </w:rPr>
        <w:t>i Diritti Sociali</w:t>
      </w:r>
      <w:r w:rsidR="009D5E9C">
        <w:rPr>
          <w:i/>
          <w:iCs/>
        </w:rPr>
        <w:t>.</w:t>
      </w:r>
      <w:r w:rsidR="00724C65">
        <w:rPr>
          <w:i/>
          <w:iCs/>
        </w:rPr>
        <w:t xml:space="preserve"> </w:t>
      </w:r>
      <w:r w:rsidR="005E566C">
        <w:t xml:space="preserve">Le qualità del sistema tedesco hanno spinto alcuni </w:t>
      </w:r>
      <w:r w:rsidR="007276B5">
        <w:t>ricercatori ad affermare l’inesistenza di punti deboli</w:t>
      </w:r>
      <w:r w:rsidR="007B321A">
        <w:t>, ma solo</w:t>
      </w:r>
      <w:r w:rsidR="00A00B9A">
        <w:t xml:space="preserve"> di</w:t>
      </w:r>
      <w:r w:rsidR="007B321A">
        <w:t xml:space="preserve"> sfide da affrontare nel prossimo futuro</w:t>
      </w:r>
      <w:r w:rsidR="00BE2FE3">
        <w:t>, tra cui</w:t>
      </w:r>
      <w:r w:rsidR="00D67E51">
        <w:t>: la</w:t>
      </w:r>
      <w:r w:rsidR="00BE2FE3">
        <w:t xml:space="preserve"> riduzione della complessità del sistema</w:t>
      </w:r>
      <w:r w:rsidR="00D67E51">
        <w:t>,</w:t>
      </w:r>
      <w:r w:rsidR="00BE2FE3">
        <w:t xml:space="preserve"> l’innovazione </w:t>
      </w:r>
      <w:r w:rsidR="006A68F7">
        <w:t xml:space="preserve">tecnologica e </w:t>
      </w:r>
      <w:r w:rsidR="00D67E51">
        <w:t>l’aggiornamento dei profili.</w:t>
      </w:r>
      <w:r w:rsidR="00A12BB2">
        <w:t xml:space="preserve"> Altri studiosi hanno riscontrato alcune criticità</w:t>
      </w:r>
      <w:r w:rsidR="00D91141">
        <w:t xml:space="preserve"> nel sistema tedesco, seppur si tratti di </w:t>
      </w:r>
      <w:r w:rsidR="008E2EAA">
        <w:t xml:space="preserve">fattori condivisi con gli altri Paesi europei all’avanguardia </w:t>
      </w:r>
      <w:r w:rsidR="00C0461E">
        <w:t>in materia di formazione</w:t>
      </w:r>
      <w:r w:rsidR="00487ECA">
        <w:t xml:space="preserve"> (ad esempio, Austria e Svezia). Tra i principali pro</w:t>
      </w:r>
      <w:r w:rsidR="002330B3">
        <w:t xml:space="preserve">blemi citati, vi sono: il </w:t>
      </w:r>
      <w:r w:rsidR="002330B3">
        <w:rPr>
          <w:i/>
          <w:iCs/>
        </w:rPr>
        <w:t>mismatch</w:t>
      </w:r>
      <w:r w:rsidR="0038018A">
        <w:rPr>
          <w:i/>
          <w:iCs/>
        </w:rPr>
        <w:t xml:space="preserve"> </w:t>
      </w:r>
      <w:r w:rsidR="00582BEE">
        <w:t>tra domanda e offerta di profili, radicato in alcuni territori, come la regione del Reno-Westfalia Settentrionale</w:t>
      </w:r>
      <w:r w:rsidR="00B55D6E">
        <w:t xml:space="preserve"> (Granato et al. 2018)</w:t>
      </w:r>
      <w:r w:rsidR="00582BEE">
        <w:t xml:space="preserve">; l’effetto spiazzamento “esercitato” dai </w:t>
      </w:r>
      <w:r w:rsidR="00F50969">
        <w:t>giovani in possesso di titolo di studio superiore rispetto alle categorie più svantaggiate</w:t>
      </w:r>
      <w:r w:rsidR="00085D17">
        <w:t xml:space="preserve"> (Solga </w:t>
      </w:r>
      <w:r w:rsidR="00085D17">
        <w:rPr>
          <w:i/>
          <w:iCs/>
        </w:rPr>
        <w:t>et al.2014);</w:t>
      </w:r>
      <w:r w:rsidR="00085D17">
        <w:t xml:space="preserve"> </w:t>
      </w:r>
      <w:r w:rsidR="00754990">
        <w:t>e i risultati alquanto modesti dei studenti e gli apprendisti di origine straniera</w:t>
      </w:r>
      <w:r w:rsidR="00576CBA">
        <w:t xml:space="preserve">, quest’ultimo è un aspetto particolarmente rilevante per la </w:t>
      </w:r>
      <w:r w:rsidR="00F94162">
        <w:t xml:space="preserve">Repubblica </w:t>
      </w:r>
      <w:r w:rsidR="00517B2B">
        <w:t>Federale di Germania</w:t>
      </w:r>
      <w:r w:rsidR="007725E0">
        <w:t>,</w:t>
      </w:r>
      <w:r w:rsidR="00517B2B">
        <w:t xml:space="preserve"> dato che 20,8 milioni di persone hanno un</w:t>
      </w:r>
      <w:r w:rsidR="00F3314D">
        <w:t>a storia di immigrazione (Statistisches Bundesamt 2019)</w:t>
      </w:r>
      <w:r w:rsidR="00414F29">
        <w:t>.</w:t>
      </w:r>
    </w:p>
    <w:p w14:paraId="2B4AEC6E" w14:textId="2FF23BCD" w:rsidR="00311193" w:rsidRPr="00B20EC0" w:rsidRDefault="00E737D4" w:rsidP="00B20EC0">
      <w:pPr>
        <w:pStyle w:val="Titolo7"/>
        <w:rPr>
          <w:color w:val="auto"/>
        </w:rPr>
      </w:pPr>
      <w:bookmarkStart w:id="18" w:name="_Toc137804225"/>
      <w:bookmarkStart w:id="19" w:name="_Toc137804281"/>
      <w:bookmarkStart w:id="20" w:name="_Toc137804452"/>
      <w:r w:rsidRPr="00B20EC0">
        <w:rPr>
          <w:b/>
          <w:bCs/>
          <w:color w:val="auto"/>
        </w:rPr>
        <w:t xml:space="preserve">La </w:t>
      </w:r>
      <w:r w:rsidR="008A25D3" w:rsidRPr="00B20EC0">
        <w:rPr>
          <w:b/>
          <w:bCs/>
          <w:color w:val="auto"/>
        </w:rPr>
        <w:t>“via italiana” al sistema duale</w:t>
      </w:r>
      <w:bookmarkEnd w:id="18"/>
      <w:bookmarkEnd w:id="19"/>
      <w:bookmarkEnd w:id="20"/>
      <w:r w:rsidR="00091F78" w:rsidRPr="00B20EC0">
        <w:rPr>
          <w:color w:val="auto"/>
        </w:rPr>
        <w:t xml:space="preserve">                                                     </w:t>
      </w:r>
    </w:p>
    <w:p w14:paraId="19F51D28" w14:textId="6A9CE2A1" w:rsidR="00D25461" w:rsidRDefault="00D25461" w:rsidP="00905532">
      <w:pPr>
        <w:tabs>
          <w:tab w:val="left" w:pos="1510"/>
        </w:tabs>
        <w:jc w:val="both"/>
      </w:pPr>
      <w:r>
        <w:t>Anche l’Italia si è impegnata</w:t>
      </w:r>
      <w:r w:rsidR="009C2851">
        <w:t xml:space="preserve"> nel rivitalizzare il proprio sistema di apprendistato, </w:t>
      </w:r>
      <w:r w:rsidR="0092389F">
        <w:t xml:space="preserve">anche se le decisioni prese divergono da quelle adottate dai principali </w:t>
      </w:r>
      <w:r w:rsidR="0082631D">
        <w:t xml:space="preserve">Paesi europei. Infatti, nella Penisola italica non </w:t>
      </w:r>
      <w:r w:rsidR="00B94AB4">
        <w:t>sono stati intrapres</w:t>
      </w:r>
      <w:r w:rsidR="00F91101">
        <w:t>e attività volte ad omogen</w:t>
      </w:r>
      <w:r w:rsidR="006C3382">
        <w:t>ei</w:t>
      </w:r>
      <w:r w:rsidR="00F91101">
        <w:t xml:space="preserve">zzare il </w:t>
      </w:r>
      <w:r w:rsidR="006C3382">
        <w:t xml:space="preserve">sistema a livello nazionale, corroborando </w:t>
      </w:r>
      <w:r w:rsidR="00AA7850">
        <w:t>l</w:t>
      </w:r>
      <w:r w:rsidR="006C3382">
        <w:t xml:space="preserve">a già presente </w:t>
      </w:r>
      <w:r w:rsidR="00AA7850">
        <w:t>disparità territorial</w:t>
      </w:r>
      <w:r w:rsidR="0042751D">
        <w:t>e.</w:t>
      </w:r>
    </w:p>
    <w:p w14:paraId="6DCA1934" w14:textId="6769A1A8" w:rsidR="005A29DF" w:rsidRDefault="009E1329" w:rsidP="00905532">
      <w:pPr>
        <w:tabs>
          <w:tab w:val="left" w:pos="1510"/>
        </w:tabs>
        <w:jc w:val="both"/>
      </w:pPr>
      <w:r>
        <w:t xml:space="preserve">Per quanto concerne la </w:t>
      </w:r>
      <w:r>
        <w:rPr>
          <w:i/>
          <w:iCs/>
        </w:rPr>
        <w:t>governance</w:t>
      </w:r>
      <w:r>
        <w:t xml:space="preserve"> del sistema duale italiano, la riforma del 2018 non ha apportato nessuna modifica, permane una struttura multilivello compost</w:t>
      </w:r>
      <w:r w:rsidR="001115C4">
        <w:t>a</w:t>
      </w:r>
      <w:r>
        <w:t xml:space="preserve"> dal Ministero del Lavoro e delle politiche sociali, il Ministero dell’Istruzione e del Merito, le Regioni e le Province Autonome di Trento e Bolzano e le Part</w:t>
      </w:r>
      <w:r w:rsidR="009E2309">
        <w:t>i</w:t>
      </w:r>
      <w:r>
        <w:t xml:space="preserve"> sociali. Le Autorità nazionali definiscono gli standard formativi, monitorano e valutano le strategie adottate e gli obiettivi raggiunti. Le Regioni godono della potestà legislativa esclusiva in materia di formazione professionale e concorrente in materia di istruzione.</w:t>
      </w:r>
      <w:r w:rsidR="00455C76">
        <w:t xml:space="preserve"> </w:t>
      </w:r>
      <w:r w:rsidR="00F41124">
        <w:t>L’It</w:t>
      </w:r>
      <w:r w:rsidR="00985016">
        <w:t xml:space="preserve">alia si è ispirata al modello tedesco, </w:t>
      </w:r>
      <w:r w:rsidR="00546341">
        <w:t xml:space="preserve">intraprendendo misure di policy </w:t>
      </w:r>
      <w:r w:rsidR="00316E1E">
        <w:t>volte a</w:t>
      </w:r>
      <w:r w:rsidR="001A2BCB">
        <w:t xml:space="preserve"> miglioramento dei percorsi leFP, l’alternanza scuola-lavoro e </w:t>
      </w:r>
      <w:r w:rsidR="00426C13">
        <w:t>l’impresa simulata.</w:t>
      </w:r>
      <w:r w:rsidR="0032651A">
        <w:t xml:space="preserve"> </w:t>
      </w:r>
      <w:r w:rsidR="00C20EEB">
        <w:t>Iniziative volte ad un duplice obiettivo: la riduzione del numero dei giovani che non lavorano e non studiano</w:t>
      </w:r>
      <w:r w:rsidR="004942F7">
        <w:t xml:space="preserve"> e il rafforzamento della formazione esperienziale.</w:t>
      </w:r>
      <w:r w:rsidR="00690428">
        <w:t xml:space="preserve"> </w:t>
      </w:r>
      <w:r w:rsidR="00BF309A">
        <w:t>Rispetto agli obiettivi prefissati, i risultati si sono rivelati modesti</w:t>
      </w:r>
      <w:r w:rsidR="004369FA">
        <w:rPr>
          <w:b/>
          <w:bCs/>
        </w:rPr>
        <w:t xml:space="preserve"> </w:t>
      </w:r>
      <w:r w:rsidR="00830709">
        <w:t xml:space="preserve">e le </w:t>
      </w:r>
      <w:r w:rsidR="0085269C">
        <w:t xml:space="preserve">    </w:t>
      </w:r>
      <w:r w:rsidR="00830709">
        <w:t>decisioni</w:t>
      </w:r>
      <w:r w:rsidR="00394BC2">
        <w:t>,</w:t>
      </w:r>
      <w:r w:rsidR="00830709">
        <w:t xml:space="preserve"> divergenti rispetto a quelle tedesche.</w:t>
      </w:r>
      <w:r w:rsidR="005A29DF">
        <w:t xml:space="preserve"> </w:t>
      </w:r>
    </w:p>
    <w:p w14:paraId="2901D39F" w14:textId="7A693332" w:rsidR="005A29DF" w:rsidRPr="006B588E" w:rsidRDefault="00C93B02" w:rsidP="00905532">
      <w:pPr>
        <w:tabs>
          <w:tab w:val="left" w:pos="1510"/>
        </w:tabs>
        <w:jc w:val="both"/>
      </w:pPr>
      <w:r>
        <w:t>Una delle principali differenze</w:t>
      </w:r>
      <w:r w:rsidR="00570DD2">
        <w:t>, mess</w:t>
      </w:r>
      <w:r w:rsidR="00924CEF">
        <w:t>a</w:t>
      </w:r>
      <w:r w:rsidR="00570DD2">
        <w:t xml:space="preserve"> in luce dal</w:t>
      </w:r>
      <w:r w:rsidR="004E731F">
        <w:t>la tabella seguente, è l’intenzion</w:t>
      </w:r>
      <w:r w:rsidR="004F5375">
        <w:t xml:space="preserve">e di voler puntare prevalentemente sui contratti di apprendistato </w:t>
      </w:r>
      <w:r w:rsidR="00F40DAE">
        <w:t xml:space="preserve">professionalizzante (II livello), che se pur incardinano </w:t>
      </w:r>
      <w:r w:rsidR="001C45CB">
        <w:t xml:space="preserve">la vera </w:t>
      </w:r>
      <w:r w:rsidR="001C45CB">
        <w:lastRenderedPageBreak/>
        <w:t xml:space="preserve">logica dell’apprendistato, non consentono di ottenere </w:t>
      </w:r>
      <w:r w:rsidR="00183C6A">
        <w:t>una combinazione con i titoli terziari</w:t>
      </w:r>
      <w:r w:rsidR="00011DEC">
        <w:t>.</w:t>
      </w:r>
      <w:r w:rsidR="005E4B45">
        <w:t xml:space="preserve"> Ci</w:t>
      </w:r>
      <w:r w:rsidR="00FB08E8">
        <w:t xml:space="preserve">ò si ricollega con quanto riportato </w:t>
      </w:r>
      <w:r w:rsidR="00D457A5">
        <w:t>dai dati dell</w:t>
      </w:r>
      <w:r w:rsidR="00F839D5">
        <w:t xml:space="preserve">’ </w:t>
      </w:r>
      <w:r w:rsidR="00F839D5" w:rsidRPr="00F839D5">
        <w:rPr>
          <w:i/>
          <w:iCs/>
        </w:rPr>
        <w:t>Education and Training Monitor 2022</w:t>
      </w:r>
      <w:r w:rsidR="005E4B45">
        <w:t>, in cui si evidenzia un tasso di istruzione terziario ben al di sotto della media europea e dei suoi obiettivi</w:t>
      </w:r>
      <w:r w:rsidR="00393785">
        <w:t>.</w:t>
      </w:r>
    </w:p>
    <w:p w14:paraId="15209242" w14:textId="221A65DC" w:rsidR="00DA4076" w:rsidRPr="00DA4076" w:rsidRDefault="00650FE7" w:rsidP="00905532">
      <w:pPr>
        <w:tabs>
          <w:tab w:val="left" w:pos="1510"/>
        </w:tabs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Valori assoluti e variazione percentuale (%)  dei contratti di apprendistato </w:t>
      </w:r>
      <w:r w:rsidR="002747CB">
        <w:rPr>
          <w:i/>
          <w:iCs/>
          <w:sz w:val="16"/>
          <w:szCs w:val="16"/>
        </w:rPr>
        <w:t>condizionati per tipologia:</w:t>
      </w:r>
    </w:p>
    <w:p w14:paraId="40EDC753" w14:textId="20B6A7AB" w:rsidR="00BF497B" w:rsidRPr="005E4B45" w:rsidRDefault="00DA4076" w:rsidP="00DA4076">
      <w:pPr>
        <w:tabs>
          <w:tab w:val="left" w:pos="1510"/>
        </w:tabs>
        <w:jc w:val="center"/>
      </w:pPr>
      <w:r w:rsidRPr="00DA4076">
        <w:rPr>
          <w:noProof/>
        </w:rPr>
        <w:drawing>
          <wp:inline distT="0" distB="0" distL="0" distR="0" wp14:anchorId="1A4B0CC3" wp14:editId="2A27DF0B">
            <wp:extent cx="4514880" cy="1744493"/>
            <wp:effectExtent l="0" t="0" r="0" b="8255"/>
            <wp:docPr id="9" name="Immagine 9" descr="Immagine che contiene testo, schermata, Carattere, num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 descr="Immagine che contiene testo, schermata, Carattere, numero&#10;&#10;Descrizione generata automa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99101" cy="17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CEB17" w14:textId="77777777" w:rsidR="008148BD" w:rsidRDefault="00425EA8" w:rsidP="00905532">
      <w:pPr>
        <w:tabs>
          <w:tab w:val="left" w:pos="1510"/>
        </w:tabs>
        <w:jc w:val="both"/>
        <w:rPr>
          <w:sz w:val="16"/>
          <w:szCs w:val="16"/>
        </w:rPr>
      </w:pPr>
      <w:r>
        <w:t xml:space="preserve"> </w:t>
      </w:r>
      <w:r w:rsidR="001E24B3">
        <w:t xml:space="preserve">                                                                                             </w:t>
      </w:r>
      <w:r w:rsidR="002747CB" w:rsidRPr="002747CB">
        <w:rPr>
          <w:sz w:val="16"/>
          <w:szCs w:val="16"/>
        </w:rPr>
        <w:t>Fonte:</w:t>
      </w:r>
      <w:r w:rsidR="002747CB">
        <w:rPr>
          <w:sz w:val="16"/>
          <w:szCs w:val="16"/>
        </w:rPr>
        <w:t xml:space="preserve"> </w:t>
      </w:r>
      <w:r w:rsidR="001E24B3">
        <w:rPr>
          <w:sz w:val="16"/>
          <w:szCs w:val="16"/>
        </w:rPr>
        <w:t>Elaborazione Inapp su dati forniti dalle Regioni e le Province autonome</w:t>
      </w:r>
    </w:p>
    <w:p w14:paraId="6C37D3A9" w14:textId="3E4E843A" w:rsidR="006B588E" w:rsidRPr="00DC306F" w:rsidRDefault="00031596" w:rsidP="00905532">
      <w:pPr>
        <w:tabs>
          <w:tab w:val="left" w:pos="1510"/>
        </w:tabs>
        <w:jc w:val="both"/>
        <w:rPr>
          <w:sz w:val="16"/>
          <w:szCs w:val="16"/>
        </w:rPr>
      </w:pPr>
      <w:r>
        <w:t xml:space="preserve">I valori </w:t>
      </w:r>
      <w:r w:rsidR="000F2B04">
        <w:t xml:space="preserve">assoluti dei contratti di apprendistato di </w:t>
      </w:r>
      <w:r w:rsidR="00A47796">
        <w:t xml:space="preserve">I e di III livello risultano alquanto modesti, </w:t>
      </w:r>
      <w:r w:rsidR="00E314F7">
        <w:t>ma la tabella non mette in evidenza</w:t>
      </w:r>
      <w:r w:rsidR="00B247CF">
        <w:t xml:space="preserve"> </w:t>
      </w:r>
      <w:r w:rsidR="000A472E">
        <w:t>ciò che più colpisce della situazione italiana</w:t>
      </w:r>
      <w:r w:rsidR="00E314F7">
        <w:t>, cioè le disparità territoriali</w:t>
      </w:r>
      <w:r w:rsidR="006B06FF">
        <w:t xml:space="preserve"> che caratterizzano anche i contratti di II livello</w:t>
      </w:r>
      <w:r w:rsidR="007C400A">
        <w:t xml:space="preserve"> (Inapp</w:t>
      </w:r>
      <w:r w:rsidR="00A45112">
        <w:t>, 2022)</w:t>
      </w:r>
    </w:p>
    <w:p w14:paraId="54899CDE" w14:textId="1D5F4DC9" w:rsidR="006A312B" w:rsidRPr="00756757" w:rsidRDefault="006A312B" w:rsidP="00905532">
      <w:pPr>
        <w:tabs>
          <w:tab w:val="left" w:pos="1510"/>
        </w:tabs>
        <w:jc w:val="both"/>
        <w:rPr>
          <w:i/>
          <w:iCs/>
          <w:sz w:val="16"/>
          <w:szCs w:val="16"/>
        </w:rPr>
      </w:pPr>
      <w:r w:rsidRPr="00756757">
        <w:rPr>
          <w:i/>
          <w:iCs/>
          <w:sz w:val="16"/>
          <w:szCs w:val="16"/>
        </w:rPr>
        <w:t>Evol</w:t>
      </w:r>
      <w:r w:rsidR="00756757" w:rsidRPr="00756757">
        <w:rPr>
          <w:i/>
          <w:iCs/>
          <w:sz w:val="16"/>
          <w:szCs w:val="16"/>
        </w:rPr>
        <w:t>uzione mensile dei rapporti in apprendistato</w:t>
      </w:r>
      <w:r w:rsidR="00756757">
        <w:rPr>
          <w:i/>
          <w:iCs/>
          <w:sz w:val="16"/>
          <w:szCs w:val="16"/>
        </w:rPr>
        <w:t xml:space="preserve"> </w:t>
      </w:r>
      <w:r w:rsidR="00180052">
        <w:rPr>
          <w:i/>
          <w:iCs/>
          <w:sz w:val="16"/>
          <w:szCs w:val="16"/>
        </w:rPr>
        <w:t xml:space="preserve">per area geografica, valori assoluti. </w:t>
      </w:r>
    </w:p>
    <w:p w14:paraId="017DA9E6" w14:textId="1B18E740" w:rsidR="006733A3" w:rsidRPr="001E24B3" w:rsidRDefault="006733A3" w:rsidP="006733A3">
      <w:pPr>
        <w:tabs>
          <w:tab w:val="left" w:pos="1510"/>
        </w:tabs>
        <w:jc w:val="center"/>
      </w:pPr>
      <w:r w:rsidRPr="006733A3">
        <w:rPr>
          <w:noProof/>
        </w:rPr>
        <w:drawing>
          <wp:inline distT="0" distB="0" distL="0" distR="0" wp14:anchorId="256C4649" wp14:editId="469500B5">
            <wp:extent cx="4813663" cy="2492736"/>
            <wp:effectExtent l="0" t="0" r="6350" b="3175"/>
            <wp:docPr id="10" name="Immagine 10" descr="Immagine che contiene testo, schermat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schermata, Diagramma, diagramma&#10;&#10;Descrizione generata automa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847974" cy="2510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B1205" w14:textId="16B8C529" w:rsidR="007C3A73" w:rsidRPr="006733A3" w:rsidRDefault="00B95EEF" w:rsidP="0067098C">
      <w:pPr>
        <w:tabs>
          <w:tab w:val="left" w:pos="151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</w:t>
      </w:r>
      <w:r w:rsidR="006733A3">
        <w:rPr>
          <w:sz w:val="16"/>
          <w:szCs w:val="16"/>
        </w:rPr>
        <w:t>Fonte:</w:t>
      </w:r>
      <w:r w:rsidR="00CA3DC8">
        <w:rPr>
          <w:sz w:val="16"/>
          <w:szCs w:val="16"/>
        </w:rPr>
        <w:t xml:space="preserve"> Inapp</w:t>
      </w:r>
      <w:r w:rsidR="00942C2F">
        <w:rPr>
          <w:sz w:val="16"/>
          <w:szCs w:val="16"/>
        </w:rPr>
        <w:t xml:space="preserve">, Rapporto di monitoraggio sull’apprendistato, 2022 </w:t>
      </w:r>
      <w:r w:rsidR="00046F39">
        <w:rPr>
          <w:sz w:val="16"/>
          <w:szCs w:val="16"/>
        </w:rPr>
        <w:t>(</w:t>
      </w:r>
      <w:r w:rsidR="009304F2">
        <w:rPr>
          <w:sz w:val="16"/>
          <w:szCs w:val="16"/>
        </w:rPr>
        <w:t>Dati Inps</w:t>
      </w:r>
      <w:r w:rsidR="00896D90">
        <w:rPr>
          <w:sz w:val="16"/>
          <w:szCs w:val="16"/>
        </w:rPr>
        <w:t>- Archivi delle denunce retributive mensili, UniEmens</w:t>
      </w:r>
      <w:r>
        <w:rPr>
          <w:sz w:val="16"/>
          <w:szCs w:val="16"/>
        </w:rPr>
        <w:t>)</w:t>
      </w:r>
    </w:p>
    <w:p w14:paraId="32480510" w14:textId="77918572" w:rsidR="001642C9" w:rsidRDefault="0089474B" w:rsidP="001F55EB">
      <w:pPr>
        <w:tabs>
          <w:tab w:val="left" w:pos="1510"/>
        </w:tabs>
        <w:jc w:val="both"/>
      </w:pPr>
      <w:r>
        <w:t>Sono numerose le criticità riscontrate nel sistema duale italiano</w:t>
      </w:r>
      <w:r w:rsidR="00EB128A">
        <w:t xml:space="preserve">, </w:t>
      </w:r>
      <w:r w:rsidR="00FD254D">
        <w:t>riconducibil</w:t>
      </w:r>
      <w:r w:rsidR="00B55898">
        <w:t>i</w:t>
      </w:r>
      <w:r w:rsidR="0035569F">
        <w:t>:</w:t>
      </w:r>
      <w:r w:rsidR="00B55898">
        <w:t xml:space="preserve"> al</w:t>
      </w:r>
      <w:r w:rsidR="00BE16C9">
        <w:t xml:space="preserve">le frizioni che caratterizzano la governance del sistema, </w:t>
      </w:r>
      <w:r w:rsidR="005A114C">
        <w:t xml:space="preserve">dato che il rapporto tra istituzioni formative e </w:t>
      </w:r>
      <w:r w:rsidR="00F307F7">
        <w:t xml:space="preserve">imprese tende a complicarsi sempre di più; </w:t>
      </w:r>
      <w:r w:rsidR="0035569F">
        <w:t>al</w:t>
      </w:r>
      <w:r w:rsidR="00614D22">
        <w:t>le fasi di progettazione dei percorsi di apprendistato, sopratt</w:t>
      </w:r>
      <w:r w:rsidR="001E5C71">
        <w:t>utto con riferimento all’elaborazione del PFI</w:t>
      </w:r>
      <w:r w:rsidR="000E52EE">
        <w:t xml:space="preserve"> (Piano formativo individuale) </w:t>
      </w:r>
      <w:r w:rsidR="000768CF">
        <w:t xml:space="preserve">che dovrebbe garantire la complementarità </w:t>
      </w:r>
      <w:r w:rsidR="00A67D70">
        <w:t>tra l’apprendimento intellettuale e</w:t>
      </w:r>
      <w:r w:rsidR="00882A9D">
        <w:t>d</w:t>
      </w:r>
      <w:r w:rsidR="00A67D70">
        <w:t xml:space="preserve"> </w:t>
      </w:r>
      <w:r w:rsidR="00C52349">
        <w:t>esperienziale;</w:t>
      </w:r>
      <w:r w:rsidR="00C33969">
        <w:t xml:space="preserve"> </w:t>
      </w:r>
      <w:r w:rsidR="00E502F4">
        <w:t>al</w:t>
      </w:r>
      <w:r w:rsidR="00C33969">
        <w:t>l’orizzonte di medio-lungo periodo che caratterizza tale tipologia contrattuale</w:t>
      </w:r>
      <w:r w:rsidR="00A272DC">
        <w:t>,</w:t>
      </w:r>
      <w:r w:rsidR="00E502F4">
        <w:t xml:space="preserve"> che</w:t>
      </w:r>
      <w:r w:rsidR="00A272DC">
        <w:t xml:space="preserve"> spesso mal si concilia con le esigenze delle piccole imprese</w:t>
      </w:r>
      <w:r w:rsidR="002E6950">
        <w:t xml:space="preserve"> del tessuto economico nazionale, che preferisco </w:t>
      </w:r>
      <w:r w:rsidR="00F8374C">
        <w:t>ricorrere a contratti più “flessibili”</w:t>
      </w:r>
      <w:r w:rsidR="00727A8F">
        <w:t>;</w:t>
      </w:r>
      <w:r w:rsidR="00D0080C">
        <w:t xml:space="preserve"> fino al</w:t>
      </w:r>
      <w:r w:rsidR="00727A8F">
        <w:t>la scelta di voler basare il sistema duale sui percorsi leFP senza eliminare i problemi struttura</w:t>
      </w:r>
      <w:r w:rsidR="00C32708">
        <w:t xml:space="preserve">li che caratterizzano tali canali formativi. </w:t>
      </w:r>
    </w:p>
    <w:p w14:paraId="52250FE0" w14:textId="4E49DE3A" w:rsidR="00177D78" w:rsidRDefault="001A3CD0" w:rsidP="001F55EB">
      <w:pPr>
        <w:tabs>
          <w:tab w:val="left" w:pos="1510"/>
        </w:tabs>
        <w:jc w:val="both"/>
      </w:pPr>
      <w:r>
        <w:t>In conclusione, si riscontra la presenza</w:t>
      </w:r>
      <w:r w:rsidR="00EC354C">
        <w:t xml:space="preserve"> di numerose </w:t>
      </w:r>
      <w:r>
        <w:t xml:space="preserve">barriere </w:t>
      </w:r>
      <w:r w:rsidR="00EC354C">
        <w:t>che limitano l’evoluzione della “</w:t>
      </w:r>
      <w:r w:rsidR="00EC354C">
        <w:rPr>
          <w:i/>
          <w:iCs/>
        </w:rPr>
        <w:t xml:space="preserve">via al duale” </w:t>
      </w:r>
      <w:r w:rsidR="00D32D6E">
        <w:t xml:space="preserve">italiana e soprattutto l’incapacità di rendere </w:t>
      </w:r>
      <w:r w:rsidR="00F8490D">
        <w:t>il ricorso all’apprendistato un fenomeno nazionale</w:t>
      </w:r>
      <w:r w:rsidR="00ED2BD1">
        <w:t>, nonostante i numerosi interventi legislativi che si sono susseguiti negli anni</w:t>
      </w:r>
      <w:r w:rsidR="00982CDA">
        <w:t xml:space="preserve">, volti a garantire vantaggi sia di natura </w:t>
      </w:r>
      <w:r w:rsidR="00982CDA">
        <w:lastRenderedPageBreak/>
        <w:t>economica che giuridica.</w:t>
      </w:r>
      <w:r w:rsidR="001426B9">
        <w:t xml:space="preserve"> A frenare l</w:t>
      </w:r>
      <w:r w:rsidR="00E94DB4">
        <w:t>’istituto è anche la dispersione del relativo quadro normativo, formato da</w:t>
      </w:r>
      <w:r w:rsidR="004532BC">
        <w:t>lla legislazione statale, normative regionali e contrattazione collettiva</w:t>
      </w:r>
      <w:r w:rsidR="00C35CCF">
        <w:t>; nonché la carenza di regole che assicurino</w:t>
      </w:r>
      <w:r w:rsidR="009326F9">
        <w:t xml:space="preserve"> un’omogeneità tra i modelli regionali.</w:t>
      </w:r>
      <w:r w:rsidR="00F14985">
        <w:t xml:space="preserve"> R</w:t>
      </w:r>
      <w:r w:rsidR="004D714A">
        <w:t>isulterebbe</w:t>
      </w:r>
      <w:r w:rsidR="007270EB">
        <w:t xml:space="preserve"> necessario modificare l’attuale struttura di governance, </w:t>
      </w:r>
      <w:r w:rsidR="002178FB">
        <w:t xml:space="preserve">costituendo un </w:t>
      </w:r>
      <w:r w:rsidR="003B07EE">
        <w:rPr>
          <w:i/>
          <w:iCs/>
        </w:rPr>
        <w:t>O</w:t>
      </w:r>
      <w:r w:rsidR="002178FB" w:rsidRPr="00AC243E">
        <w:rPr>
          <w:i/>
          <w:iCs/>
        </w:rPr>
        <w:t>rganismo di coordinamento nazionale</w:t>
      </w:r>
      <w:r w:rsidR="002D08FF">
        <w:t xml:space="preserve"> in modo tale da garantire una strategia omogenea</w:t>
      </w:r>
      <w:r w:rsidR="00AA607A">
        <w:t xml:space="preserve"> e </w:t>
      </w:r>
      <w:r w:rsidR="00777F13">
        <w:t xml:space="preserve">deviare da </w:t>
      </w:r>
      <w:r w:rsidR="00DA77E3">
        <w:t>un’eccessiva</w:t>
      </w:r>
      <w:r w:rsidR="00777F13">
        <w:t xml:space="preserve"> frammentazione</w:t>
      </w:r>
      <w:r w:rsidR="00415051">
        <w:t xml:space="preserve">; nonché, </w:t>
      </w:r>
      <w:r w:rsidR="001E7A59">
        <w:t>considerare con maggiore attenzione il sistema duale, anche al fine d</w:t>
      </w:r>
      <w:r w:rsidR="00535D86">
        <w:t xml:space="preserve">i ridurre l’elevata percentuale di </w:t>
      </w:r>
      <w:r w:rsidR="00714D6E">
        <w:rPr>
          <w:i/>
          <w:iCs/>
        </w:rPr>
        <w:t xml:space="preserve">Neet (Not in Education, Employment </w:t>
      </w:r>
      <w:r w:rsidR="0011722C">
        <w:rPr>
          <w:i/>
          <w:iCs/>
        </w:rPr>
        <w:t xml:space="preserve">or </w:t>
      </w:r>
      <w:r w:rsidR="00714D6E">
        <w:rPr>
          <w:i/>
          <w:iCs/>
        </w:rPr>
        <w:t>Training</w:t>
      </w:r>
      <w:r w:rsidR="0011722C">
        <w:rPr>
          <w:i/>
          <w:iCs/>
        </w:rPr>
        <w:t>)</w:t>
      </w:r>
      <w:r w:rsidR="006B588E">
        <w:rPr>
          <w:i/>
          <w:iCs/>
        </w:rPr>
        <w:t xml:space="preserve"> </w:t>
      </w:r>
      <w:r w:rsidR="006B588E">
        <w:t>che connota il Paese</w:t>
      </w:r>
      <w:r w:rsidR="00177D78">
        <w:t xml:space="preserve"> da molto tempo.</w:t>
      </w:r>
      <w:r w:rsidR="008D51BD">
        <w:t xml:space="preserve"> </w:t>
      </w:r>
      <w:r w:rsidR="00177D78">
        <w:t xml:space="preserve">Il PNRR e </w:t>
      </w:r>
      <w:r w:rsidR="00B23AD1">
        <w:t xml:space="preserve">tutti le risorse comunitarie messe a disposizione dell’Italia si </w:t>
      </w:r>
      <w:r w:rsidR="00136537">
        <w:t>configurano come un’occasione unica per migliorare il sistema duale italiano</w:t>
      </w:r>
      <w:r w:rsidR="00174D2F">
        <w:t>, in</w:t>
      </w:r>
      <w:r w:rsidR="0061209B">
        <w:t xml:space="preserve"> un’</w:t>
      </w:r>
      <w:r w:rsidR="00174D2F">
        <w:t xml:space="preserve">ottica di formazione permanente sia per i giovani che </w:t>
      </w:r>
      <w:r w:rsidR="0061209B">
        <w:t xml:space="preserve">per gli </w:t>
      </w:r>
      <w:r w:rsidR="00CE5989">
        <w:t>adulti,</w:t>
      </w:r>
      <w:r w:rsidR="00521DF0">
        <w:t xml:space="preserve"> dando spazio al</w:t>
      </w:r>
      <w:r w:rsidR="003E13EE">
        <w:t xml:space="preserve"> coordinamento con altre politiche per lo sviluppo economico e sociale. </w:t>
      </w:r>
    </w:p>
    <w:p w14:paraId="10601EB7" w14:textId="1892DD60" w:rsidR="0066264E" w:rsidRPr="00B20EC0" w:rsidRDefault="00765309" w:rsidP="00B20EC0">
      <w:pPr>
        <w:pStyle w:val="Titolo8"/>
        <w:rPr>
          <w:b/>
          <w:bCs/>
          <w:i/>
          <w:iCs/>
        </w:rPr>
      </w:pPr>
      <w:bookmarkStart w:id="21" w:name="_Toc137804226"/>
      <w:bookmarkStart w:id="22" w:name="_Toc137804282"/>
      <w:bookmarkStart w:id="23" w:name="_Toc137804453"/>
      <w:r w:rsidRPr="00B20EC0">
        <w:rPr>
          <w:b/>
          <w:bCs/>
          <w:i/>
          <w:iCs/>
        </w:rPr>
        <w:t>La formazione tecnico-professionale e il rilancio degli ITS</w:t>
      </w:r>
      <w:bookmarkEnd w:id="21"/>
      <w:bookmarkEnd w:id="22"/>
      <w:bookmarkEnd w:id="23"/>
    </w:p>
    <w:p w14:paraId="7CF7E2E1" w14:textId="6E9A821D" w:rsidR="008D51BD" w:rsidRDefault="00132909" w:rsidP="001F55EB">
      <w:pPr>
        <w:tabs>
          <w:tab w:val="left" w:pos="1510"/>
        </w:tabs>
        <w:jc w:val="both"/>
      </w:pPr>
      <w:r>
        <w:t>Negli ultimi anni l’attenzione dell</w:t>
      </w:r>
      <w:r w:rsidR="00952227">
        <w:t>’Italia</w:t>
      </w:r>
      <w:r>
        <w:t xml:space="preserve">, in materia </w:t>
      </w:r>
      <w:r w:rsidR="00CC41CD">
        <w:t xml:space="preserve">di formazione, si è </w:t>
      </w:r>
      <w:r w:rsidR="00952227">
        <w:t>indirizzata verso il “rilancio” della formazione tecnico</w:t>
      </w:r>
      <w:r w:rsidR="00B412DB">
        <w:t>-</w:t>
      </w:r>
      <w:r w:rsidR="00952227">
        <w:t>professionale, dati</w:t>
      </w:r>
      <w:r w:rsidR="00A25E2F">
        <w:t xml:space="preserve"> gli ottimi risultati ottenuti da alt</w:t>
      </w:r>
      <w:r w:rsidR="00B412DB">
        <w:t>ri Paesi europei</w:t>
      </w:r>
      <w:r w:rsidR="00BA62EC">
        <w:t xml:space="preserve"> </w:t>
      </w:r>
      <w:r w:rsidR="001F4A02">
        <w:t xml:space="preserve">nel suo sviluppo. </w:t>
      </w:r>
      <w:r w:rsidR="00DE34D6">
        <w:t xml:space="preserve">La cosiddetta “filiera lunga della formazione </w:t>
      </w:r>
      <w:r w:rsidR="00020662">
        <w:t xml:space="preserve">tecnico-professionale” </w:t>
      </w:r>
      <w:r w:rsidR="00C34D94">
        <w:t>italiana, si articola in percorsi triennali e quadriennali della leFP</w:t>
      </w:r>
      <w:r w:rsidR="006305A7">
        <w:t xml:space="preserve"> </w:t>
      </w:r>
      <w:r w:rsidR="007F3D6B">
        <w:t>per il rilascio di qualifiche e diplomi su figure tecnico-operativ</w:t>
      </w:r>
      <w:r w:rsidR="007427C5">
        <w:t>e; in corsi annuali di specializzazione</w:t>
      </w:r>
      <w:r w:rsidR="00B54032">
        <w:t xml:space="preserve"> definiti IFTS (istruzione e formazione tecnica superiore); e in corsi </w:t>
      </w:r>
      <w:r w:rsidR="00763022">
        <w:t>biennali/triennali di specializzazione degli ITS (Istituti tecnologici superiori)</w:t>
      </w:r>
      <w:r w:rsidR="001C769A">
        <w:t>.</w:t>
      </w:r>
      <w:r w:rsidR="005B252C">
        <w:t xml:space="preserve"> È importante sottolineare </w:t>
      </w:r>
      <w:r w:rsidR="00C43D41">
        <w:t>che la programmazione dei percorsi IFTS e ITS è di competenza delle Regioni</w:t>
      </w:r>
      <w:r w:rsidR="000C2011">
        <w:t>, che definiscono una propria strategia</w:t>
      </w:r>
      <w:r w:rsidR="00BB588D">
        <w:t xml:space="preserve"> in funzione del fabbisogno di professionalità </w:t>
      </w:r>
      <w:r w:rsidR="00557DC3">
        <w:t>espress</w:t>
      </w:r>
      <w:r w:rsidR="0030799B">
        <w:t>o</w:t>
      </w:r>
      <w:r w:rsidR="00557DC3">
        <w:t xml:space="preserve"> dal proprio territorio di riferimento. </w:t>
      </w:r>
      <w:r w:rsidR="008D51BD">
        <w:t xml:space="preserve"> </w:t>
      </w:r>
      <w:r w:rsidR="00E92C59">
        <w:t xml:space="preserve">Focalizzandosi sugli ITS </w:t>
      </w:r>
      <w:r w:rsidR="009319C4">
        <w:t>Academy, dat</w:t>
      </w:r>
      <w:r w:rsidR="008A7562">
        <w:t>i i</w:t>
      </w:r>
      <w:r w:rsidR="00E372EA">
        <w:t xml:space="preserve"> rilevanti esiti occupazionali; essi si pongono al centro del</w:t>
      </w:r>
      <w:r w:rsidR="00C21BA4">
        <w:t>le riforme inserite nel PNRR</w:t>
      </w:r>
      <w:r w:rsidR="00CB4475">
        <w:t xml:space="preserve"> (Missione 4 e 5)</w:t>
      </w:r>
      <w:r w:rsidR="00C21BA4">
        <w:t xml:space="preserve"> per consol</w:t>
      </w:r>
      <w:r w:rsidR="00285F19">
        <w:t>idare le sinergie</w:t>
      </w:r>
      <w:r w:rsidR="009B09CE">
        <w:t>,</w:t>
      </w:r>
      <w:r w:rsidR="00285F19">
        <w:t xml:space="preserve"> </w:t>
      </w:r>
      <w:r w:rsidR="00022AAB">
        <w:t>tra il sistema dell’istruzione terziaria professionalizzante e il tessuto produttivo e imprenditoriale locale</w:t>
      </w:r>
      <w:r w:rsidR="00A527D5">
        <w:t>.</w:t>
      </w:r>
      <w:r w:rsidR="009B09CE">
        <w:t xml:space="preserve"> </w:t>
      </w:r>
      <w:r w:rsidR="00967CFA">
        <w:t>Come già accennato, ciò che incentiva a voler rilanciare il sistema degli ITS sono i buoni esiti occupazionali</w:t>
      </w:r>
      <w:r w:rsidR="00056D13">
        <w:t xml:space="preserve"> </w:t>
      </w:r>
      <w:r w:rsidR="004D54D8">
        <w:t>riportati dal</w:t>
      </w:r>
      <w:r w:rsidR="00705782">
        <w:t xml:space="preserve"> monitoraggio Indire, </w:t>
      </w:r>
      <w:r w:rsidR="00F64E76">
        <w:t>in cui si rileva che l’80% di coloro che hanno concluso un corso annuale</w:t>
      </w:r>
      <w:r w:rsidR="00E54EC4">
        <w:t xml:space="preserve"> risulta occupato e il 91% di </w:t>
      </w:r>
      <w:r w:rsidR="000C130A">
        <w:t xml:space="preserve"> </w:t>
      </w:r>
      <w:r w:rsidR="00E54EC4">
        <w:t>quest’ultimi</w:t>
      </w:r>
      <w:r w:rsidR="00480622">
        <w:t>,</w:t>
      </w:r>
      <w:r w:rsidR="00E54EC4">
        <w:t xml:space="preserve"> dichiara </w:t>
      </w:r>
      <w:r w:rsidR="00012F3B">
        <w:t>di svolgere un lavoro coerente con il percorso svolto</w:t>
      </w:r>
      <w:r w:rsidR="0027092D">
        <w:t xml:space="preserve"> (Indire 2022)</w:t>
      </w:r>
      <w:r w:rsidR="00480622">
        <w:t>.</w:t>
      </w:r>
      <w:r w:rsidR="0087525C">
        <w:t xml:space="preserve"> L’impronta professionalizzante che caratterizza tali </w:t>
      </w:r>
      <w:r w:rsidR="00183C73">
        <w:t xml:space="preserve">percorsi è dovuta ad alcune caratteristiche </w:t>
      </w:r>
      <w:r w:rsidR="00381EC5">
        <w:t>peculiari: la centralità dello stage</w:t>
      </w:r>
      <w:r w:rsidR="00B31B3A">
        <w:t xml:space="preserve"> per la conoscenza della dimensione aziendale, </w:t>
      </w:r>
      <w:r w:rsidR="00B64EEE">
        <w:t>la presenza obbligatoria</w:t>
      </w:r>
      <w:r w:rsidR="000C09DF">
        <w:t xml:space="preserve"> (per il 50%)</w:t>
      </w:r>
      <w:r w:rsidR="00B64EEE">
        <w:t xml:space="preserve"> di imprenditori o manager aziendali nel corpo docente</w:t>
      </w:r>
      <w:r w:rsidR="00124273">
        <w:t xml:space="preserve"> </w:t>
      </w:r>
      <w:r w:rsidR="00022F75">
        <w:t>e</w:t>
      </w:r>
      <w:r w:rsidR="00091BC9">
        <w:t xml:space="preserve">d infine, la peculiarità del soggetto attuatore, cioè un </w:t>
      </w:r>
      <w:r w:rsidR="00091BC9" w:rsidRPr="001C2C50">
        <w:rPr>
          <w:i/>
          <w:iCs/>
        </w:rPr>
        <w:t>partenariato composito</w:t>
      </w:r>
      <w:r w:rsidR="0096335B">
        <w:t>, in cui si riscontra la presenza di una</w:t>
      </w:r>
      <w:r w:rsidR="001C2C50">
        <w:t xml:space="preserve"> </w:t>
      </w:r>
      <w:r w:rsidR="0096335B">
        <w:t>scuola, un dipartimento universitario, un’azienda e una struttura formativa accreditata</w:t>
      </w:r>
      <w:r w:rsidR="001C2C50">
        <w:t xml:space="preserve">. </w:t>
      </w:r>
    </w:p>
    <w:p w14:paraId="6A76C9E3" w14:textId="381AAAE9" w:rsidR="008D51BD" w:rsidRPr="006751E0" w:rsidRDefault="006751E0" w:rsidP="001F55EB">
      <w:pPr>
        <w:tabs>
          <w:tab w:val="left" w:pos="1510"/>
        </w:tabs>
        <w:jc w:val="both"/>
        <w:rPr>
          <w:i/>
          <w:iCs/>
        </w:rPr>
      </w:pPr>
      <w:r w:rsidRPr="00F141C5">
        <w:rPr>
          <w:i/>
          <w:iCs/>
          <w:sz w:val="18"/>
          <w:szCs w:val="18"/>
        </w:rPr>
        <w:t>Diplomati e tasso di occupazione</w:t>
      </w:r>
      <w:r w:rsidR="005077DE" w:rsidRPr="00F141C5">
        <w:rPr>
          <w:i/>
          <w:iCs/>
          <w:sz w:val="18"/>
          <w:szCs w:val="18"/>
        </w:rPr>
        <w:t xml:space="preserve"> per i diplomati ITS, dal 2013 al 2020</w:t>
      </w:r>
      <w:r w:rsidR="003D3173" w:rsidRPr="00F141C5">
        <w:rPr>
          <w:i/>
          <w:iCs/>
          <w:sz w:val="18"/>
          <w:szCs w:val="18"/>
        </w:rPr>
        <w:t xml:space="preserve">. (val. assoluti e percentuali </w:t>
      </w:r>
      <w:r w:rsidR="003D3173">
        <w:rPr>
          <w:i/>
          <w:iCs/>
        </w:rPr>
        <w:t>%)</w:t>
      </w:r>
    </w:p>
    <w:p w14:paraId="4A42873B" w14:textId="07CDDD67" w:rsidR="008D51BD" w:rsidRDefault="008D51BD" w:rsidP="008D51BD">
      <w:pPr>
        <w:tabs>
          <w:tab w:val="left" w:pos="1510"/>
        </w:tabs>
        <w:jc w:val="center"/>
      </w:pPr>
      <w:r w:rsidRPr="008D51BD">
        <w:rPr>
          <w:noProof/>
        </w:rPr>
        <w:drawing>
          <wp:inline distT="0" distB="0" distL="0" distR="0" wp14:anchorId="7FB3751B" wp14:editId="310D5A4F">
            <wp:extent cx="4643524" cy="2119086"/>
            <wp:effectExtent l="0" t="0" r="5080" b="0"/>
            <wp:docPr id="13" name="Immagine 13" descr="Immagine che contiene testo, schermata, diagramma, Paralle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 descr="Immagine che contiene testo, schermata, diagramma, Parallelo&#10;&#10;Descrizione generata automaticamente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60450" cy="2172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F24AD" w14:textId="0F5A88EB" w:rsidR="003D3173" w:rsidRPr="00F141C5" w:rsidRDefault="00F141C5" w:rsidP="003D317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D3173" w:rsidRPr="00F141C5">
        <w:rPr>
          <w:sz w:val="16"/>
          <w:szCs w:val="16"/>
        </w:rPr>
        <w:t>Fonte:</w:t>
      </w:r>
      <w:r w:rsidRPr="00F141C5">
        <w:rPr>
          <w:sz w:val="16"/>
          <w:szCs w:val="16"/>
        </w:rPr>
        <w:t xml:space="preserve"> Indira, Banca dati Nazionale ITS</w:t>
      </w:r>
    </w:p>
    <w:p w14:paraId="09647E8B" w14:textId="07CDDD67" w:rsidR="00BB0B37" w:rsidRDefault="00F131C6" w:rsidP="001F55EB">
      <w:pPr>
        <w:tabs>
          <w:tab w:val="left" w:pos="1510"/>
        </w:tabs>
        <w:jc w:val="both"/>
      </w:pPr>
      <w:r>
        <w:t>Molto interessante è lo sviluppo che i percorsi degli</w:t>
      </w:r>
      <w:r w:rsidR="003345C7">
        <w:t xml:space="preserve"> ITS Academy hanno subito negli anni; infatti, risultano sempre più coerenti con l</w:t>
      </w:r>
      <w:r w:rsidR="007306F0">
        <w:t xml:space="preserve">’evoluzione tecnologica a cui sta assistendo l’economia mondiale. </w:t>
      </w:r>
      <w:r w:rsidR="00D65C1D">
        <w:t xml:space="preserve">Le aree tecnologiche </w:t>
      </w:r>
      <w:r w:rsidR="00AC3186">
        <w:t>che registrano un maggior numero di occupati provenienti dai corsi ITS sono</w:t>
      </w:r>
      <w:r w:rsidR="00424CCD">
        <w:t xml:space="preserve">: la mobilità </w:t>
      </w:r>
      <w:r w:rsidR="00424CCD">
        <w:lastRenderedPageBreak/>
        <w:t xml:space="preserve">sostenibile (86%), </w:t>
      </w:r>
      <w:r w:rsidR="00154D58">
        <w:t>tecnologie dell’informazione e della comunicazione (82%),</w:t>
      </w:r>
      <w:r w:rsidR="00F51B84">
        <w:t xml:space="preserve"> sistema moda (81%),</w:t>
      </w:r>
      <w:r w:rsidR="00154D58">
        <w:t xml:space="preserve"> nuove tecnologie della vita (78%), efficienza energetica</w:t>
      </w:r>
      <w:r w:rsidR="004462EA">
        <w:t xml:space="preserve"> (74%), sistema agro-alimentare (75%)</w:t>
      </w:r>
      <w:r w:rsidR="008B6F0B">
        <w:t xml:space="preserve"> e servizi alle imprese (71%)</w:t>
      </w:r>
      <w:r w:rsidR="00540325">
        <w:t xml:space="preserve"> (Indire 2022).</w:t>
      </w:r>
      <w:r w:rsidR="001317E3">
        <w:t xml:space="preserve"> </w:t>
      </w:r>
    </w:p>
    <w:p w14:paraId="5BF3FF93" w14:textId="15C5D86B" w:rsidR="00F131C6" w:rsidRDefault="00BB0B37" w:rsidP="001F55EB">
      <w:pPr>
        <w:tabs>
          <w:tab w:val="left" w:pos="1510"/>
        </w:tabs>
        <w:jc w:val="both"/>
      </w:pPr>
      <w:r>
        <w:t>Un aspetto, particolarmente importante, su cui è necessario agire al fine</w:t>
      </w:r>
      <w:r w:rsidR="001132A4">
        <w:t xml:space="preserve"> promuovere la formazione e l’occupazione mediante tale canale</w:t>
      </w:r>
      <w:r w:rsidR="00C37D3D">
        <w:t>, è</w:t>
      </w:r>
      <w:r w:rsidR="00147910">
        <w:t xml:space="preserve"> la </w:t>
      </w:r>
      <w:r w:rsidR="00C37D3D">
        <w:t>costruzione di un percorso</w:t>
      </w:r>
      <w:r w:rsidR="00147910">
        <w:t xml:space="preserve"> </w:t>
      </w:r>
      <w:r w:rsidR="000D065D">
        <w:t xml:space="preserve">continuativo e coerente </w:t>
      </w:r>
      <w:r w:rsidR="002C6837">
        <w:t xml:space="preserve">lungo tutta la filiera lunga </w:t>
      </w:r>
      <w:r w:rsidR="000F569A">
        <w:t>della formazione tecnologica-professionale</w:t>
      </w:r>
      <w:r w:rsidR="00AC4A7A">
        <w:t>, dai corsi leFP fino ad arrivare al vertice</w:t>
      </w:r>
      <w:r w:rsidR="00BA6599">
        <w:t xml:space="preserve">, cioè gli ITS Academy. Infatti, oggi è </w:t>
      </w:r>
      <w:r w:rsidR="00823F4C">
        <w:t xml:space="preserve">pressoché preclusa la possibilità per </w:t>
      </w:r>
      <w:r w:rsidR="00CA7BED">
        <w:t>i giovani</w:t>
      </w:r>
      <w:r w:rsidR="00823F4C">
        <w:t xml:space="preserve"> di impegnarsi in un percorso</w:t>
      </w:r>
      <w:r w:rsidR="00020C90">
        <w:t xml:space="preserve"> continuativo di tale natura</w:t>
      </w:r>
      <w:r w:rsidR="00CA7BED">
        <w:t xml:space="preserve">. </w:t>
      </w:r>
    </w:p>
    <w:p w14:paraId="02EDDCBA" w14:textId="61B75450" w:rsidR="000502C7" w:rsidRDefault="000502C7" w:rsidP="001F55EB">
      <w:pPr>
        <w:tabs>
          <w:tab w:val="left" w:pos="1510"/>
        </w:tabs>
        <w:jc w:val="both"/>
      </w:pPr>
      <w:r>
        <w:t xml:space="preserve">Per concludere, nonostante </w:t>
      </w:r>
      <w:r w:rsidR="00610385">
        <w:t>le attuali frizioni del sistema, quest’ultimo può divenire un espediente</w:t>
      </w:r>
      <w:r w:rsidR="00794747">
        <w:t xml:space="preserve"> efficace per promuovere la formazione e l’occupazione giovanile</w:t>
      </w:r>
      <w:r w:rsidR="00F401EE">
        <w:t xml:space="preserve"> (ma non solo)</w:t>
      </w:r>
      <w:r w:rsidR="00654BF4">
        <w:t xml:space="preserve"> </w:t>
      </w:r>
      <w:r w:rsidR="00794747">
        <w:t xml:space="preserve">in settori </w:t>
      </w:r>
      <w:r w:rsidR="00F501A0">
        <w:t>strategici del sistema economic</w:t>
      </w:r>
      <w:r w:rsidR="003D3BB5">
        <w:t>o</w:t>
      </w:r>
      <w:r w:rsidR="00F501A0">
        <w:t xml:space="preserve"> nazionale</w:t>
      </w:r>
      <w:r w:rsidR="0052137A">
        <w:t>;</w:t>
      </w:r>
      <w:r w:rsidR="00F501A0">
        <w:t xml:space="preserve"> nonché un artificio efficace per “assorbire” un</w:t>
      </w:r>
      <w:r w:rsidR="003C1FEB">
        <w:t>’aliquota rilevante d</w:t>
      </w:r>
      <w:r w:rsidR="005C23E9">
        <w:t xml:space="preserve">i </w:t>
      </w:r>
      <w:r w:rsidR="005C23E9" w:rsidRPr="005C23E9">
        <w:rPr>
          <w:i/>
          <w:iCs/>
        </w:rPr>
        <w:t>Neet</w:t>
      </w:r>
      <w:r w:rsidR="005C23E9">
        <w:rPr>
          <w:i/>
          <w:iCs/>
        </w:rPr>
        <w:t xml:space="preserve"> </w:t>
      </w:r>
      <w:r w:rsidR="006369BE">
        <w:t xml:space="preserve">e di giovani che hanno abbandonato un percorso di studi universitario </w:t>
      </w:r>
      <w:r w:rsidR="00205269">
        <w:t xml:space="preserve">per mancato interesse (dato l’elevato </w:t>
      </w:r>
      <w:r w:rsidR="008228D2">
        <w:t>interessamento</w:t>
      </w:r>
      <w:r w:rsidR="00205269">
        <w:t xml:space="preserve"> che si registra tra i giovani che frequentano gli ITS Academy)</w:t>
      </w:r>
      <w:r w:rsidR="00BF18C5">
        <w:t xml:space="preserve">. </w:t>
      </w:r>
      <w:r w:rsidR="007947D8">
        <w:t>Altri Paesi europei,</w:t>
      </w:r>
      <w:r w:rsidR="002358CD">
        <w:t xml:space="preserve"> </w:t>
      </w:r>
      <w:r w:rsidR="002358CD">
        <w:rPr>
          <w:i/>
          <w:iCs/>
        </w:rPr>
        <w:t xml:space="preserve">in primis </w:t>
      </w:r>
      <w:r w:rsidR="007947D8">
        <w:t xml:space="preserve">la Germania, </w:t>
      </w:r>
      <w:r w:rsidR="009B0131">
        <w:t>hanno deciso</w:t>
      </w:r>
      <w:r w:rsidR="00B0705F">
        <w:t xml:space="preserve"> di </w:t>
      </w:r>
      <w:r w:rsidR="00076E46">
        <w:t>“puntare”</w:t>
      </w:r>
      <w:r w:rsidR="00B0705F">
        <w:t xml:space="preserve"> già da tempo</w:t>
      </w:r>
      <w:r w:rsidR="00076E46">
        <w:t xml:space="preserve"> su tali sistemi </w:t>
      </w:r>
      <w:r w:rsidR="00FF725C">
        <w:t xml:space="preserve">di formazione, al fine di garantire un </w:t>
      </w:r>
      <w:r w:rsidR="00E167CE">
        <w:t>equo ed efficace accesso all’istruzione e al mercato del lavoro.</w:t>
      </w:r>
      <w:r w:rsidR="0052137A">
        <w:t xml:space="preserve"> </w:t>
      </w:r>
      <w:r w:rsidR="00E167CE">
        <w:t xml:space="preserve"> </w:t>
      </w:r>
    </w:p>
    <w:p w14:paraId="0B1C31E8" w14:textId="77777777" w:rsidR="004B0CED" w:rsidRPr="00146DDA" w:rsidRDefault="007428A5" w:rsidP="00146DDA">
      <w:pPr>
        <w:pStyle w:val="Titolo9"/>
        <w:rPr>
          <w:b/>
          <w:bCs/>
          <w:color w:val="auto"/>
        </w:rPr>
      </w:pPr>
      <w:bookmarkStart w:id="24" w:name="_Toc137804227"/>
      <w:bookmarkStart w:id="25" w:name="_Toc137804283"/>
      <w:bookmarkStart w:id="26" w:name="_Toc137804454"/>
      <w:r w:rsidRPr="00146DDA">
        <w:rPr>
          <w:b/>
          <w:bCs/>
          <w:color w:val="auto"/>
        </w:rPr>
        <w:t>Conclusione</w:t>
      </w:r>
      <w:bookmarkEnd w:id="24"/>
      <w:bookmarkEnd w:id="25"/>
      <w:bookmarkEnd w:id="26"/>
    </w:p>
    <w:p w14:paraId="28FE3DBE" w14:textId="7045783B" w:rsidR="007428A5" w:rsidRDefault="00A45E77" w:rsidP="001F55EB">
      <w:pPr>
        <w:tabs>
          <w:tab w:val="left" w:pos="1510"/>
        </w:tabs>
        <w:jc w:val="both"/>
      </w:pPr>
      <w:r>
        <w:t>L’analisi condotta fino ad ora,</w:t>
      </w:r>
      <w:r w:rsidR="00803D7D">
        <w:t xml:space="preserve"> ha messo in evidenza potenziali margini di miglior</w:t>
      </w:r>
      <w:r w:rsidR="00024473">
        <w:t>amento</w:t>
      </w:r>
      <w:r w:rsidR="00803D7D">
        <w:t xml:space="preserve"> al sistema educativo </w:t>
      </w:r>
      <w:r w:rsidR="009A7E19">
        <w:t>italiano ed europeo</w:t>
      </w:r>
      <w:r w:rsidR="000260C2">
        <w:t>.</w:t>
      </w:r>
      <w:r w:rsidR="009A7E19">
        <w:t xml:space="preserve"> Ma le</w:t>
      </w:r>
      <w:r w:rsidR="00803D7D">
        <w:t xml:space="preserve"> </w:t>
      </w:r>
      <w:r w:rsidR="000260C2">
        <w:t xml:space="preserve">iniziative e i fondi </w:t>
      </w:r>
      <w:r w:rsidR="009A7E19">
        <w:t xml:space="preserve">stanziati in </w:t>
      </w:r>
      <w:r w:rsidR="000260C2">
        <w:t xml:space="preserve">ambito comunitario </w:t>
      </w:r>
      <w:r w:rsidR="009A7E19">
        <w:t xml:space="preserve">sembrerebbero muoversi nella direzione </w:t>
      </w:r>
      <w:r w:rsidR="00B31153">
        <w:t xml:space="preserve">adeguata </w:t>
      </w:r>
      <w:r w:rsidR="00C22573">
        <w:t>al</w:t>
      </w:r>
      <w:r w:rsidR="00B31153">
        <w:t xml:space="preserve"> raggiungimento delle finalità prefissate e la riduzione dei differenziali tra i 27 Paesi membri </w:t>
      </w:r>
      <w:r w:rsidR="00B86C61">
        <w:t>(</w:t>
      </w:r>
      <w:r w:rsidR="00C23854" w:rsidRPr="00C23854">
        <w:t>si suole parla</w:t>
      </w:r>
      <w:r w:rsidR="00C23854">
        <w:t>re</w:t>
      </w:r>
      <w:r w:rsidR="00C23854" w:rsidRPr="00C23854">
        <w:t xml:space="preserve"> di</w:t>
      </w:r>
      <w:r w:rsidR="00C23854">
        <w:rPr>
          <w:i/>
          <w:iCs/>
        </w:rPr>
        <w:t xml:space="preserve"> Sigma convergenza </w:t>
      </w:r>
      <w:r w:rsidR="00C23854" w:rsidRPr="00C23854">
        <w:t>e</w:t>
      </w:r>
      <w:r w:rsidR="00C23854">
        <w:rPr>
          <w:i/>
          <w:iCs/>
        </w:rPr>
        <w:t xml:space="preserve"> </w:t>
      </w:r>
      <w:r w:rsidR="00575172">
        <w:rPr>
          <w:i/>
          <w:iCs/>
        </w:rPr>
        <w:t>Beta convergenza)</w:t>
      </w:r>
      <w:r w:rsidR="008C2762">
        <w:t>,</w:t>
      </w:r>
      <w:r w:rsidR="00B31153">
        <w:t xml:space="preserve"> quest’ultimo si configura come un</w:t>
      </w:r>
      <w:r w:rsidR="008C2762">
        <w:t xml:space="preserve"> </w:t>
      </w:r>
      <w:r w:rsidR="002552FE">
        <w:t>fattore imprescindibile</w:t>
      </w:r>
      <w:r w:rsidR="005D4552">
        <w:t xml:space="preserve"> per</w:t>
      </w:r>
      <w:r w:rsidR="004F4B36">
        <w:t xml:space="preserve"> </w:t>
      </w:r>
      <w:r w:rsidR="00814EF8">
        <w:t>raggiungere</w:t>
      </w:r>
      <w:r w:rsidR="002552FE">
        <w:t xml:space="preserve"> un obiettivo superiore; la costruzione</w:t>
      </w:r>
      <w:r w:rsidR="00F0418F">
        <w:t xml:space="preserve"> di una </w:t>
      </w:r>
      <w:r w:rsidR="00D878F1">
        <w:t xml:space="preserve">Comunità basata sul sostegno </w:t>
      </w:r>
      <w:r w:rsidR="00242BB2">
        <w:t>reciproco tra Paesi</w:t>
      </w:r>
      <w:r w:rsidR="00F16DE4">
        <w:t>, un’e</w:t>
      </w:r>
      <w:r w:rsidR="00AB01C9">
        <w:t>levata mobilità sociale e un orizzonte comune</w:t>
      </w:r>
      <w:r w:rsidR="002343D6">
        <w:t>.</w:t>
      </w:r>
      <w:r w:rsidR="00F332F1">
        <w:t xml:space="preserve"> </w:t>
      </w:r>
      <w:r w:rsidR="002B196A">
        <w:t xml:space="preserve">Lungo ed articolato è il percorso </w:t>
      </w:r>
      <w:r w:rsidR="00697788">
        <w:t>da</w:t>
      </w:r>
      <w:r w:rsidR="002F4C76">
        <w:t xml:space="preserve"> </w:t>
      </w:r>
      <w:r w:rsidR="00697788">
        <w:t>intraprendere</w:t>
      </w:r>
      <w:r w:rsidR="003C5EB2">
        <w:t>, richiedendo</w:t>
      </w:r>
      <w:r w:rsidR="00F332F1">
        <w:t xml:space="preserve"> </w:t>
      </w:r>
      <w:r w:rsidR="00467BFE">
        <w:t xml:space="preserve">una proficua collaborazione tra tutti gli attori coinvolti ed </w:t>
      </w:r>
      <w:r w:rsidR="007C692D">
        <w:t>importanti interventi di poli</w:t>
      </w:r>
      <w:r w:rsidR="004C1892">
        <w:t xml:space="preserve">tica economica </w:t>
      </w:r>
      <w:r w:rsidR="00C55C4F">
        <w:t>soggetti a forti vincoli</w:t>
      </w:r>
      <w:r w:rsidR="007A72AA">
        <w:t xml:space="preserve"> sia</w:t>
      </w:r>
      <w:r w:rsidR="00C55C4F">
        <w:t xml:space="preserve"> teorici</w:t>
      </w:r>
      <w:r w:rsidR="007A72AA">
        <w:t xml:space="preserve"> che</w:t>
      </w:r>
      <w:r w:rsidR="00C55C4F">
        <w:t xml:space="preserve"> pratici.</w:t>
      </w:r>
    </w:p>
    <w:p w14:paraId="49D3BB65" w14:textId="77777777" w:rsidR="00892437" w:rsidRDefault="00892437" w:rsidP="001F55EB">
      <w:pPr>
        <w:tabs>
          <w:tab w:val="left" w:pos="1510"/>
        </w:tabs>
        <w:jc w:val="both"/>
      </w:pPr>
    </w:p>
    <w:p w14:paraId="705BDBA6" w14:textId="77777777" w:rsidR="00A94235" w:rsidRDefault="00A94235" w:rsidP="001F55EB">
      <w:pPr>
        <w:tabs>
          <w:tab w:val="left" w:pos="1510"/>
        </w:tabs>
        <w:jc w:val="both"/>
      </w:pPr>
    </w:p>
    <w:p w14:paraId="05E7D4DB" w14:textId="77777777" w:rsidR="00A94235" w:rsidRDefault="00A94235" w:rsidP="001F55EB">
      <w:pPr>
        <w:tabs>
          <w:tab w:val="left" w:pos="1510"/>
        </w:tabs>
        <w:jc w:val="both"/>
      </w:pPr>
    </w:p>
    <w:p w14:paraId="327A5478" w14:textId="77777777" w:rsidR="00A94235" w:rsidRDefault="00A94235" w:rsidP="001F55EB">
      <w:pPr>
        <w:tabs>
          <w:tab w:val="left" w:pos="1510"/>
        </w:tabs>
        <w:jc w:val="both"/>
      </w:pPr>
    </w:p>
    <w:p w14:paraId="258BF9AE" w14:textId="77777777" w:rsidR="00A94235" w:rsidRDefault="00A94235" w:rsidP="001F55EB">
      <w:pPr>
        <w:tabs>
          <w:tab w:val="left" w:pos="1510"/>
        </w:tabs>
        <w:jc w:val="both"/>
      </w:pPr>
    </w:p>
    <w:p w14:paraId="5739489C" w14:textId="77777777" w:rsidR="00A94235" w:rsidRDefault="00A94235" w:rsidP="001F55EB">
      <w:pPr>
        <w:tabs>
          <w:tab w:val="left" w:pos="1510"/>
        </w:tabs>
        <w:jc w:val="both"/>
      </w:pPr>
    </w:p>
    <w:p w14:paraId="58C18DD6" w14:textId="77777777" w:rsidR="00A94235" w:rsidRDefault="00A94235" w:rsidP="001F55EB">
      <w:pPr>
        <w:tabs>
          <w:tab w:val="left" w:pos="1510"/>
        </w:tabs>
        <w:jc w:val="both"/>
      </w:pPr>
    </w:p>
    <w:p w14:paraId="6CBDA16E" w14:textId="77777777" w:rsidR="00A94235" w:rsidRDefault="00A94235" w:rsidP="001F55EB">
      <w:pPr>
        <w:tabs>
          <w:tab w:val="left" w:pos="1510"/>
        </w:tabs>
        <w:jc w:val="both"/>
      </w:pPr>
    </w:p>
    <w:p w14:paraId="5111DEB2" w14:textId="77777777" w:rsidR="00A94235" w:rsidRDefault="00A94235" w:rsidP="001F55EB">
      <w:pPr>
        <w:tabs>
          <w:tab w:val="left" w:pos="1510"/>
        </w:tabs>
        <w:jc w:val="both"/>
      </w:pPr>
    </w:p>
    <w:p w14:paraId="52ABA73F" w14:textId="77777777" w:rsidR="00A94235" w:rsidRDefault="00A94235" w:rsidP="001F55EB">
      <w:pPr>
        <w:tabs>
          <w:tab w:val="left" w:pos="1510"/>
        </w:tabs>
        <w:jc w:val="both"/>
      </w:pPr>
    </w:p>
    <w:p w14:paraId="7F28FCE6" w14:textId="77777777" w:rsidR="00A94235" w:rsidRDefault="00A94235" w:rsidP="001F55EB">
      <w:pPr>
        <w:tabs>
          <w:tab w:val="left" w:pos="1510"/>
        </w:tabs>
        <w:jc w:val="both"/>
      </w:pPr>
    </w:p>
    <w:p w14:paraId="25D009D7" w14:textId="77777777" w:rsidR="00A94235" w:rsidRDefault="00A94235" w:rsidP="001F55EB">
      <w:pPr>
        <w:tabs>
          <w:tab w:val="left" w:pos="1510"/>
        </w:tabs>
        <w:jc w:val="both"/>
      </w:pPr>
    </w:p>
    <w:p w14:paraId="2834FD8C" w14:textId="77777777" w:rsidR="00A94235" w:rsidRDefault="00A94235" w:rsidP="001F55EB">
      <w:pPr>
        <w:tabs>
          <w:tab w:val="left" w:pos="1510"/>
        </w:tabs>
        <w:jc w:val="both"/>
      </w:pPr>
    </w:p>
    <w:p w14:paraId="6B0BDEB6" w14:textId="77777777" w:rsidR="00A94235" w:rsidRDefault="00A94235" w:rsidP="001F55EB">
      <w:pPr>
        <w:tabs>
          <w:tab w:val="left" w:pos="1510"/>
        </w:tabs>
        <w:jc w:val="both"/>
      </w:pPr>
    </w:p>
    <w:p w14:paraId="629E0B65" w14:textId="77777777" w:rsidR="00A94235" w:rsidRDefault="00A94235" w:rsidP="001F55EB">
      <w:pPr>
        <w:tabs>
          <w:tab w:val="left" w:pos="1510"/>
        </w:tabs>
        <w:jc w:val="both"/>
      </w:pPr>
    </w:p>
    <w:p w14:paraId="716FCDF5" w14:textId="77777777" w:rsidR="00A94235" w:rsidRDefault="00A94235" w:rsidP="001F55EB">
      <w:pPr>
        <w:tabs>
          <w:tab w:val="left" w:pos="1510"/>
        </w:tabs>
        <w:jc w:val="both"/>
      </w:pPr>
    </w:p>
    <w:p w14:paraId="694B4EB7" w14:textId="3B44A3FE" w:rsidR="00892437" w:rsidRPr="00034A71" w:rsidRDefault="00655121" w:rsidP="001F55EB">
      <w:pPr>
        <w:tabs>
          <w:tab w:val="left" w:pos="1510"/>
        </w:tabs>
        <w:jc w:val="both"/>
        <w:rPr>
          <w:i/>
          <w:iCs/>
        </w:rPr>
      </w:pPr>
      <w:r w:rsidRPr="00034A71">
        <w:rPr>
          <w:i/>
          <w:iCs/>
        </w:rPr>
        <w:t>Bibliografia e Sitografia</w:t>
      </w:r>
    </w:p>
    <w:p w14:paraId="2A23E7E0" w14:textId="77777777" w:rsidR="00034A71" w:rsidRPr="00C27049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t>Brunetti I. (2020), Istruzione e mobilità intergenerazionale: un’analisi dei dati italiani, Sinappsi, X, n.3, pp.48-63</w:t>
      </w:r>
    </w:p>
    <w:p w14:paraId="3E835085" w14:textId="77777777" w:rsidR="00034A71" w:rsidRPr="00BC0CCC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>Commissione Europea (2022), Rapporto DESI, Full European Analysis 2022</w:t>
      </w:r>
    </w:p>
    <w:p w14:paraId="4EB4D77B" w14:textId="77777777" w:rsidR="00034A71" w:rsidRPr="0043529E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>Crispolti. E, Mandrone. E, lavoce.info: Istruzione, un investimento strategico 24/04/2023</w:t>
      </w:r>
    </w:p>
    <w:p w14:paraId="0ABB695F" w14:textId="77777777" w:rsidR="00034A71" w:rsidRPr="00034A71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>Franzini. M, Raitano. M (2008), “</w:t>
      </w:r>
      <w:r w:rsidRPr="00F92C48">
        <w:rPr>
          <w:i/>
          <w:iCs/>
        </w:rPr>
        <w:t>Non solo capitale umano: la disuguaglianza salariale e il funzionamento del mercato del lavoro</w:t>
      </w:r>
      <w:r>
        <w:rPr>
          <w:i/>
          <w:iCs/>
        </w:rPr>
        <w:t xml:space="preserve">” In: No.71/72, Società diseguale (2011), pp 45-74 </w:t>
      </w:r>
    </w:p>
    <w:p w14:paraId="52C61343" w14:textId="77777777" w:rsidR="00034A71" w:rsidRPr="009246B0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>Inapp (2021), Apprendistato in evoluzione: traiettorie e prospettive dei sistemi duali in Europa e in Italia</w:t>
      </w:r>
    </w:p>
    <w:p w14:paraId="13DDE28F" w14:textId="77777777" w:rsidR="00034A71" w:rsidRPr="00733826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 xml:space="preserve">Inapp (2022), Rapporto Inapp 2022. Lavoro e formazione: l’Italia di fronte alle sfide del futuro </w:t>
      </w:r>
    </w:p>
    <w:p w14:paraId="42494D09" w14:textId="77777777" w:rsidR="00034A71" w:rsidRPr="00327DCF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>Inapp (2022), Rapporto Inapp Plus 2022, comprendere la complessità del lavoro</w:t>
      </w:r>
    </w:p>
    <w:p w14:paraId="111D17E2" w14:textId="77777777" w:rsidR="00034A71" w:rsidRPr="00D65FB9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>Inapp, Inps (2022), Rapporto di monitoraggio 2022: l’andamento dell’apprendistato nella crisi pandemica</w:t>
      </w:r>
    </w:p>
    <w:p w14:paraId="2429E2C4" w14:textId="77777777" w:rsidR="00034A71" w:rsidRPr="00555531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>Kanbur. R, Stiglitz. J (2016), “Dinastic Inequality, mobility and equality of opportunity”</w:t>
      </w:r>
    </w:p>
    <w:p w14:paraId="75ED2C60" w14:textId="2378A78F" w:rsidR="00034A71" w:rsidRPr="00F04BE2" w:rsidRDefault="00034A71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b/>
          <w:bCs/>
          <w:i/>
          <w:iCs/>
        </w:rPr>
      </w:pPr>
      <w:r>
        <w:rPr>
          <w:i/>
          <w:iCs/>
        </w:rPr>
        <w:t xml:space="preserve">Pedron. F, PNNR e lavoro: L’attuazione del Programma GOL in regione </w:t>
      </w:r>
      <w:r w:rsidR="00C22573">
        <w:rPr>
          <w:i/>
          <w:iCs/>
        </w:rPr>
        <w:t>Friuli-Venezia Giulia</w:t>
      </w:r>
    </w:p>
    <w:p w14:paraId="40912780" w14:textId="3FC48FB0" w:rsidR="00C27049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26" w:history="1">
        <w:r w:rsidR="00C27049" w:rsidRPr="00034A71">
          <w:rPr>
            <w:rStyle w:val="Collegamentoipertestuale"/>
            <w:i/>
            <w:iCs/>
            <w:color w:val="000000" w:themeColor="text1"/>
          </w:rPr>
          <w:t>https://www.istat.it/</w:t>
        </w:r>
      </w:hyperlink>
    </w:p>
    <w:p w14:paraId="7D628228" w14:textId="69012BCA" w:rsidR="00C27049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27" w:history="1">
        <w:r w:rsidR="004F21D9" w:rsidRPr="00034A71">
          <w:rPr>
            <w:rStyle w:val="Collegamentoipertestuale"/>
            <w:i/>
            <w:iCs/>
            <w:color w:val="000000" w:themeColor="text1"/>
          </w:rPr>
          <w:t>https://www.destatis.de/EN/Home/_node.html</w:t>
        </w:r>
      </w:hyperlink>
    </w:p>
    <w:p w14:paraId="13B037DA" w14:textId="28E222B1" w:rsidR="004F21D9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28" w:history="1">
        <w:r w:rsidR="0066461E" w:rsidRPr="00034A71">
          <w:rPr>
            <w:rStyle w:val="Collegamentoipertestuale"/>
            <w:i/>
            <w:iCs/>
            <w:color w:val="000000" w:themeColor="text1"/>
          </w:rPr>
          <w:t>https://www.lavoro.gov.it/Pagine/default.aspx</w:t>
        </w:r>
      </w:hyperlink>
    </w:p>
    <w:p w14:paraId="64E360D6" w14:textId="3CFB2C2B" w:rsidR="0066461E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29" w:history="1">
        <w:r w:rsidR="00423A82" w:rsidRPr="00034A71">
          <w:rPr>
            <w:rStyle w:val="Collegamentoipertestuale"/>
            <w:i/>
            <w:iCs/>
            <w:color w:val="000000" w:themeColor="text1"/>
          </w:rPr>
          <w:t>https://commission.europa.eu/index_it</w:t>
        </w:r>
      </w:hyperlink>
    </w:p>
    <w:p w14:paraId="6011968C" w14:textId="0B2552D4" w:rsidR="00423A82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0" w:history="1">
        <w:r w:rsidR="00423A82" w:rsidRPr="00034A71">
          <w:rPr>
            <w:rStyle w:val="Collegamentoipertestuale"/>
            <w:i/>
            <w:iCs/>
            <w:color w:val="000000" w:themeColor="text1"/>
          </w:rPr>
          <w:t>https://www.consilium.europa.eu/it/council-eu/</w:t>
        </w:r>
      </w:hyperlink>
    </w:p>
    <w:p w14:paraId="0B162C91" w14:textId="2763D32F" w:rsidR="00423A82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1" w:history="1">
        <w:r w:rsidR="00B221B8" w:rsidRPr="00034A71">
          <w:rPr>
            <w:rStyle w:val="Collegamentoipertestuale"/>
            <w:i/>
            <w:iCs/>
            <w:color w:val="000000" w:themeColor="text1"/>
          </w:rPr>
          <w:t>https://www.indire.it/</w:t>
        </w:r>
      </w:hyperlink>
    </w:p>
    <w:p w14:paraId="54AC50B2" w14:textId="0FD38E2D" w:rsidR="00B221B8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2" w:history="1">
        <w:r w:rsidR="00F17FCD" w:rsidRPr="00034A71">
          <w:rPr>
            <w:rStyle w:val="Collegamentoipertestuale"/>
            <w:i/>
            <w:iCs/>
            <w:color w:val="000000" w:themeColor="text1"/>
          </w:rPr>
          <w:t>https://www.bmbf.de/bmbf/de/home/home_node.html</w:t>
        </w:r>
      </w:hyperlink>
    </w:p>
    <w:p w14:paraId="226A8833" w14:textId="7F2C27E0" w:rsidR="00F17FCD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3" w:history="1">
        <w:r w:rsidR="000972F9" w:rsidRPr="00034A71">
          <w:rPr>
            <w:rStyle w:val="Collegamentoipertestuale"/>
            <w:i/>
            <w:iCs/>
            <w:color w:val="000000" w:themeColor="text1"/>
          </w:rPr>
          <w:t>https://ec.europa.eu/social/main.jsp?catId=1223&amp;langId=en</w:t>
        </w:r>
      </w:hyperlink>
    </w:p>
    <w:p w14:paraId="54CF7F7B" w14:textId="009E1DAC" w:rsidR="000972F9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4" w:history="1">
        <w:r w:rsidR="00485AC9" w:rsidRPr="00034A71">
          <w:rPr>
            <w:rStyle w:val="Collegamentoipertestuale"/>
            <w:i/>
            <w:iCs/>
            <w:color w:val="000000" w:themeColor="text1"/>
          </w:rPr>
          <w:t>https://education.ec.europa.eu/it</w:t>
        </w:r>
      </w:hyperlink>
    </w:p>
    <w:p w14:paraId="32FD39D7" w14:textId="6E9891EF" w:rsidR="00485AC9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5" w:history="1">
        <w:r w:rsidR="00A45634" w:rsidRPr="00034A71">
          <w:rPr>
            <w:rStyle w:val="Collegamentoipertestuale"/>
            <w:i/>
            <w:iCs/>
            <w:color w:val="000000" w:themeColor="text1"/>
          </w:rPr>
          <w:t>https://pact-for-skills.ec.europa.eu/index_en</w:t>
        </w:r>
      </w:hyperlink>
    </w:p>
    <w:p w14:paraId="3B9826B0" w14:textId="6BDA7AB4" w:rsidR="00A45634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6" w:history="1">
        <w:r w:rsidR="006B00BD" w:rsidRPr="00034A71">
          <w:rPr>
            <w:rStyle w:val="Collegamentoipertestuale"/>
            <w:i/>
            <w:iCs/>
            <w:color w:val="000000" w:themeColor="text1"/>
          </w:rPr>
          <w:t>https://education.ec.europa.eu/focus-topics/digital-education/action-plan</w:t>
        </w:r>
      </w:hyperlink>
    </w:p>
    <w:p w14:paraId="46B5A178" w14:textId="30292AD5" w:rsidR="006B00BD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7" w:history="1">
        <w:r w:rsidR="00F67629" w:rsidRPr="00034A71">
          <w:rPr>
            <w:rStyle w:val="Collegamentoipertestuale"/>
            <w:i/>
            <w:iCs/>
            <w:color w:val="000000" w:themeColor="text1"/>
          </w:rPr>
          <w:t>https://digital-skills-jobs.europa.eu/en/latest/news/individual-learning-accounts-and-microcredentials-two-new-european-commission-proposals</w:t>
        </w:r>
      </w:hyperlink>
    </w:p>
    <w:p w14:paraId="105B47DB" w14:textId="1A8B2694" w:rsidR="00F67629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8" w:history="1">
        <w:r w:rsidR="001D2C2D" w:rsidRPr="00034A71">
          <w:rPr>
            <w:rStyle w:val="Collegamentoipertestuale"/>
            <w:i/>
            <w:iCs/>
            <w:color w:val="000000" w:themeColor="text1"/>
          </w:rPr>
          <w:t>https://ec.europa.eu/eurostat</w:t>
        </w:r>
      </w:hyperlink>
    </w:p>
    <w:p w14:paraId="6D770E3A" w14:textId="0DFEC9C4" w:rsidR="001D2C2D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39" w:history="1">
        <w:r w:rsidR="00E21ECB" w:rsidRPr="00034A71">
          <w:rPr>
            <w:rStyle w:val="Collegamentoipertestuale"/>
            <w:i/>
            <w:iCs/>
            <w:color w:val="000000" w:themeColor="text1"/>
          </w:rPr>
          <w:t>https://eur-lex.europa.eu/legal-content/IT/TXT/PDF/?uri=CELEX:32020H1202(01)</w:t>
        </w:r>
      </w:hyperlink>
    </w:p>
    <w:p w14:paraId="005A262D" w14:textId="4C13F0D8" w:rsidR="00E21ECB" w:rsidRPr="00034A71" w:rsidRDefault="00000000" w:rsidP="006C595D">
      <w:pPr>
        <w:pStyle w:val="Paragrafoelenco"/>
        <w:numPr>
          <w:ilvl w:val="0"/>
          <w:numId w:val="21"/>
        </w:numPr>
        <w:tabs>
          <w:tab w:val="left" w:pos="1510"/>
        </w:tabs>
        <w:jc w:val="both"/>
        <w:rPr>
          <w:i/>
          <w:iCs/>
          <w:color w:val="000000" w:themeColor="text1"/>
        </w:rPr>
      </w:pPr>
      <w:hyperlink r:id="rId40" w:history="1">
        <w:r w:rsidR="006C1990" w:rsidRPr="00034A71">
          <w:rPr>
            <w:rStyle w:val="Collegamentoipertestuale"/>
            <w:i/>
            <w:iCs/>
            <w:color w:val="000000" w:themeColor="text1"/>
          </w:rPr>
          <w:t>https://www.oecd.org/skills/piaac/</w:t>
        </w:r>
      </w:hyperlink>
    </w:p>
    <w:p w14:paraId="0E71CB4B" w14:textId="77777777" w:rsidR="006C1990" w:rsidRPr="00034A71" w:rsidRDefault="006C1990" w:rsidP="00034A71">
      <w:pPr>
        <w:tabs>
          <w:tab w:val="left" w:pos="1510"/>
        </w:tabs>
        <w:ind w:left="360"/>
        <w:jc w:val="both"/>
        <w:rPr>
          <w:i/>
          <w:iCs/>
          <w:color w:val="000000" w:themeColor="text1"/>
        </w:rPr>
      </w:pPr>
    </w:p>
    <w:sectPr w:rsidR="006C1990" w:rsidRPr="00034A71" w:rsidSect="00034A7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3ADE" w14:textId="77777777" w:rsidR="00EC14A5" w:rsidRDefault="00EC14A5" w:rsidP="00464E6D">
      <w:pPr>
        <w:spacing w:after="0" w:line="240" w:lineRule="auto"/>
      </w:pPr>
      <w:r>
        <w:separator/>
      </w:r>
    </w:p>
  </w:endnote>
  <w:endnote w:type="continuationSeparator" w:id="0">
    <w:p w14:paraId="19CF2CCA" w14:textId="77777777" w:rsidR="00EC14A5" w:rsidRDefault="00EC14A5" w:rsidP="0046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D5BE9" w14:textId="77777777" w:rsidR="002B20E6" w:rsidRDefault="002B20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6456074"/>
      <w:docPartObj>
        <w:docPartGallery w:val="Page Numbers (Bottom of Page)"/>
        <w:docPartUnique/>
      </w:docPartObj>
    </w:sdtPr>
    <w:sdtContent>
      <w:p w14:paraId="0F6DF2CB" w14:textId="152FC747" w:rsidR="00446A01" w:rsidRDefault="00446A01">
        <w:pPr>
          <w:pStyle w:val="Pidipagina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]</w:t>
        </w:r>
      </w:p>
    </w:sdtContent>
  </w:sdt>
  <w:p w14:paraId="4B999B1A" w14:textId="77777777" w:rsidR="00464E6D" w:rsidRDefault="00464E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9702" w14:textId="77777777" w:rsidR="002B20E6" w:rsidRDefault="002B20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530C" w14:textId="77777777" w:rsidR="00EC14A5" w:rsidRDefault="00EC14A5" w:rsidP="00464E6D">
      <w:pPr>
        <w:spacing w:after="0" w:line="240" w:lineRule="auto"/>
      </w:pPr>
      <w:r>
        <w:separator/>
      </w:r>
    </w:p>
  </w:footnote>
  <w:footnote w:type="continuationSeparator" w:id="0">
    <w:p w14:paraId="0E5EABD7" w14:textId="77777777" w:rsidR="00EC14A5" w:rsidRDefault="00EC14A5" w:rsidP="00464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07E" w14:textId="77777777" w:rsidR="002B20E6" w:rsidRDefault="002B20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9375" w14:textId="77777777" w:rsidR="002B20E6" w:rsidRDefault="002B20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0372" w14:textId="77777777" w:rsidR="002B20E6" w:rsidRDefault="002B20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EF2"/>
    <w:multiLevelType w:val="hybridMultilevel"/>
    <w:tmpl w:val="056C5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B05"/>
    <w:multiLevelType w:val="hybridMultilevel"/>
    <w:tmpl w:val="E24890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6557"/>
    <w:multiLevelType w:val="hybridMultilevel"/>
    <w:tmpl w:val="33769652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DEF3802"/>
    <w:multiLevelType w:val="hybridMultilevel"/>
    <w:tmpl w:val="C2F6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067A4"/>
    <w:multiLevelType w:val="hybridMultilevel"/>
    <w:tmpl w:val="F4668CBE"/>
    <w:lvl w:ilvl="0" w:tplc="D4428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E2953"/>
    <w:multiLevelType w:val="hybridMultilevel"/>
    <w:tmpl w:val="FAC86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41C2D"/>
    <w:multiLevelType w:val="hybridMultilevel"/>
    <w:tmpl w:val="4BA45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403"/>
    <w:multiLevelType w:val="hybridMultilevel"/>
    <w:tmpl w:val="7AE8AC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7729D"/>
    <w:multiLevelType w:val="hybridMultilevel"/>
    <w:tmpl w:val="726C374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9" w15:restartNumberingAfterBreak="0">
    <w:nsid w:val="353E4EDA"/>
    <w:multiLevelType w:val="hybridMultilevel"/>
    <w:tmpl w:val="7880312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DE422B"/>
    <w:multiLevelType w:val="hybridMultilevel"/>
    <w:tmpl w:val="6A5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05AA"/>
    <w:multiLevelType w:val="hybridMultilevel"/>
    <w:tmpl w:val="79288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B059D"/>
    <w:multiLevelType w:val="hybridMultilevel"/>
    <w:tmpl w:val="E9E4698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2D3A82"/>
    <w:multiLevelType w:val="hybridMultilevel"/>
    <w:tmpl w:val="BD8EA09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B618C8"/>
    <w:multiLevelType w:val="hybridMultilevel"/>
    <w:tmpl w:val="D2023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65DCF"/>
    <w:multiLevelType w:val="hybridMultilevel"/>
    <w:tmpl w:val="25D271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72F4F"/>
    <w:multiLevelType w:val="hybridMultilevel"/>
    <w:tmpl w:val="32E2851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56FF3"/>
    <w:multiLevelType w:val="hybridMultilevel"/>
    <w:tmpl w:val="286AB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45230"/>
    <w:multiLevelType w:val="hybridMultilevel"/>
    <w:tmpl w:val="66A89DF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F6B46"/>
    <w:multiLevelType w:val="hybridMultilevel"/>
    <w:tmpl w:val="503ED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74FCE"/>
    <w:multiLevelType w:val="hybridMultilevel"/>
    <w:tmpl w:val="CAF81D18"/>
    <w:lvl w:ilvl="0" w:tplc="DE52A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05393">
    <w:abstractNumId w:val="14"/>
  </w:num>
  <w:num w:numId="2" w16cid:durableId="454758478">
    <w:abstractNumId w:val="12"/>
  </w:num>
  <w:num w:numId="3" w16cid:durableId="498928177">
    <w:abstractNumId w:val="7"/>
  </w:num>
  <w:num w:numId="4" w16cid:durableId="1880166388">
    <w:abstractNumId w:val="13"/>
  </w:num>
  <w:num w:numId="5" w16cid:durableId="976031187">
    <w:abstractNumId w:val="0"/>
  </w:num>
  <w:num w:numId="6" w16cid:durableId="27873542">
    <w:abstractNumId w:val="5"/>
  </w:num>
  <w:num w:numId="7" w16cid:durableId="896353060">
    <w:abstractNumId w:val="2"/>
  </w:num>
  <w:num w:numId="8" w16cid:durableId="630787984">
    <w:abstractNumId w:val="10"/>
  </w:num>
  <w:num w:numId="9" w16cid:durableId="469135786">
    <w:abstractNumId w:val="17"/>
  </w:num>
  <w:num w:numId="10" w16cid:durableId="515190194">
    <w:abstractNumId w:val="8"/>
  </w:num>
  <w:num w:numId="11" w16cid:durableId="927081834">
    <w:abstractNumId w:val="1"/>
  </w:num>
  <w:num w:numId="12" w16cid:durableId="726218756">
    <w:abstractNumId w:val="6"/>
  </w:num>
  <w:num w:numId="13" w16cid:durableId="2074354082">
    <w:abstractNumId w:val="18"/>
  </w:num>
  <w:num w:numId="14" w16cid:durableId="1432822133">
    <w:abstractNumId w:val="16"/>
  </w:num>
  <w:num w:numId="15" w16cid:durableId="1397168170">
    <w:abstractNumId w:val="15"/>
  </w:num>
  <w:num w:numId="16" w16cid:durableId="826213920">
    <w:abstractNumId w:val="11"/>
  </w:num>
  <w:num w:numId="17" w16cid:durableId="1004893663">
    <w:abstractNumId w:val="9"/>
  </w:num>
  <w:num w:numId="18" w16cid:durableId="723330282">
    <w:abstractNumId w:val="19"/>
  </w:num>
  <w:num w:numId="19" w16cid:durableId="133497001">
    <w:abstractNumId w:val="3"/>
  </w:num>
  <w:num w:numId="20" w16cid:durableId="3410079">
    <w:abstractNumId w:val="4"/>
  </w:num>
  <w:num w:numId="21" w16cid:durableId="5210944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C0"/>
    <w:rsid w:val="00000118"/>
    <w:rsid w:val="000003DB"/>
    <w:rsid w:val="00000822"/>
    <w:rsid w:val="00000F49"/>
    <w:rsid w:val="000023CC"/>
    <w:rsid w:val="000047E7"/>
    <w:rsid w:val="0000510D"/>
    <w:rsid w:val="000054B0"/>
    <w:rsid w:val="00011187"/>
    <w:rsid w:val="00011346"/>
    <w:rsid w:val="00011DEC"/>
    <w:rsid w:val="00012289"/>
    <w:rsid w:val="00012F3B"/>
    <w:rsid w:val="00013C8A"/>
    <w:rsid w:val="00015A9A"/>
    <w:rsid w:val="0001674E"/>
    <w:rsid w:val="000167E8"/>
    <w:rsid w:val="00020509"/>
    <w:rsid w:val="00020662"/>
    <w:rsid w:val="00020C90"/>
    <w:rsid w:val="00021C3B"/>
    <w:rsid w:val="00022AAB"/>
    <w:rsid w:val="00022F75"/>
    <w:rsid w:val="000241F2"/>
    <w:rsid w:val="00024473"/>
    <w:rsid w:val="000258D5"/>
    <w:rsid w:val="000260C2"/>
    <w:rsid w:val="00027CA6"/>
    <w:rsid w:val="00031596"/>
    <w:rsid w:val="0003164F"/>
    <w:rsid w:val="00031EAF"/>
    <w:rsid w:val="0003328A"/>
    <w:rsid w:val="00033E98"/>
    <w:rsid w:val="00034A71"/>
    <w:rsid w:val="00036878"/>
    <w:rsid w:val="000371AD"/>
    <w:rsid w:val="00040362"/>
    <w:rsid w:val="00040785"/>
    <w:rsid w:val="00042057"/>
    <w:rsid w:val="00042A5C"/>
    <w:rsid w:val="00044446"/>
    <w:rsid w:val="00045E3F"/>
    <w:rsid w:val="0004638A"/>
    <w:rsid w:val="00046F39"/>
    <w:rsid w:val="00047534"/>
    <w:rsid w:val="00047876"/>
    <w:rsid w:val="000502C7"/>
    <w:rsid w:val="000505B7"/>
    <w:rsid w:val="0005197A"/>
    <w:rsid w:val="00052488"/>
    <w:rsid w:val="00053F05"/>
    <w:rsid w:val="000556A1"/>
    <w:rsid w:val="00056D13"/>
    <w:rsid w:val="00057181"/>
    <w:rsid w:val="00057493"/>
    <w:rsid w:val="000575FD"/>
    <w:rsid w:val="00057F83"/>
    <w:rsid w:val="000600F5"/>
    <w:rsid w:val="00060247"/>
    <w:rsid w:val="000611E7"/>
    <w:rsid w:val="0006125A"/>
    <w:rsid w:val="000639B7"/>
    <w:rsid w:val="00064B46"/>
    <w:rsid w:val="00065EF0"/>
    <w:rsid w:val="0006640E"/>
    <w:rsid w:val="00066745"/>
    <w:rsid w:val="00067DE0"/>
    <w:rsid w:val="0007124A"/>
    <w:rsid w:val="0007293F"/>
    <w:rsid w:val="00072B57"/>
    <w:rsid w:val="0007301D"/>
    <w:rsid w:val="0007424A"/>
    <w:rsid w:val="0007591F"/>
    <w:rsid w:val="00075B08"/>
    <w:rsid w:val="000768CF"/>
    <w:rsid w:val="00076B92"/>
    <w:rsid w:val="00076E46"/>
    <w:rsid w:val="00080043"/>
    <w:rsid w:val="0008189D"/>
    <w:rsid w:val="00081EBE"/>
    <w:rsid w:val="0008365C"/>
    <w:rsid w:val="00083D54"/>
    <w:rsid w:val="00084149"/>
    <w:rsid w:val="00085679"/>
    <w:rsid w:val="00085D17"/>
    <w:rsid w:val="00085E6B"/>
    <w:rsid w:val="00086031"/>
    <w:rsid w:val="000877C2"/>
    <w:rsid w:val="00090EAC"/>
    <w:rsid w:val="00091BC9"/>
    <w:rsid w:val="00091F78"/>
    <w:rsid w:val="00092758"/>
    <w:rsid w:val="00093191"/>
    <w:rsid w:val="000933B3"/>
    <w:rsid w:val="00093464"/>
    <w:rsid w:val="00093567"/>
    <w:rsid w:val="00093AE0"/>
    <w:rsid w:val="000969AD"/>
    <w:rsid w:val="00097142"/>
    <w:rsid w:val="000972F9"/>
    <w:rsid w:val="000975EB"/>
    <w:rsid w:val="000A02A3"/>
    <w:rsid w:val="000A207A"/>
    <w:rsid w:val="000A472E"/>
    <w:rsid w:val="000A4D2D"/>
    <w:rsid w:val="000B25E9"/>
    <w:rsid w:val="000B4311"/>
    <w:rsid w:val="000B68DB"/>
    <w:rsid w:val="000B786B"/>
    <w:rsid w:val="000B7FAE"/>
    <w:rsid w:val="000C08F9"/>
    <w:rsid w:val="000C09DF"/>
    <w:rsid w:val="000C130A"/>
    <w:rsid w:val="000C2011"/>
    <w:rsid w:val="000C226C"/>
    <w:rsid w:val="000C3DF4"/>
    <w:rsid w:val="000C5896"/>
    <w:rsid w:val="000C65C5"/>
    <w:rsid w:val="000D065D"/>
    <w:rsid w:val="000D06EB"/>
    <w:rsid w:val="000D0707"/>
    <w:rsid w:val="000D2ABD"/>
    <w:rsid w:val="000D2B8E"/>
    <w:rsid w:val="000E12E6"/>
    <w:rsid w:val="000E26C0"/>
    <w:rsid w:val="000E33A4"/>
    <w:rsid w:val="000E52EE"/>
    <w:rsid w:val="000E5898"/>
    <w:rsid w:val="000E650C"/>
    <w:rsid w:val="000F1BBE"/>
    <w:rsid w:val="000F2A5C"/>
    <w:rsid w:val="000F2B04"/>
    <w:rsid w:val="000F569A"/>
    <w:rsid w:val="000F5CFA"/>
    <w:rsid w:val="000F5DA6"/>
    <w:rsid w:val="000F7E8C"/>
    <w:rsid w:val="00100B10"/>
    <w:rsid w:val="001025BB"/>
    <w:rsid w:val="00107072"/>
    <w:rsid w:val="00107585"/>
    <w:rsid w:val="001115C4"/>
    <w:rsid w:val="001123EC"/>
    <w:rsid w:val="001132A4"/>
    <w:rsid w:val="0011722C"/>
    <w:rsid w:val="00117C85"/>
    <w:rsid w:val="00121A87"/>
    <w:rsid w:val="00123104"/>
    <w:rsid w:val="00124273"/>
    <w:rsid w:val="00126123"/>
    <w:rsid w:val="0012624D"/>
    <w:rsid w:val="00130DAC"/>
    <w:rsid w:val="001317E3"/>
    <w:rsid w:val="00131819"/>
    <w:rsid w:val="00132909"/>
    <w:rsid w:val="00132AE9"/>
    <w:rsid w:val="001334A2"/>
    <w:rsid w:val="0013440B"/>
    <w:rsid w:val="00134A2C"/>
    <w:rsid w:val="00134F8A"/>
    <w:rsid w:val="00136537"/>
    <w:rsid w:val="00140ABB"/>
    <w:rsid w:val="00141D00"/>
    <w:rsid w:val="0014234F"/>
    <w:rsid w:val="001424F0"/>
    <w:rsid w:val="00142584"/>
    <w:rsid w:val="001426B9"/>
    <w:rsid w:val="001469FB"/>
    <w:rsid w:val="00146DC0"/>
    <w:rsid w:val="00146DDA"/>
    <w:rsid w:val="00147910"/>
    <w:rsid w:val="0015011C"/>
    <w:rsid w:val="001507A7"/>
    <w:rsid w:val="00152FA0"/>
    <w:rsid w:val="00153348"/>
    <w:rsid w:val="00154A1E"/>
    <w:rsid w:val="00154D58"/>
    <w:rsid w:val="001574E8"/>
    <w:rsid w:val="0015776E"/>
    <w:rsid w:val="00157BA7"/>
    <w:rsid w:val="00162371"/>
    <w:rsid w:val="001636D6"/>
    <w:rsid w:val="001642C9"/>
    <w:rsid w:val="00167D96"/>
    <w:rsid w:val="00171C70"/>
    <w:rsid w:val="001720FA"/>
    <w:rsid w:val="00174C32"/>
    <w:rsid w:val="00174D2F"/>
    <w:rsid w:val="00176838"/>
    <w:rsid w:val="00177D78"/>
    <w:rsid w:val="00180052"/>
    <w:rsid w:val="00181B1A"/>
    <w:rsid w:val="00183102"/>
    <w:rsid w:val="0018310F"/>
    <w:rsid w:val="00183C6A"/>
    <w:rsid w:val="00183C73"/>
    <w:rsid w:val="001853C6"/>
    <w:rsid w:val="001870E9"/>
    <w:rsid w:val="001873FC"/>
    <w:rsid w:val="00187E89"/>
    <w:rsid w:val="00191CCA"/>
    <w:rsid w:val="00192AA2"/>
    <w:rsid w:val="0019322B"/>
    <w:rsid w:val="00194864"/>
    <w:rsid w:val="00194C2C"/>
    <w:rsid w:val="001966BB"/>
    <w:rsid w:val="00197E6B"/>
    <w:rsid w:val="001A05BB"/>
    <w:rsid w:val="001A2044"/>
    <w:rsid w:val="001A2891"/>
    <w:rsid w:val="001A2BCB"/>
    <w:rsid w:val="001A3A5F"/>
    <w:rsid w:val="001A3CD0"/>
    <w:rsid w:val="001A4131"/>
    <w:rsid w:val="001A4E7D"/>
    <w:rsid w:val="001A6102"/>
    <w:rsid w:val="001B0077"/>
    <w:rsid w:val="001B0712"/>
    <w:rsid w:val="001B4ED6"/>
    <w:rsid w:val="001C0D7F"/>
    <w:rsid w:val="001C2C50"/>
    <w:rsid w:val="001C3CB9"/>
    <w:rsid w:val="001C43C8"/>
    <w:rsid w:val="001C4409"/>
    <w:rsid w:val="001C45CB"/>
    <w:rsid w:val="001C70CA"/>
    <w:rsid w:val="001C769A"/>
    <w:rsid w:val="001D14DD"/>
    <w:rsid w:val="001D2C2D"/>
    <w:rsid w:val="001D629C"/>
    <w:rsid w:val="001D6FC1"/>
    <w:rsid w:val="001D71AB"/>
    <w:rsid w:val="001E0827"/>
    <w:rsid w:val="001E24B3"/>
    <w:rsid w:val="001E2620"/>
    <w:rsid w:val="001E3DC8"/>
    <w:rsid w:val="001E3F8B"/>
    <w:rsid w:val="001E5A0B"/>
    <w:rsid w:val="001E5C71"/>
    <w:rsid w:val="001E7A59"/>
    <w:rsid w:val="001E7CEF"/>
    <w:rsid w:val="001F10A1"/>
    <w:rsid w:val="001F1668"/>
    <w:rsid w:val="001F1744"/>
    <w:rsid w:val="001F3637"/>
    <w:rsid w:val="001F3EC5"/>
    <w:rsid w:val="001F41CC"/>
    <w:rsid w:val="001F4A02"/>
    <w:rsid w:val="001F5024"/>
    <w:rsid w:val="001F55EB"/>
    <w:rsid w:val="00201C84"/>
    <w:rsid w:val="00202D28"/>
    <w:rsid w:val="00205269"/>
    <w:rsid w:val="0020709A"/>
    <w:rsid w:val="00210E5E"/>
    <w:rsid w:val="0021138C"/>
    <w:rsid w:val="00214671"/>
    <w:rsid w:val="0021659C"/>
    <w:rsid w:val="002178FB"/>
    <w:rsid w:val="00217CDC"/>
    <w:rsid w:val="00221A4C"/>
    <w:rsid w:val="00224459"/>
    <w:rsid w:val="00224CD8"/>
    <w:rsid w:val="00224D1E"/>
    <w:rsid w:val="002255CA"/>
    <w:rsid w:val="00226D0C"/>
    <w:rsid w:val="00227119"/>
    <w:rsid w:val="002277AB"/>
    <w:rsid w:val="002279DE"/>
    <w:rsid w:val="00231895"/>
    <w:rsid w:val="00232D85"/>
    <w:rsid w:val="002330B3"/>
    <w:rsid w:val="00233B80"/>
    <w:rsid w:val="002343D6"/>
    <w:rsid w:val="002358CD"/>
    <w:rsid w:val="00235C4E"/>
    <w:rsid w:val="00237FC2"/>
    <w:rsid w:val="0024052E"/>
    <w:rsid w:val="00240E76"/>
    <w:rsid w:val="002413D0"/>
    <w:rsid w:val="002417FF"/>
    <w:rsid w:val="00242BB2"/>
    <w:rsid w:val="00243CBC"/>
    <w:rsid w:val="002542C1"/>
    <w:rsid w:val="0025436C"/>
    <w:rsid w:val="002551DC"/>
    <w:rsid w:val="002552FE"/>
    <w:rsid w:val="002555F0"/>
    <w:rsid w:val="00255914"/>
    <w:rsid w:val="00257B60"/>
    <w:rsid w:val="00261813"/>
    <w:rsid w:val="00263635"/>
    <w:rsid w:val="002643FF"/>
    <w:rsid w:val="0027092D"/>
    <w:rsid w:val="0027364A"/>
    <w:rsid w:val="00273A1B"/>
    <w:rsid w:val="002741FB"/>
    <w:rsid w:val="002747CB"/>
    <w:rsid w:val="00274B33"/>
    <w:rsid w:val="00274B76"/>
    <w:rsid w:val="00276C42"/>
    <w:rsid w:val="00276CEF"/>
    <w:rsid w:val="002771F9"/>
    <w:rsid w:val="00277821"/>
    <w:rsid w:val="00282897"/>
    <w:rsid w:val="002850F3"/>
    <w:rsid w:val="00285B48"/>
    <w:rsid w:val="00285F19"/>
    <w:rsid w:val="002863AA"/>
    <w:rsid w:val="0028668B"/>
    <w:rsid w:val="0028747B"/>
    <w:rsid w:val="002875C4"/>
    <w:rsid w:val="00287FEE"/>
    <w:rsid w:val="002931CE"/>
    <w:rsid w:val="00294892"/>
    <w:rsid w:val="00295919"/>
    <w:rsid w:val="00297145"/>
    <w:rsid w:val="00297848"/>
    <w:rsid w:val="002A032C"/>
    <w:rsid w:val="002A0759"/>
    <w:rsid w:val="002A096B"/>
    <w:rsid w:val="002A0E91"/>
    <w:rsid w:val="002A12F9"/>
    <w:rsid w:val="002A352B"/>
    <w:rsid w:val="002B0947"/>
    <w:rsid w:val="002B196A"/>
    <w:rsid w:val="002B20E6"/>
    <w:rsid w:val="002B4B71"/>
    <w:rsid w:val="002B548D"/>
    <w:rsid w:val="002B5548"/>
    <w:rsid w:val="002B7124"/>
    <w:rsid w:val="002B73BF"/>
    <w:rsid w:val="002C01AF"/>
    <w:rsid w:val="002C0AFD"/>
    <w:rsid w:val="002C2480"/>
    <w:rsid w:val="002C3CE8"/>
    <w:rsid w:val="002C589D"/>
    <w:rsid w:val="002C6837"/>
    <w:rsid w:val="002D08FF"/>
    <w:rsid w:val="002D1B35"/>
    <w:rsid w:val="002D4DEA"/>
    <w:rsid w:val="002D59DE"/>
    <w:rsid w:val="002D5D5B"/>
    <w:rsid w:val="002D6C13"/>
    <w:rsid w:val="002D738E"/>
    <w:rsid w:val="002E187E"/>
    <w:rsid w:val="002E1BA1"/>
    <w:rsid w:val="002E28B2"/>
    <w:rsid w:val="002E3B08"/>
    <w:rsid w:val="002E3C91"/>
    <w:rsid w:val="002E4121"/>
    <w:rsid w:val="002E5279"/>
    <w:rsid w:val="002E59D6"/>
    <w:rsid w:val="002E5B23"/>
    <w:rsid w:val="002E6950"/>
    <w:rsid w:val="002E6AA7"/>
    <w:rsid w:val="002E76CE"/>
    <w:rsid w:val="002F0231"/>
    <w:rsid w:val="002F051E"/>
    <w:rsid w:val="002F1359"/>
    <w:rsid w:val="002F21D0"/>
    <w:rsid w:val="002F30B2"/>
    <w:rsid w:val="002F3C23"/>
    <w:rsid w:val="002F4129"/>
    <w:rsid w:val="002F4C76"/>
    <w:rsid w:val="00300934"/>
    <w:rsid w:val="003044BC"/>
    <w:rsid w:val="00305325"/>
    <w:rsid w:val="0030705B"/>
    <w:rsid w:val="0030799B"/>
    <w:rsid w:val="00310EFB"/>
    <w:rsid w:val="00311193"/>
    <w:rsid w:val="00312E9D"/>
    <w:rsid w:val="0031356F"/>
    <w:rsid w:val="0031510A"/>
    <w:rsid w:val="00315779"/>
    <w:rsid w:val="00316492"/>
    <w:rsid w:val="00316E1E"/>
    <w:rsid w:val="0031720E"/>
    <w:rsid w:val="0032039B"/>
    <w:rsid w:val="003207BE"/>
    <w:rsid w:val="00320FB8"/>
    <w:rsid w:val="00321D8F"/>
    <w:rsid w:val="003244B7"/>
    <w:rsid w:val="0032651A"/>
    <w:rsid w:val="00327DCF"/>
    <w:rsid w:val="00331F0D"/>
    <w:rsid w:val="003327A7"/>
    <w:rsid w:val="003345C7"/>
    <w:rsid w:val="00335322"/>
    <w:rsid w:val="00342991"/>
    <w:rsid w:val="0034363B"/>
    <w:rsid w:val="00345054"/>
    <w:rsid w:val="003454E8"/>
    <w:rsid w:val="00345D6B"/>
    <w:rsid w:val="00347090"/>
    <w:rsid w:val="00347B23"/>
    <w:rsid w:val="00347B78"/>
    <w:rsid w:val="00351871"/>
    <w:rsid w:val="003521AF"/>
    <w:rsid w:val="0035320A"/>
    <w:rsid w:val="00353282"/>
    <w:rsid w:val="003536B0"/>
    <w:rsid w:val="0035427F"/>
    <w:rsid w:val="0035569F"/>
    <w:rsid w:val="00355BD6"/>
    <w:rsid w:val="0036038A"/>
    <w:rsid w:val="00360F90"/>
    <w:rsid w:val="00362AF9"/>
    <w:rsid w:val="00364266"/>
    <w:rsid w:val="00364745"/>
    <w:rsid w:val="00364760"/>
    <w:rsid w:val="00364D9F"/>
    <w:rsid w:val="00367F5A"/>
    <w:rsid w:val="00367FE3"/>
    <w:rsid w:val="00371430"/>
    <w:rsid w:val="003720A8"/>
    <w:rsid w:val="00372822"/>
    <w:rsid w:val="003750D5"/>
    <w:rsid w:val="00375BB9"/>
    <w:rsid w:val="00376A10"/>
    <w:rsid w:val="003773D6"/>
    <w:rsid w:val="0038018A"/>
    <w:rsid w:val="00380CAC"/>
    <w:rsid w:val="00380F67"/>
    <w:rsid w:val="00381EC5"/>
    <w:rsid w:val="00385052"/>
    <w:rsid w:val="00386EB8"/>
    <w:rsid w:val="00391782"/>
    <w:rsid w:val="00391CCE"/>
    <w:rsid w:val="003928AA"/>
    <w:rsid w:val="00393439"/>
    <w:rsid w:val="00393785"/>
    <w:rsid w:val="00393BCA"/>
    <w:rsid w:val="00394BC2"/>
    <w:rsid w:val="00394FE0"/>
    <w:rsid w:val="003961D3"/>
    <w:rsid w:val="003A130B"/>
    <w:rsid w:val="003A2B0F"/>
    <w:rsid w:val="003A356A"/>
    <w:rsid w:val="003A45C9"/>
    <w:rsid w:val="003A4AA6"/>
    <w:rsid w:val="003A6169"/>
    <w:rsid w:val="003B07EE"/>
    <w:rsid w:val="003B0DF1"/>
    <w:rsid w:val="003B28FE"/>
    <w:rsid w:val="003B530F"/>
    <w:rsid w:val="003B538D"/>
    <w:rsid w:val="003B606E"/>
    <w:rsid w:val="003C1FEB"/>
    <w:rsid w:val="003C251B"/>
    <w:rsid w:val="003C3404"/>
    <w:rsid w:val="003C49FD"/>
    <w:rsid w:val="003C5EB2"/>
    <w:rsid w:val="003C7F1D"/>
    <w:rsid w:val="003D1038"/>
    <w:rsid w:val="003D2D82"/>
    <w:rsid w:val="003D30B4"/>
    <w:rsid w:val="003D3173"/>
    <w:rsid w:val="003D3BB5"/>
    <w:rsid w:val="003D78EC"/>
    <w:rsid w:val="003E06E3"/>
    <w:rsid w:val="003E073A"/>
    <w:rsid w:val="003E13EE"/>
    <w:rsid w:val="003E1EA4"/>
    <w:rsid w:val="003E354B"/>
    <w:rsid w:val="003E442C"/>
    <w:rsid w:val="003E7186"/>
    <w:rsid w:val="003F01E8"/>
    <w:rsid w:val="003F15C3"/>
    <w:rsid w:val="003F2020"/>
    <w:rsid w:val="003F2D4B"/>
    <w:rsid w:val="003F47CF"/>
    <w:rsid w:val="003F4E46"/>
    <w:rsid w:val="003F50CB"/>
    <w:rsid w:val="003F6B9C"/>
    <w:rsid w:val="003F6F43"/>
    <w:rsid w:val="003F7EE1"/>
    <w:rsid w:val="004005D0"/>
    <w:rsid w:val="004009B6"/>
    <w:rsid w:val="00400F67"/>
    <w:rsid w:val="0040212C"/>
    <w:rsid w:val="00402D7A"/>
    <w:rsid w:val="004036F0"/>
    <w:rsid w:val="0040429E"/>
    <w:rsid w:val="004051F9"/>
    <w:rsid w:val="004055DA"/>
    <w:rsid w:val="0040573D"/>
    <w:rsid w:val="00406795"/>
    <w:rsid w:val="00412510"/>
    <w:rsid w:val="00413C81"/>
    <w:rsid w:val="004148BB"/>
    <w:rsid w:val="00414DCC"/>
    <w:rsid w:val="00414F29"/>
    <w:rsid w:val="00415051"/>
    <w:rsid w:val="00415349"/>
    <w:rsid w:val="00420601"/>
    <w:rsid w:val="0042099D"/>
    <w:rsid w:val="004210C1"/>
    <w:rsid w:val="00422550"/>
    <w:rsid w:val="00423A82"/>
    <w:rsid w:val="004249DA"/>
    <w:rsid w:val="00424CCD"/>
    <w:rsid w:val="0042581C"/>
    <w:rsid w:val="00425EA8"/>
    <w:rsid w:val="00426638"/>
    <w:rsid w:val="00426C13"/>
    <w:rsid w:val="0042751D"/>
    <w:rsid w:val="00427D02"/>
    <w:rsid w:val="00430D88"/>
    <w:rsid w:val="00431839"/>
    <w:rsid w:val="004329A5"/>
    <w:rsid w:val="00433572"/>
    <w:rsid w:val="004340F7"/>
    <w:rsid w:val="00434E51"/>
    <w:rsid w:val="00435139"/>
    <w:rsid w:val="0043529E"/>
    <w:rsid w:val="004354F0"/>
    <w:rsid w:val="00436175"/>
    <w:rsid w:val="004369FA"/>
    <w:rsid w:val="004400A4"/>
    <w:rsid w:val="00443412"/>
    <w:rsid w:val="00443EDB"/>
    <w:rsid w:val="00444FCE"/>
    <w:rsid w:val="004462EA"/>
    <w:rsid w:val="00446A01"/>
    <w:rsid w:val="00446F50"/>
    <w:rsid w:val="004504FC"/>
    <w:rsid w:val="004518B1"/>
    <w:rsid w:val="00451A5B"/>
    <w:rsid w:val="004532BC"/>
    <w:rsid w:val="0045517A"/>
    <w:rsid w:val="00455C76"/>
    <w:rsid w:val="00456658"/>
    <w:rsid w:val="004575B6"/>
    <w:rsid w:val="00460754"/>
    <w:rsid w:val="004622AE"/>
    <w:rsid w:val="00463312"/>
    <w:rsid w:val="0046360F"/>
    <w:rsid w:val="00463BE9"/>
    <w:rsid w:val="00464485"/>
    <w:rsid w:val="00464E6D"/>
    <w:rsid w:val="004656EA"/>
    <w:rsid w:val="00467BFE"/>
    <w:rsid w:val="004703CE"/>
    <w:rsid w:val="004716DB"/>
    <w:rsid w:val="00471719"/>
    <w:rsid w:val="004729BE"/>
    <w:rsid w:val="00472B64"/>
    <w:rsid w:val="00472D61"/>
    <w:rsid w:val="00480622"/>
    <w:rsid w:val="00483CA8"/>
    <w:rsid w:val="00484B3A"/>
    <w:rsid w:val="00485214"/>
    <w:rsid w:val="0048553B"/>
    <w:rsid w:val="00485AC9"/>
    <w:rsid w:val="00485DEA"/>
    <w:rsid w:val="004860BD"/>
    <w:rsid w:val="00487314"/>
    <w:rsid w:val="00487ECA"/>
    <w:rsid w:val="0049069B"/>
    <w:rsid w:val="00490E58"/>
    <w:rsid w:val="0049101D"/>
    <w:rsid w:val="00492CA4"/>
    <w:rsid w:val="00493E71"/>
    <w:rsid w:val="004942F7"/>
    <w:rsid w:val="0049437E"/>
    <w:rsid w:val="004946E5"/>
    <w:rsid w:val="00494EB1"/>
    <w:rsid w:val="00495FAD"/>
    <w:rsid w:val="004972AA"/>
    <w:rsid w:val="004A164C"/>
    <w:rsid w:val="004A179D"/>
    <w:rsid w:val="004A2F76"/>
    <w:rsid w:val="004A5128"/>
    <w:rsid w:val="004A55B1"/>
    <w:rsid w:val="004A56AB"/>
    <w:rsid w:val="004A787F"/>
    <w:rsid w:val="004A7B9F"/>
    <w:rsid w:val="004B0656"/>
    <w:rsid w:val="004B0C3A"/>
    <w:rsid w:val="004B0CED"/>
    <w:rsid w:val="004B14FB"/>
    <w:rsid w:val="004B6501"/>
    <w:rsid w:val="004B6A5F"/>
    <w:rsid w:val="004C1376"/>
    <w:rsid w:val="004C1892"/>
    <w:rsid w:val="004C1C14"/>
    <w:rsid w:val="004C353E"/>
    <w:rsid w:val="004C5A2D"/>
    <w:rsid w:val="004C5CDB"/>
    <w:rsid w:val="004C7134"/>
    <w:rsid w:val="004D0269"/>
    <w:rsid w:val="004D0FF5"/>
    <w:rsid w:val="004D209B"/>
    <w:rsid w:val="004D2E98"/>
    <w:rsid w:val="004D54D8"/>
    <w:rsid w:val="004D5AE8"/>
    <w:rsid w:val="004D5BF8"/>
    <w:rsid w:val="004D714A"/>
    <w:rsid w:val="004E057C"/>
    <w:rsid w:val="004E08DB"/>
    <w:rsid w:val="004E319F"/>
    <w:rsid w:val="004E32A4"/>
    <w:rsid w:val="004E4653"/>
    <w:rsid w:val="004E46DB"/>
    <w:rsid w:val="004E5D0B"/>
    <w:rsid w:val="004E6117"/>
    <w:rsid w:val="004E6CDE"/>
    <w:rsid w:val="004E731F"/>
    <w:rsid w:val="004F0452"/>
    <w:rsid w:val="004F0711"/>
    <w:rsid w:val="004F158A"/>
    <w:rsid w:val="004F1BAC"/>
    <w:rsid w:val="004F21D9"/>
    <w:rsid w:val="004F4B36"/>
    <w:rsid w:val="004F4CDD"/>
    <w:rsid w:val="004F5140"/>
    <w:rsid w:val="004F52BB"/>
    <w:rsid w:val="004F5375"/>
    <w:rsid w:val="00500D09"/>
    <w:rsid w:val="00502DDD"/>
    <w:rsid w:val="00503D24"/>
    <w:rsid w:val="00503E35"/>
    <w:rsid w:val="00504BB8"/>
    <w:rsid w:val="00505AE7"/>
    <w:rsid w:val="005077DE"/>
    <w:rsid w:val="00507C07"/>
    <w:rsid w:val="0051042D"/>
    <w:rsid w:val="005109FA"/>
    <w:rsid w:val="0051155E"/>
    <w:rsid w:val="0051397A"/>
    <w:rsid w:val="00513D46"/>
    <w:rsid w:val="0051445B"/>
    <w:rsid w:val="00514631"/>
    <w:rsid w:val="00517B2B"/>
    <w:rsid w:val="005200BF"/>
    <w:rsid w:val="00520B89"/>
    <w:rsid w:val="0052137A"/>
    <w:rsid w:val="00521DF0"/>
    <w:rsid w:val="00522A89"/>
    <w:rsid w:val="0052350A"/>
    <w:rsid w:val="005245FB"/>
    <w:rsid w:val="00524682"/>
    <w:rsid w:val="00525648"/>
    <w:rsid w:val="00525C4F"/>
    <w:rsid w:val="00527A28"/>
    <w:rsid w:val="00527F6C"/>
    <w:rsid w:val="0053107D"/>
    <w:rsid w:val="005355D1"/>
    <w:rsid w:val="00535D86"/>
    <w:rsid w:val="00535F3A"/>
    <w:rsid w:val="00535FF9"/>
    <w:rsid w:val="00540325"/>
    <w:rsid w:val="0054089F"/>
    <w:rsid w:val="00544AC5"/>
    <w:rsid w:val="00545F5A"/>
    <w:rsid w:val="00546341"/>
    <w:rsid w:val="005477E8"/>
    <w:rsid w:val="00553A69"/>
    <w:rsid w:val="00554371"/>
    <w:rsid w:val="00555531"/>
    <w:rsid w:val="00555982"/>
    <w:rsid w:val="00556954"/>
    <w:rsid w:val="00557DC3"/>
    <w:rsid w:val="005614CE"/>
    <w:rsid w:val="005623F9"/>
    <w:rsid w:val="005630ED"/>
    <w:rsid w:val="00564568"/>
    <w:rsid w:val="005671D8"/>
    <w:rsid w:val="0056772F"/>
    <w:rsid w:val="005703FE"/>
    <w:rsid w:val="00570DD2"/>
    <w:rsid w:val="0057191A"/>
    <w:rsid w:val="00571BD5"/>
    <w:rsid w:val="005738FB"/>
    <w:rsid w:val="00575172"/>
    <w:rsid w:val="00575B49"/>
    <w:rsid w:val="00576CBA"/>
    <w:rsid w:val="005815C8"/>
    <w:rsid w:val="00581CC8"/>
    <w:rsid w:val="00581D8F"/>
    <w:rsid w:val="00582BEE"/>
    <w:rsid w:val="00582E81"/>
    <w:rsid w:val="00584E00"/>
    <w:rsid w:val="00585E12"/>
    <w:rsid w:val="00590037"/>
    <w:rsid w:val="00591859"/>
    <w:rsid w:val="00593FAD"/>
    <w:rsid w:val="00593FB8"/>
    <w:rsid w:val="00595CEB"/>
    <w:rsid w:val="00597535"/>
    <w:rsid w:val="005A0DB3"/>
    <w:rsid w:val="005A0F2F"/>
    <w:rsid w:val="005A114C"/>
    <w:rsid w:val="005A1C39"/>
    <w:rsid w:val="005A29DF"/>
    <w:rsid w:val="005A3BB5"/>
    <w:rsid w:val="005A7AEA"/>
    <w:rsid w:val="005B0119"/>
    <w:rsid w:val="005B234F"/>
    <w:rsid w:val="005B2372"/>
    <w:rsid w:val="005B252C"/>
    <w:rsid w:val="005B298F"/>
    <w:rsid w:val="005B3604"/>
    <w:rsid w:val="005B584E"/>
    <w:rsid w:val="005B61EA"/>
    <w:rsid w:val="005B7433"/>
    <w:rsid w:val="005B7A63"/>
    <w:rsid w:val="005C192B"/>
    <w:rsid w:val="005C1CE2"/>
    <w:rsid w:val="005C23E9"/>
    <w:rsid w:val="005C2BA4"/>
    <w:rsid w:val="005C2C99"/>
    <w:rsid w:val="005C3973"/>
    <w:rsid w:val="005C749B"/>
    <w:rsid w:val="005D0D6E"/>
    <w:rsid w:val="005D1A71"/>
    <w:rsid w:val="005D1D67"/>
    <w:rsid w:val="005D388C"/>
    <w:rsid w:val="005D3894"/>
    <w:rsid w:val="005D3982"/>
    <w:rsid w:val="005D43F1"/>
    <w:rsid w:val="005D4552"/>
    <w:rsid w:val="005D6679"/>
    <w:rsid w:val="005D66C6"/>
    <w:rsid w:val="005D7F91"/>
    <w:rsid w:val="005E293D"/>
    <w:rsid w:val="005E3465"/>
    <w:rsid w:val="005E3C16"/>
    <w:rsid w:val="005E3F34"/>
    <w:rsid w:val="005E4B45"/>
    <w:rsid w:val="005E566C"/>
    <w:rsid w:val="005E59D5"/>
    <w:rsid w:val="005E5A38"/>
    <w:rsid w:val="005E6F92"/>
    <w:rsid w:val="005F0DF0"/>
    <w:rsid w:val="005F1574"/>
    <w:rsid w:val="005F159D"/>
    <w:rsid w:val="005F160E"/>
    <w:rsid w:val="005F39D5"/>
    <w:rsid w:val="005F3BA2"/>
    <w:rsid w:val="005F5058"/>
    <w:rsid w:val="005F5ED2"/>
    <w:rsid w:val="005F6799"/>
    <w:rsid w:val="005F67C3"/>
    <w:rsid w:val="005F7B73"/>
    <w:rsid w:val="00601B13"/>
    <w:rsid w:val="00602367"/>
    <w:rsid w:val="00604087"/>
    <w:rsid w:val="00605A81"/>
    <w:rsid w:val="0060710F"/>
    <w:rsid w:val="00607920"/>
    <w:rsid w:val="00610385"/>
    <w:rsid w:val="006114A5"/>
    <w:rsid w:val="0061209B"/>
    <w:rsid w:val="006127BD"/>
    <w:rsid w:val="00614BFB"/>
    <w:rsid w:val="00614D22"/>
    <w:rsid w:val="00616633"/>
    <w:rsid w:val="00617357"/>
    <w:rsid w:val="006228F3"/>
    <w:rsid w:val="00624B54"/>
    <w:rsid w:val="00624D1E"/>
    <w:rsid w:val="006257DC"/>
    <w:rsid w:val="00627FE9"/>
    <w:rsid w:val="006305A7"/>
    <w:rsid w:val="00630A82"/>
    <w:rsid w:val="00630AAE"/>
    <w:rsid w:val="0063142D"/>
    <w:rsid w:val="00631691"/>
    <w:rsid w:val="00635470"/>
    <w:rsid w:val="0063592B"/>
    <w:rsid w:val="006369BE"/>
    <w:rsid w:val="0064298D"/>
    <w:rsid w:val="00645E5F"/>
    <w:rsid w:val="0064728E"/>
    <w:rsid w:val="00650D33"/>
    <w:rsid w:val="00650F97"/>
    <w:rsid w:val="00650FE7"/>
    <w:rsid w:val="00654945"/>
    <w:rsid w:val="00654BF4"/>
    <w:rsid w:val="00655121"/>
    <w:rsid w:val="006556F2"/>
    <w:rsid w:val="0065737C"/>
    <w:rsid w:val="0066071D"/>
    <w:rsid w:val="00661449"/>
    <w:rsid w:val="0066264E"/>
    <w:rsid w:val="00662D0C"/>
    <w:rsid w:val="006636EB"/>
    <w:rsid w:val="0066461E"/>
    <w:rsid w:val="00664622"/>
    <w:rsid w:val="006657E3"/>
    <w:rsid w:val="00667B7A"/>
    <w:rsid w:val="00667F06"/>
    <w:rsid w:val="0067098C"/>
    <w:rsid w:val="0067162D"/>
    <w:rsid w:val="00672E69"/>
    <w:rsid w:val="006733A3"/>
    <w:rsid w:val="006738E1"/>
    <w:rsid w:val="00674896"/>
    <w:rsid w:val="006751E0"/>
    <w:rsid w:val="006751FA"/>
    <w:rsid w:val="006762F5"/>
    <w:rsid w:val="006769CD"/>
    <w:rsid w:val="0067708A"/>
    <w:rsid w:val="006778DD"/>
    <w:rsid w:val="00683FC3"/>
    <w:rsid w:val="0068462C"/>
    <w:rsid w:val="00685587"/>
    <w:rsid w:val="00685902"/>
    <w:rsid w:val="0068699B"/>
    <w:rsid w:val="00690063"/>
    <w:rsid w:val="00690428"/>
    <w:rsid w:val="00690456"/>
    <w:rsid w:val="00691AB9"/>
    <w:rsid w:val="00693290"/>
    <w:rsid w:val="006948C7"/>
    <w:rsid w:val="00694F89"/>
    <w:rsid w:val="006954B6"/>
    <w:rsid w:val="006961B2"/>
    <w:rsid w:val="00697788"/>
    <w:rsid w:val="00697BD6"/>
    <w:rsid w:val="00697CAF"/>
    <w:rsid w:val="00697D12"/>
    <w:rsid w:val="006A26E1"/>
    <w:rsid w:val="006A2A85"/>
    <w:rsid w:val="006A2C2F"/>
    <w:rsid w:val="006A312B"/>
    <w:rsid w:val="006A42A4"/>
    <w:rsid w:val="006A4722"/>
    <w:rsid w:val="006A53A0"/>
    <w:rsid w:val="006A53AC"/>
    <w:rsid w:val="006A617C"/>
    <w:rsid w:val="006A61FB"/>
    <w:rsid w:val="006A68F7"/>
    <w:rsid w:val="006A7BA0"/>
    <w:rsid w:val="006B00BD"/>
    <w:rsid w:val="006B06FF"/>
    <w:rsid w:val="006B15F7"/>
    <w:rsid w:val="006B20F2"/>
    <w:rsid w:val="006B588E"/>
    <w:rsid w:val="006B5CC1"/>
    <w:rsid w:val="006B6A17"/>
    <w:rsid w:val="006C113B"/>
    <w:rsid w:val="006C1990"/>
    <w:rsid w:val="006C3382"/>
    <w:rsid w:val="006C5819"/>
    <w:rsid w:val="006C595D"/>
    <w:rsid w:val="006C62D4"/>
    <w:rsid w:val="006C6C14"/>
    <w:rsid w:val="006D023C"/>
    <w:rsid w:val="006D23FE"/>
    <w:rsid w:val="006D25B1"/>
    <w:rsid w:val="006D3A96"/>
    <w:rsid w:val="006D49EA"/>
    <w:rsid w:val="006D67A2"/>
    <w:rsid w:val="006D73D4"/>
    <w:rsid w:val="006D7C46"/>
    <w:rsid w:val="006E16B0"/>
    <w:rsid w:val="006E19D8"/>
    <w:rsid w:val="006E2A0D"/>
    <w:rsid w:val="006E49B9"/>
    <w:rsid w:val="006E5308"/>
    <w:rsid w:val="006E6589"/>
    <w:rsid w:val="006E7271"/>
    <w:rsid w:val="006F0222"/>
    <w:rsid w:val="006F236C"/>
    <w:rsid w:val="006F402F"/>
    <w:rsid w:val="006F4C51"/>
    <w:rsid w:val="006F53C0"/>
    <w:rsid w:val="006F6565"/>
    <w:rsid w:val="006F781A"/>
    <w:rsid w:val="00700497"/>
    <w:rsid w:val="00701CA9"/>
    <w:rsid w:val="00701DDB"/>
    <w:rsid w:val="00702046"/>
    <w:rsid w:val="00702C8A"/>
    <w:rsid w:val="0070379F"/>
    <w:rsid w:val="00703933"/>
    <w:rsid w:val="00703B4E"/>
    <w:rsid w:val="00705782"/>
    <w:rsid w:val="0070679B"/>
    <w:rsid w:val="00706A74"/>
    <w:rsid w:val="007123C1"/>
    <w:rsid w:val="00712EAB"/>
    <w:rsid w:val="0071344E"/>
    <w:rsid w:val="0071357A"/>
    <w:rsid w:val="00713646"/>
    <w:rsid w:val="00713809"/>
    <w:rsid w:val="00714CC9"/>
    <w:rsid w:val="00714D6E"/>
    <w:rsid w:val="007160DA"/>
    <w:rsid w:val="007166BE"/>
    <w:rsid w:val="0072056A"/>
    <w:rsid w:val="00723B1A"/>
    <w:rsid w:val="00723D2F"/>
    <w:rsid w:val="00724C65"/>
    <w:rsid w:val="00724F08"/>
    <w:rsid w:val="007257B3"/>
    <w:rsid w:val="0072589C"/>
    <w:rsid w:val="007270EB"/>
    <w:rsid w:val="0072743C"/>
    <w:rsid w:val="007276B5"/>
    <w:rsid w:val="00727A8F"/>
    <w:rsid w:val="00730665"/>
    <w:rsid w:val="007306F0"/>
    <w:rsid w:val="00733517"/>
    <w:rsid w:val="00733826"/>
    <w:rsid w:val="0073400C"/>
    <w:rsid w:val="007343BE"/>
    <w:rsid w:val="00734926"/>
    <w:rsid w:val="00735D23"/>
    <w:rsid w:val="0073626D"/>
    <w:rsid w:val="00741970"/>
    <w:rsid w:val="00742695"/>
    <w:rsid w:val="007427C5"/>
    <w:rsid w:val="007428A5"/>
    <w:rsid w:val="007432DF"/>
    <w:rsid w:val="007451B9"/>
    <w:rsid w:val="00745749"/>
    <w:rsid w:val="0074717D"/>
    <w:rsid w:val="00750698"/>
    <w:rsid w:val="007512C6"/>
    <w:rsid w:val="0075270B"/>
    <w:rsid w:val="00753187"/>
    <w:rsid w:val="00754990"/>
    <w:rsid w:val="00756757"/>
    <w:rsid w:val="007573B2"/>
    <w:rsid w:val="00760CCA"/>
    <w:rsid w:val="007615B2"/>
    <w:rsid w:val="00762A45"/>
    <w:rsid w:val="00762F54"/>
    <w:rsid w:val="00763022"/>
    <w:rsid w:val="007637BD"/>
    <w:rsid w:val="007637F6"/>
    <w:rsid w:val="007649A9"/>
    <w:rsid w:val="00765309"/>
    <w:rsid w:val="00765B2E"/>
    <w:rsid w:val="007661CE"/>
    <w:rsid w:val="00766EB7"/>
    <w:rsid w:val="00767183"/>
    <w:rsid w:val="007700FB"/>
    <w:rsid w:val="00770B4C"/>
    <w:rsid w:val="0077101A"/>
    <w:rsid w:val="00771376"/>
    <w:rsid w:val="0077221E"/>
    <w:rsid w:val="007725E0"/>
    <w:rsid w:val="007726C8"/>
    <w:rsid w:val="00772A48"/>
    <w:rsid w:val="00772D21"/>
    <w:rsid w:val="0077341F"/>
    <w:rsid w:val="007755F4"/>
    <w:rsid w:val="00776E2F"/>
    <w:rsid w:val="007772AE"/>
    <w:rsid w:val="00777F13"/>
    <w:rsid w:val="0078323C"/>
    <w:rsid w:val="007839A5"/>
    <w:rsid w:val="007862E2"/>
    <w:rsid w:val="00786C9D"/>
    <w:rsid w:val="007873BA"/>
    <w:rsid w:val="00794747"/>
    <w:rsid w:val="007947D8"/>
    <w:rsid w:val="00794A16"/>
    <w:rsid w:val="007961BE"/>
    <w:rsid w:val="00796EAC"/>
    <w:rsid w:val="007A2210"/>
    <w:rsid w:val="007A573B"/>
    <w:rsid w:val="007A72AA"/>
    <w:rsid w:val="007A7DED"/>
    <w:rsid w:val="007B037A"/>
    <w:rsid w:val="007B0BDF"/>
    <w:rsid w:val="007B12C1"/>
    <w:rsid w:val="007B321A"/>
    <w:rsid w:val="007B39DE"/>
    <w:rsid w:val="007B3D28"/>
    <w:rsid w:val="007B4348"/>
    <w:rsid w:val="007B7B26"/>
    <w:rsid w:val="007B7E85"/>
    <w:rsid w:val="007C19D7"/>
    <w:rsid w:val="007C2D57"/>
    <w:rsid w:val="007C2E5A"/>
    <w:rsid w:val="007C3A73"/>
    <w:rsid w:val="007C400A"/>
    <w:rsid w:val="007C548F"/>
    <w:rsid w:val="007C5F36"/>
    <w:rsid w:val="007C692D"/>
    <w:rsid w:val="007C69FB"/>
    <w:rsid w:val="007C6DA0"/>
    <w:rsid w:val="007C6EAD"/>
    <w:rsid w:val="007C7B26"/>
    <w:rsid w:val="007D0277"/>
    <w:rsid w:val="007D065B"/>
    <w:rsid w:val="007D0735"/>
    <w:rsid w:val="007D0788"/>
    <w:rsid w:val="007D0A08"/>
    <w:rsid w:val="007D0D9A"/>
    <w:rsid w:val="007D1D2B"/>
    <w:rsid w:val="007D1F2D"/>
    <w:rsid w:val="007D252D"/>
    <w:rsid w:val="007D7013"/>
    <w:rsid w:val="007E1875"/>
    <w:rsid w:val="007E1A62"/>
    <w:rsid w:val="007E1BBE"/>
    <w:rsid w:val="007E267F"/>
    <w:rsid w:val="007E26D0"/>
    <w:rsid w:val="007E3A78"/>
    <w:rsid w:val="007E4146"/>
    <w:rsid w:val="007F04E0"/>
    <w:rsid w:val="007F26C8"/>
    <w:rsid w:val="007F3D6B"/>
    <w:rsid w:val="00800235"/>
    <w:rsid w:val="008015B1"/>
    <w:rsid w:val="00801D9C"/>
    <w:rsid w:val="00801EE6"/>
    <w:rsid w:val="00802CA4"/>
    <w:rsid w:val="008030F7"/>
    <w:rsid w:val="00803D7D"/>
    <w:rsid w:val="00803F9F"/>
    <w:rsid w:val="00810958"/>
    <w:rsid w:val="0081255C"/>
    <w:rsid w:val="00812CA0"/>
    <w:rsid w:val="008148BD"/>
    <w:rsid w:val="00814EF8"/>
    <w:rsid w:val="00815220"/>
    <w:rsid w:val="008155FB"/>
    <w:rsid w:val="008164CB"/>
    <w:rsid w:val="008179F6"/>
    <w:rsid w:val="0082046A"/>
    <w:rsid w:val="0082252E"/>
    <w:rsid w:val="008228D2"/>
    <w:rsid w:val="00822CEF"/>
    <w:rsid w:val="00823F4C"/>
    <w:rsid w:val="0082422B"/>
    <w:rsid w:val="00824F9C"/>
    <w:rsid w:val="00825DDD"/>
    <w:rsid w:val="0082631D"/>
    <w:rsid w:val="00827A30"/>
    <w:rsid w:val="00827EB6"/>
    <w:rsid w:val="00830709"/>
    <w:rsid w:val="00832A13"/>
    <w:rsid w:val="00832E6D"/>
    <w:rsid w:val="008333A2"/>
    <w:rsid w:val="00833BCF"/>
    <w:rsid w:val="00833DEA"/>
    <w:rsid w:val="0083451F"/>
    <w:rsid w:val="00837C9B"/>
    <w:rsid w:val="0084188A"/>
    <w:rsid w:val="00841E6A"/>
    <w:rsid w:val="0084281F"/>
    <w:rsid w:val="008431BD"/>
    <w:rsid w:val="0084371E"/>
    <w:rsid w:val="008439DD"/>
    <w:rsid w:val="00843B28"/>
    <w:rsid w:val="00844AF9"/>
    <w:rsid w:val="008456D5"/>
    <w:rsid w:val="0084587D"/>
    <w:rsid w:val="00845C03"/>
    <w:rsid w:val="0085236B"/>
    <w:rsid w:val="00852493"/>
    <w:rsid w:val="0085269C"/>
    <w:rsid w:val="00852809"/>
    <w:rsid w:val="008549D7"/>
    <w:rsid w:val="00856397"/>
    <w:rsid w:val="008563D4"/>
    <w:rsid w:val="008606E4"/>
    <w:rsid w:val="00861692"/>
    <w:rsid w:val="00861EB3"/>
    <w:rsid w:val="008623F3"/>
    <w:rsid w:val="00863E6C"/>
    <w:rsid w:val="0086522C"/>
    <w:rsid w:val="00870194"/>
    <w:rsid w:val="00873DDF"/>
    <w:rsid w:val="00874AF8"/>
    <w:rsid w:val="00874CFA"/>
    <w:rsid w:val="00874D52"/>
    <w:rsid w:val="0087525C"/>
    <w:rsid w:val="008773E8"/>
    <w:rsid w:val="0088240E"/>
    <w:rsid w:val="00882A9D"/>
    <w:rsid w:val="00882AEB"/>
    <w:rsid w:val="00885FD5"/>
    <w:rsid w:val="00887278"/>
    <w:rsid w:val="0088753D"/>
    <w:rsid w:val="00887902"/>
    <w:rsid w:val="008900A4"/>
    <w:rsid w:val="00891C2B"/>
    <w:rsid w:val="00892051"/>
    <w:rsid w:val="0089209E"/>
    <w:rsid w:val="0089213A"/>
    <w:rsid w:val="00892437"/>
    <w:rsid w:val="00893B3C"/>
    <w:rsid w:val="0089474B"/>
    <w:rsid w:val="008957BB"/>
    <w:rsid w:val="00895A9A"/>
    <w:rsid w:val="008962AB"/>
    <w:rsid w:val="00896C99"/>
    <w:rsid w:val="00896D90"/>
    <w:rsid w:val="008973E7"/>
    <w:rsid w:val="00897409"/>
    <w:rsid w:val="008A15C1"/>
    <w:rsid w:val="008A25D3"/>
    <w:rsid w:val="008A3006"/>
    <w:rsid w:val="008A3789"/>
    <w:rsid w:val="008A394E"/>
    <w:rsid w:val="008A485D"/>
    <w:rsid w:val="008A56BD"/>
    <w:rsid w:val="008A6168"/>
    <w:rsid w:val="008A64F5"/>
    <w:rsid w:val="008A6948"/>
    <w:rsid w:val="008A73BF"/>
    <w:rsid w:val="008A7562"/>
    <w:rsid w:val="008B035D"/>
    <w:rsid w:val="008B125A"/>
    <w:rsid w:val="008B1BC2"/>
    <w:rsid w:val="008B252B"/>
    <w:rsid w:val="008B2961"/>
    <w:rsid w:val="008B29CD"/>
    <w:rsid w:val="008B3A8E"/>
    <w:rsid w:val="008B47F8"/>
    <w:rsid w:val="008B4D3C"/>
    <w:rsid w:val="008B4EEF"/>
    <w:rsid w:val="008B53B8"/>
    <w:rsid w:val="008B548C"/>
    <w:rsid w:val="008B61EE"/>
    <w:rsid w:val="008B6BAD"/>
    <w:rsid w:val="008B6F0B"/>
    <w:rsid w:val="008C0FEB"/>
    <w:rsid w:val="008C2397"/>
    <w:rsid w:val="008C2762"/>
    <w:rsid w:val="008C3229"/>
    <w:rsid w:val="008C396E"/>
    <w:rsid w:val="008C4318"/>
    <w:rsid w:val="008C449F"/>
    <w:rsid w:val="008C4CB2"/>
    <w:rsid w:val="008C4E1C"/>
    <w:rsid w:val="008C4E84"/>
    <w:rsid w:val="008C7130"/>
    <w:rsid w:val="008C7CAD"/>
    <w:rsid w:val="008D10F3"/>
    <w:rsid w:val="008D1186"/>
    <w:rsid w:val="008D46C1"/>
    <w:rsid w:val="008D4B2B"/>
    <w:rsid w:val="008D51BD"/>
    <w:rsid w:val="008D6D40"/>
    <w:rsid w:val="008E03EB"/>
    <w:rsid w:val="008E1D40"/>
    <w:rsid w:val="008E2EAA"/>
    <w:rsid w:val="008E3685"/>
    <w:rsid w:val="008E58B6"/>
    <w:rsid w:val="008E5C87"/>
    <w:rsid w:val="008E6C0D"/>
    <w:rsid w:val="008E6C57"/>
    <w:rsid w:val="008F014F"/>
    <w:rsid w:val="008F0CC7"/>
    <w:rsid w:val="008F1E64"/>
    <w:rsid w:val="008F3EA0"/>
    <w:rsid w:val="008F4D4F"/>
    <w:rsid w:val="008F4D9C"/>
    <w:rsid w:val="008F6408"/>
    <w:rsid w:val="00900BCF"/>
    <w:rsid w:val="009023AE"/>
    <w:rsid w:val="009030D1"/>
    <w:rsid w:val="00905532"/>
    <w:rsid w:val="009058B7"/>
    <w:rsid w:val="00905C01"/>
    <w:rsid w:val="00905C3A"/>
    <w:rsid w:val="00905E71"/>
    <w:rsid w:val="00905F05"/>
    <w:rsid w:val="00906472"/>
    <w:rsid w:val="0090667F"/>
    <w:rsid w:val="0090679D"/>
    <w:rsid w:val="00906ACE"/>
    <w:rsid w:val="0091240A"/>
    <w:rsid w:val="00912885"/>
    <w:rsid w:val="00912BC8"/>
    <w:rsid w:val="00913745"/>
    <w:rsid w:val="009145DA"/>
    <w:rsid w:val="00914A48"/>
    <w:rsid w:val="009161F6"/>
    <w:rsid w:val="0091764C"/>
    <w:rsid w:val="00917DFE"/>
    <w:rsid w:val="009202B6"/>
    <w:rsid w:val="00920A39"/>
    <w:rsid w:val="00921400"/>
    <w:rsid w:val="00921634"/>
    <w:rsid w:val="009218F6"/>
    <w:rsid w:val="0092389F"/>
    <w:rsid w:val="009246B0"/>
    <w:rsid w:val="00924CEF"/>
    <w:rsid w:val="00926333"/>
    <w:rsid w:val="009278E2"/>
    <w:rsid w:val="009304F2"/>
    <w:rsid w:val="00930F2B"/>
    <w:rsid w:val="009319C4"/>
    <w:rsid w:val="00931BCF"/>
    <w:rsid w:val="009326F9"/>
    <w:rsid w:val="0093305C"/>
    <w:rsid w:val="00934688"/>
    <w:rsid w:val="0093475E"/>
    <w:rsid w:val="009359D8"/>
    <w:rsid w:val="00942C2F"/>
    <w:rsid w:val="009431E1"/>
    <w:rsid w:val="00944BE0"/>
    <w:rsid w:val="00945C84"/>
    <w:rsid w:val="00946E8E"/>
    <w:rsid w:val="009479D1"/>
    <w:rsid w:val="00947B1E"/>
    <w:rsid w:val="009506C4"/>
    <w:rsid w:val="00950E54"/>
    <w:rsid w:val="00952227"/>
    <w:rsid w:val="00952D10"/>
    <w:rsid w:val="009578CB"/>
    <w:rsid w:val="00960338"/>
    <w:rsid w:val="0096335B"/>
    <w:rsid w:val="009646A4"/>
    <w:rsid w:val="00964A58"/>
    <w:rsid w:val="00965253"/>
    <w:rsid w:val="00967CFA"/>
    <w:rsid w:val="00971FF1"/>
    <w:rsid w:val="0098049D"/>
    <w:rsid w:val="0098088A"/>
    <w:rsid w:val="00981527"/>
    <w:rsid w:val="00982CDA"/>
    <w:rsid w:val="00984058"/>
    <w:rsid w:val="00984DA4"/>
    <w:rsid w:val="00985016"/>
    <w:rsid w:val="009854F9"/>
    <w:rsid w:val="00990375"/>
    <w:rsid w:val="00991EC0"/>
    <w:rsid w:val="00994969"/>
    <w:rsid w:val="00994B23"/>
    <w:rsid w:val="00997178"/>
    <w:rsid w:val="009A010E"/>
    <w:rsid w:val="009A3951"/>
    <w:rsid w:val="009A5659"/>
    <w:rsid w:val="009A609D"/>
    <w:rsid w:val="009A6D11"/>
    <w:rsid w:val="009A7E19"/>
    <w:rsid w:val="009B0131"/>
    <w:rsid w:val="009B09CE"/>
    <w:rsid w:val="009B1CE1"/>
    <w:rsid w:val="009B1D9D"/>
    <w:rsid w:val="009B2B33"/>
    <w:rsid w:val="009B2B53"/>
    <w:rsid w:val="009B2F8E"/>
    <w:rsid w:val="009B5F04"/>
    <w:rsid w:val="009B5F24"/>
    <w:rsid w:val="009B662A"/>
    <w:rsid w:val="009B704B"/>
    <w:rsid w:val="009B76FD"/>
    <w:rsid w:val="009B77EE"/>
    <w:rsid w:val="009C1B07"/>
    <w:rsid w:val="009C2851"/>
    <w:rsid w:val="009C51CD"/>
    <w:rsid w:val="009C65B8"/>
    <w:rsid w:val="009C7281"/>
    <w:rsid w:val="009D59C8"/>
    <w:rsid w:val="009D5CD8"/>
    <w:rsid w:val="009D5DD1"/>
    <w:rsid w:val="009D5E9C"/>
    <w:rsid w:val="009D6896"/>
    <w:rsid w:val="009E12A1"/>
    <w:rsid w:val="009E1329"/>
    <w:rsid w:val="009E145F"/>
    <w:rsid w:val="009E2309"/>
    <w:rsid w:val="009E3200"/>
    <w:rsid w:val="009E61ED"/>
    <w:rsid w:val="009F08EF"/>
    <w:rsid w:val="009F1674"/>
    <w:rsid w:val="009F2191"/>
    <w:rsid w:val="009F48D5"/>
    <w:rsid w:val="009F48E6"/>
    <w:rsid w:val="009F4999"/>
    <w:rsid w:val="009F73C6"/>
    <w:rsid w:val="009F76E9"/>
    <w:rsid w:val="009F7845"/>
    <w:rsid w:val="00A006BA"/>
    <w:rsid w:val="00A00B9A"/>
    <w:rsid w:val="00A0170B"/>
    <w:rsid w:val="00A01AFA"/>
    <w:rsid w:val="00A02B59"/>
    <w:rsid w:val="00A02EB9"/>
    <w:rsid w:val="00A041E6"/>
    <w:rsid w:val="00A041E8"/>
    <w:rsid w:val="00A06204"/>
    <w:rsid w:val="00A0725D"/>
    <w:rsid w:val="00A118C0"/>
    <w:rsid w:val="00A12382"/>
    <w:rsid w:val="00A12BB2"/>
    <w:rsid w:val="00A139B9"/>
    <w:rsid w:val="00A13A73"/>
    <w:rsid w:val="00A15653"/>
    <w:rsid w:val="00A163DD"/>
    <w:rsid w:val="00A16863"/>
    <w:rsid w:val="00A16EE3"/>
    <w:rsid w:val="00A17900"/>
    <w:rsid w:val="00A20B36"/>
    <w:rsid w:val="00A22146"/>
    <w:rsid w:val="00A23631"/>
    <w:rsid w:val="00A244E2"/>
    <w:rsid w:val="00A245AA"/>
    <w:rsid w:val="00A249CF"/>
    <w:rsid w:val="00A2574B"/>
    <w:rsid w:val="00A25E2F"/>
    <w:rsid w:val="00A272DC"/>
    <w:rsid w:val="00A273BE"/>
    <w:rsid w:val="00A274ED"/>
    <w:rsid w:val="00A304C9"/>
    <w:rsid w:val="00A30511"/>
    <w:rsid w:val="00A32463"/>
    <w:rsid w:val="00A34728"/>
    <w:rsid w:val="00A354D8"/>
    <w:rsid w:val="00A3617C"/>
    <w:rsid w:val="00A36FFF"/>
    <w:rsid w:val="00A401FC"/>
    <w:rsid w:val="00A4182A"/>
    <w:rsid w:val="00A425BF"/>
    <w:rsid w:val="00A42680"/>
    <w:rsid w:val="00A4297E"/>
    <w:rsid w:val="00A42C76"/>
    <w:rsid w:val="00A44236"/>
    <w:rsid w:val="00A44613"/>
    <w:rsid w:val="00A45112"/>
    <w:rsid w:val="00A45634"/>
    <w:rsid w:val="00A45E77"/>
    <w:rsid w:val="00A47796"/>
    <w:rsid w:val="00A50066"/>
    <w:rsid w:val="00A527D5"/>
    <w:rsid w:val="00A52829"/>
    <w:rsid w:val="00A5326E"/>
    <w:rsid w:val="00A54404"/>
    <w:rsid w:val="00A54A1A"/>
    <w:rsid w:val="00A56379"/>
    <w:rsid w:val="00A57CEE"/>
    <w:rsid w:val="00A61E7C"/>
    <w:rsid w:val="00A667C2"/>
    <w:rsid w:val="00A66A7A"/>
    <w:rsid w:val="00A67D70"/>
    <w:rsid w:val="00A67FDE"/>
    <w:rsid w:val="00A71641"/>
    <w:rsid w:val="00A723B8"/>
    <w:rsid w:val="00A73BBE"/>
    <w:rsid w:val="00A75739"/>
    <w:rsid w:val="00A77D6E"/>
    <w:rsid w:val="00A830FC"/>
    <w:rsid w:val="00A8347A"/>
    <w:rsid w:val="00A85F9A"/>
    <w:rsid w:val="00A87A12"/>
    <w:rsid w:val="00A93C19"/>
    <w:rsid w:val="00A94235"/>
    <w:rsid w:val="00A94D99"/>
    <w:rsid w:val="00A9534F"/>
    <w:rsid w:val="00A96F6F"/>
    <w:rsid w:val="00AA3578"/>
    <w:rsid w:val="00AA4724"/>
    <w:rsid w:val="00AA607A"/>
    <w:rsid w:val="00AA6FA8"/>
    <w:rsid w:val="00AA7650"/>
    <w:rsid w:val="00AA7850"/>
    <w:rsid w:val="00AB01C9"/>
    <w:rsid w:val="00AB131A"/>
    <w:rsid w:val="00AB1E0E"/>
    <w:rsid w:val="00AB239E"/>
    <w:rsid w:val="00AB2407"/>
    <w:rsid w:val="00AB35CA"/>
    <w:rsid w:val="00AB5772"/>
    <w:rsid w:val="00AB5899"/>
    <w:rsid w:val="00AB682B"/>
    <w:rsid w:val="00AC0233"/>
    <w:rsid w:val="00AC1354"/>
    <w:rsid w:val="00AC243E"/>
    <w:rsid w:val="00AC3186"/>
    <w:rsid w:val="00AC42B1"/>
    <w:rsid w:val="00AC460C"/>
    <w:rsid w:val="00AC4A7A"/>
    <w:rsid w:val="00AC4CAE"/>
    <w:rsid w:val="00AC7284"/>
    <w:rsid w:val="00AC73BF"/>
    <w:rsid w:val="00AD0F68"/>
    <w:rsid w:val="00AD1921"/>
    <w:rsid w:val="00AD296A"/>
    <w:rsid w:val="00AD2E29"/>
    <w:rsid w:val="00AD3BD6"/>
    <w:rsid w:val="00AD3CB6"/>
    <w:rsid w:val="00AD44F6"/>
    <w:rsid w:val="00AD4AE4"/>
    <w:rsid w:val="00AD50F4"/>
    <w:rsid w:val="00AD5702"/>
    <w:rsid w:val="00AD6633"/>
    <w:rsid w:val="00AD7C7D"/>
    <w:rsid w:val="00AE0631"/>
    <w:rsid w:val="00AE08D3"/>
    <w:rsid w:val="00AE1766"/>
    <w:rsid w:val="00AE224D"/>
    <w:rsid w:val="00AE276C"/>
    <w:rsid w:val="00AE2C72"/>
    <w:rsid w:val="00AE42AD"/>
    <w:rsid w:val="00AF0C81"/>
    <w:rsid w:val="00AF13F2"/>
    <w:rsid w:val="00AF19D1"/>
    <w:rsid w:val="00AF2315"/>
    <w:rsid w:val="00AF42A3"/>
    <w:rsid w:val="00AF5336"/>
    <w:rsid w:val="00AF70FD"/>
    <w:rsid w:val="00B0091A"/>
    <w:rsid w:val="00B01186"/>
    <w:rsid w:val="00B0167D"/>
    <w:rsid w:val="00B01BFB"/>
    <w:rsid w:val="00B022B5"/>
    <w:rsid w:val="00B043B1"/>
    <w:rsid w:val="00B049F1"/>
    <w:rsid w:val="00B06349"/>
    <w:rsid w:val="00B06AF3"/>
    <w:rsid w:val="00B0705F"/>
    <w:rsid w:val="00B078CC"/>
    <w:rsid w:val="00B10D62"/>
    <w:rsid w:val="00B11CD1"/>
    <w:rsid w:val="00B127DA"/>
    <w:rsid w:val="00B12A4B"/>
    <w:rsid w:val="00B1464C"/>
    <w:rsid w:val="00B14698"/>
    <w:rsid w:val="00B14E16"/>
    <w:rsid w:val="00B1526A"/>
    <w:rsid w:val="00B154C3"/>
    <w:rsid w:val="00B15B62"/>
    <w:rsid w:val="00B16910"/>
    <w:rsid w:val="00B1713C"/>
    <w:rsid w:val="00B20332"/>
    <w:rsid w:val="00B20EC0"/>
    <w:rsid w:val="00B221B8"/>
    <w:rsid w:val="00B23AD1"/>
    <w:rsid w:val="00B247CF"/>
    <w:rsid w:val="00B24A60"/>
    <w:rsid w:val="00B25135"/>
    <w:rsid w:val="00B2601B"/>
    <w:rsid w:val="00B2768D"/>
    <w:rsid w:val="00B27A37"/>
    <w:rsid w:val="00B30873"/>
    <w:rsid w:val="00B31153"/>
    <w:rsid w:val="00B31B3A"/>
    <w:rsid w:val="00B3233D"/>
    <w:rsid w:val="00B32544"/>
    <w:rsid w:val="00B32592"/>
    <w:rsid w:val="00B32599"/>
    <w:rsid w:val="00B33A55"/>
    <w:rsid w:val="00B33F35"/>
    <w:rsid w:val="00B340B7"/>
    <w:rsid w:val="00B3519B"/>
    <w:rsid w:val="00B356B6"/>
    <w:rsid w:val="00B370A8"/>
    <w:rsid w:val="00B371C3"/>
    <w:rsid w:val="00B4010A"/>
    <w:rsid w:val="00B40B30"/>
    <w:rsid w:val="00B40D62"/>
    <w:rsid w:val="00B412DB"/>
    <w:rsid w:val="00B41769"/>
    <w:rsid w:val="00B42762"/>
    <w:rsid w:val="00B42A9C"/>
    <w:rsid w:val="00B449B1"/>
    <w:rsid w:val="00B50BE7"/>
    <w:rsid w:val="00B52843"/>
    <w:rsid w:val="00B54032"/>
    <w:rsid w:val="00B55261"/>
    <w:rsid w:val="00B556B5"/>
    <w:rsid w:val="00B55898"/>
    <w:rsid w:val="00B55D6E"/>
    <w:rsid w:val="00B56613"/>
    <w:rsid w:val="00B5665E"/>
    <w:rsid w:val="00B56BE5"/>
    <w:rsid w:val="00B56CD4"/>
    <w:rsid w:val="00B5718E"/>
    <w:rsid w:val="00B611AA"/>
    <w:rsid w:val="00B64265"/>
    <w:rsid w:val="00B644D8"/>
    <w:rsid w:val="00B64EEE"/>
    <w:rsid w:val="00B65FAA"/>
    <w:rsid w:val="00B66B37"/>
    <w:rsid w:val="00B67D97"/>
    <w:rsid w:val="00B7111E"/>
    <w:rsid w:val="00B735D7"/>
    <w:rsid w:val="00B73AC6"/>
    <w:rsid w:val="00B74CB1"/>
    <w:rsid w:val="00B75050"/>
    <w:rsid w:val="00B76E2A"/>
    <w:rsid w:val="00B77E8B"/>
    <w:rsid w:val="00B80BC2"/>
    <w:rsid w:val="00B8163F"/>
    <w:rsid w:val="00B82B1D"/>
    <w:rsid w:val="00B834A8"/>
    <w:rsid w:val="00B83AE4"/>
    <w:rsid w:val="00B86C61"/>
    <w:rsid w:val="00B87258"/>
    <w:rsid w:val="00B8779C"/>
    <w:rsid w:val="00B9053A"/>
    <w:rsid w:val="00B9058E"/>
    <w:rsid w:val="00B913CA"/>
    <w:rsid w:val="00B91945"/>
    <w:rsid w:val="00B92CC0"/>
    <w:rsid w:val="00B931CC"/>
    <w:rsid w:val="00B932AB"/>
    <w:rsid w:val="00B94326"/>
    <w:rsid w:val="00B94AB4"/>
    <w:rsid w:val="00B94E64"/>
    <w:rsid w:val="00B95851"/>
    <w:rsid w:val="00B95EEF"/>
    <w:rsid w:val="00B95F23"/>
    <w:rsid w:val="00BA08B4"/>
    <w:rsid w:val="00BA0D4C"/>
    <w:rsid w:val="00BA11EC"/>
    <w:rsid w:val="00BA146F"/>
    <w:rsid w:val="00BA3CEC"/>
    <w:rsid w:val="00BA48B3"/>
    <w:rsid w:val="00BA62EC"/>
    <w:rsid w:val="00BA6599"/>
    <w:rsid w:val="00BB0B37"/>
    <w:rsid w:val="00BB3AF2"/>
    <w:rsid w:val="00BB4572"/>
    <w:rsid w:val="00BB588D"/>
    <w:rsid w:val="00BB71A4"/>
    <w:rsid w:val="00BB7914"/>
    <w:rsid w:val="00BC0266"/>
    <w:rsid w:val="00BC0AA5"/>
    <w:rsid w:val="00BC0CCC"/>
    <w:rsid w:val="00BC1B36"/>
    <w:rsid w:val="00BC2842"/>
    <w:rsid w:val="00BC386D"/>
    <w:rsid w:val="00BC4220"/>
    <w:rsid w:val="00BC4247"/>
    <w:rsid w:val="00BC6FD9"/>
    <w:rsid w:val="00BC71AA"/>
    <w:rsid w:val="00BC735E"/>
    <w:rsid w:val="00BC75CD"/>
    <w:rsid w:val="00BD03F7"/>
    <w:rsid w:val="00BD1202"/>
    <w:rsid w:val="00BD4DE8"/>
    <w:rsid w:val="00BD59E5"/>
    <w:rsid w:val="00BD60EE"/>
    <w:rsid w:val="00BD7DEE"/>
    <w:rsid w:val="00BE1568"/>
    <w:rsid w:val="00BE16C9"/>
    <w:rsid w:val="00BE225E"/>
    <w:rsid w:val="00BE2FE3"/>
    <w:rsid w:val="00BE4DC6"/>
    <w:rsid w:val="00BE595C"/>
    <w:rsid w:val="00BE5B94"/>
    <w:rsid w:val="00BE6AD4"/>
    <w:rsid w:val="00BE776D"/>
    <w:rsid w:val="00BF12AD"/>
    <w:rsid w:val="00BF18C5"/>
    <w:rsid w:val="00BF23F9"/>
    <w:rsid w:val="00BF2FC6"/>
    <w:rsid w:val="00BF309A"/>
    <w:rsid w:val="00BF4353"/>
    <w:rsid w:val="00BF497B"/>
    <w:rsid w:val="00BF4EB0"/>
    <w:rsid w:val="00BF5206"/>
    <w:rsid w:val="00BF6137"/>
    <w:rsid w:val="00BF661F"/>
    <w:rsid w:val="00C0327C"/>
    <w:rsid w:val="00C0461E"/>
    <w:rsid w:val="00C046B3"/>
    <w:rsid w:val="00C052CC"/>
    <w:rsid w:val="00C05720"/>
    <w:rsid w:val="00C05EC4"/>
    <w:rsid w:val="00C06169"/>
    <w:rsid w:val="00C06FCD"/>
    <w:rsid w:val="00C07BD3"/>
    <w:rsid w:val="00C10883"/>
    <w:rsid w:val="00C123ED"/>
    <w:rsid w:val="00C12521"/>
    <w:rsid w:val="00C12CBF"/>
    <w:rsid w:val="00C12F24"/>
    <w:rsid w:val="00C17C70"/>
    <w:rsid w:val="00C20EEB"/>
    <w:rsid w:val="00C21BA4"/>
    <w:rsid w:val="00C21D9D"/>
    <w:rsid w:val="00C22573"/>
    <w:rsid w:val="00C23854"/>
    <w:rsid w:val="00C2432B"/>
    <w:rsid w:val="00C255D9"/>
    <w:rsid w:val="00C258AF"/>
    <w:rsid w:val="00C27049"/>
    <w:rsid w:val="00C27F86"/>
    <w:rsid w:val="00C305A5"/>
    <w:rsid w:val="00C3105D"/>
    <w:rsid w:val="00C31255"/>
    <w:rsid w:val="00C32708"/>
    <w:rsid w:val="00C335AE"/>
    <w:rsid w:val="00C33969"/>
    <w:rsid w:val="00C33CF8"/>
    <w:rsid w:val="00C34D94"/>
    <w:rsid w:val="00C35CCF"/>
    <w:rsid w:val="00C37D3D"/>
    <w:rsid w:val="00C411A3"/>
    <w:rsid w:val="00C41E12"/>
    <w:rsid w:val="00C42AFA"/>
    <w:rsid w:val="00C43D41"/>
    <w:rsid w:val="00C505A2"/>
    <w:rsid w:val="00C50755"/>
    <w:rsid w:val="00C50CC3"/>
    <w:rsid w:val="00C52349"/>
    <w:rsid w:val="00C545FA"/>
    <w:rsid w:val="00C55C4F"/>
    <w:rsid w:val="00C562FF"/>
    <w:rsid w:val="00C565B7"/>
    <w:rsid w:val="00C56920"/>
    <w:rsid w:val="00C6220A"/>
    <w:rsid w:val="00C6272B"/>
    <w:rsid w:val="00C65795"/>
    <w:rsid w:val="00C661A2"/>
    <w:rsid w:val="00C66D54"/>
    <w:rsid w:val="00C70DE1"/>
    <w:rsid w:val="00C71E99"/>
    <w:rsid w:val="00C72D87"/>
    <w:rsid w:val="00C73692"/>
    <w:rsid w:val="00C74E81"/>
    <w:rsid w:val="00C76C27"/>
    <w:rsid w:val="00C77A18"/>
    <w:rsid w:val="00C805C7"/>
    <w:rsid w:val="00C82857"/>
    <w:rsid w:val="00C851E6"/>
    <w:rsid w:val="00C86B59"/>
    <w:rsid w:val="00C87029"/>
    <w:rsid w:val="00C87287"/>
    <w:rsid w:val="00C90EA0"/>
    <w:rsid w:val="00C91772"/>
    <w:rsid w:val="00C93B02"/>
    <w:rsid w:val="00C95C02"/>
    <w:rsid w:val="00C9685D"/>
    <w:rsid w:val="00C96A8A"/>
    <w:rsid w:val="00C97039"/>
    <w:rsid w:val="00C976C0"/>
    <w:rsid w:val="00C97BB9"/>
    <w:rsid w:val="00CA06C4"/>
    <w:rsid w:val="00CA0C3E"/>
    <w:rsid w:val="00CA185C"/>
    <w:rsid w:val="00CA3DC8"/>
    <w:rsid w:val="00CA41FE"/>
    <w:rsid w:val="00CA63DD"/>
    <w:rsid w:val="00CA6583"/>
    <w:rsid w:val="00CA7BED"/>
    <w:rsid w:val="00CB0646"/>
    <w:rsid w:val="00CB3496"/>
    <w:rsid w:val="00CB36BF"/>
    <w:rsid w:val="00CB4475"/>
    <w:rsid w:val="00CB4742"/>
    <w:rsid w:val="00CB74D1"/>
    <w:rsid w:val="00CB7647"/>
    <w:rsid w:val="00CC0201"/>
    <w:rsid w:val="00CC2753"/>
    <w:rsid w:val="00CC2F0E"/>
    <w:rsid w:val="00CC41CD"/>
    <w:rsid w:val="00CC4870"/>
    <w:rsid w:val="00CC6E2E"/>
    <w:rsid w:val="00CC6E41"/>
    <w:rsid w:val="00CD1105"/>
    <w:rsid w:val="00CD18ED"/>
    <w:rsid w:val="00CD24F8"/>
    <w:rsid w:val="00CD5058"/>
    <w:rsid w:val="00CD7F7F"/>
    <w:rsid w:val="00CE090F"/>
    <w:rsid w:val="00CE1BD6"/>
    <w:rsid w:val="00CE1C0D"/>
    <w:rsid w:val="00CE3343"/>
    <w:rsid w:val="00CE5989"/>
    <w:rsid w:val="00CE719E"/>
    <w:rsid w:val="00CF11D7"/>
    <w:rsid w:val="00CF23AD"/>
    <w:rsid w:val="00CF258A"/>
    <w:rsid w:val="00CF69B2"/>
    <w:rsid w:val="00CF6A76"/>
    <w:rsid w:val="00CF7AD9"/>
    <w:rsid w:val="00CF7D2C"/>
    <w:rsid w:val="00D0080C"/>
    <w:rsid w:val="00D01328"/>
    <w:rsid w:val="00D027DC"/>
    <w:rsid w:val="00D02F75"/>
    <w:rsid w:val="00D04925"/>
    <w:rsid w:val="00D05F41"/>
    <w:rsid w:val="00D05FD7"/>
    <w:rsid w:val="00D067D8"/>
    <w:rsid w:val="00D074CF"/>
    <w:rsid w:val="00D07615"/>
    <w:rsid w:val="00D1552A"/>
    <w:rsid w:val="00D16FCD"/>
    <w:rsid w:val="00D17932"/>
    <w:rsid w:val="00D2094B"/>
    <w:rsid w:val="00D2259F"/>
    <w:rsid w:val="00D247A1"/>
    <w:rsid w:val="00D2506D"/>
    <w:rsid w:val="00D25461"/>
    <w:rsid w:val="00D27026"/>
    <w:rsid w:val="00D3116D"/>
    <w:rsid w:val="00D31356"/>
    <w:rsid w:val="00D31EE4"/>
    <w:rsid w:val="00D3202F"/>
    <w:rsid w:val="00D32D6E"/>
    <w:rsid w:val="00D32FF2"/>
    <w:rsid w:val="00D34681"/>
    <w:rsid w:val="00D34CE0"/>
    <w:rsid w:val="00D35960"/>
    <w:rsid w:val="00D36115"/>
    <w:rsid w:val="00D363EA"/>
    <w:rsid w:val="00D36D7C"/>
    <w:rsid w:val="00D37846"/>
    <w:rsid w:val="00D40873"/>
    <w:rsid w:val="00D43042"/>
    <w:rsid w:val="00D45425"/>
    <w:rsid w:val="00D457A5"/>
    <w:rsid w:val="00D45D70"/>
    <w:rsid w:val="00D468D1"/>
    <w:rsid w:val="00D500D5"/>
    <w:rsid w:val="00D50EA9"/>
    <w:rsid w:val="00D52599"/>
    <w:rsid w:val="00D52BBE"/>
    <w:rsid w:val="00D53792"/>
    <w:rsid w:val="00D553B1"/>
    <w:rsid w:val="00D557C9"/>
    <w:rsid w:val="00D560CB"/>
    <w:rsid w:val="00D561A3"/>
    <w:rsid w:val="00D621ED"/>
    <w:rsid w:val="00D65C1D"/>
    <w:rsid w:val="00D65FB9"/>
    <w:rsid w:val="00D66365"/>
    <w:rsid w:val="00D67E51"/>
    <w:rsid w:val="00D72173"/>
    <w:rsid w:val="00D75519"/>
    <w:rsid w:val="00D7668F"/>
    <w:rsid w:val="00D774EF"/>
    <w:rsid w:val="00D77F01"/>
    <w:rsid w:val="00D823D1"/>
    <w:rsid w:val="00D82500"/>
    <w:rsid w:val="00D8293C"/>
    <w:rsid w:val="00D82AA2"/>
    <w:rsid w:val="00D82ADA"/>
    <w:rsid w:val="00D82D4D"/>
    <w:rsid w:val="00D837D2"/>
    <w:rsid w:val="00D878F1"/>
    <w:rsid w:val="00D90332"/>
    <w:rsid w:val="00D90C14"/>
    <w:rsid w:val="00D91141"/>
    <w:rsid w:val="00D91A15"/>
    <w:rsid w:val="00D92547"/>
    <w:rsid w:val="00D92C99"/>
    <w:rsid w:val="00D93ED2"/>
    <w:rsid w:val="00D95424"/>
    <w:rsid w:val="00D95516"/>
    <w:rsid w:val="00D957F4"/>
    <w:rsid w:val="00D959A7"/>
    <w:rsid w:val="00D96172"/>
    <w:rsid w:val="00D96642"/>
    <w:rsid w:val="00D974FC"/>
    <w:rsid w:val="00DA02D5"/>
    <w:rsid w:val="00DA170A"/>
    <w:rsid w:val="00DA23F7"/>
    <w:rsid w:val="00DA2A0F"/>
    <w:rsid w:val="00DA4076"/>
    <w:rsid w:val="00DA4A26"/>
    <w:rsid w:val="00DA7603"/>
    <w:rsid w:val="00DA77E3"/>
    <w:rsid w:val="00DA7DBF"/>
    <w:rsid w:val="00DB0045"/>
    <w:rsid w:val="00DB13C0"/>
    <w:rsid w:val="00DB18D3"/>
    <w:rsid w:val="00DB368C"/>
    <w:rsid w:val="00DB3A87"/>
    <w:rsid w:val="00DB7362"/>
    <w:rsid w:val="00DC00AA"/>
    <w:rsid w:val="00DC0835"/>
    <w:rsid w:val="00DC101A"/>
    <w:rsid w:val="00DC1A34"/>
    <w:rsid w:val="00DC284C"/>
    <w:rsid w:val="00DC306F"/>
    <w:rsid w:val="00DC4048"/>
    <w:rsid w:val="00DC5AF8"/>
    <w:rsid w:val="00DC7D42"/>
    <w:rsid w:val="00DD05CA"/>
    <w:rsid w:val="00DD2B9F"/>
    <w:rsid w:val="00DD58D5"/>
    <w:rsid w:val="00DD597D"/>
    <w:rsid w:val="00DD6751"/>
    <w:rsid w:val="00DD711B"/>
    <w:rsid w:val="00DD7C1B"/>
    <w:rsid w:val="00DE026D"/>
    <w:rsid w:val="00DE0BF2"/>
    <w:rsid w:val="00DE22B9"/>
    <w:rsid w:val="00DE331E"/>
    <w:rsid w:val="00DE34D6"/>
    <w:rsid w:val="00DE4C1C"/>
    <w:rsid w:val="00DE5945"/>
    <w:rsid w:val="00DE5D85"/>
    <w:rsid w:val="00DE789D"/>
    <w:rsid w:val="00DE7999"/>
    <w:rsid w:val="00DE79FD"/>
    <w:rsid w:val="00DE7AED"/>
    <w:rsid w:val="00DF242E"/>
    <w:rsid w:val="00DF3914"/>
    <w:rsid w:val="00DF5568"/>
    <w:rsid w:val="00E007A1"/>
    <w:rsid w:val="00E00C15"/>
    <w:rsid w:val="00E00C1A"/>
    <w:rsid w:val="00E020A0"/>
    <w:rsid w:val="00E02BCF"/>
    <w:rsid w:val="00E03A62"/>
    <w:rsid w:val="00E0453B"/>
    <w:rsid w:val="00E0492C"/>
    <w:rsid w:val="00E050EF"/>
    <w:rsid w:val="00E105CD"/>
    <w:rsid w:val="00E108F2"/>
    <w:rsid w:val="00E10A3D"/>
    <w:rsid w:val="00E10A5C"/>
    <w:rsid w:val="00E1117C"/>
    <w:rsid w:val="00E14FCE"/>
    <w:rsid w:val="00E15883"/>
    <w:rsid w:val="00E167CE"/>
    <w:rsid w:val="00E17004"/>
    <w:rsid w:val="00E210F8"/>
    <w:rsid w:val="00E21852"/>
    <w:rsid w:val="00E21ECB"/>
    <w:rsid w:val="00E22D27"/>
    <w:rsid w:val="00E22FFE"/>
    <w:rsid w:val="00E24415"/>
    <w:rsid w:val="00E2544E"/>
    <w:rsid w:val="00E259F0"/>
    <w:rsid w:val="00E26AF1"/>
    <w:rsid w:val="00E301D5"/>
    <w:rsid w:val="00E30335"/>
    <w:rsid w:val="00E314F7"/>
    <w:rsid w:val="00E31BCE"/>
    <w:rsid w:val="00E31F86"/>
    <w:rsid w:val="00E325F2"/>
    <w:rsid w:val="00E327A9"/>
    <w:rsid w:val="00E33931"/>
    <w:rsid w:val="00E35197"/>
    <w:rsid w:val="00E372EA"/>
    <w:rsid w:val="00E4069E"/>
    <w:rsid w:val="00E407CE"/>
    <w:rsid w:val="00E41297"/>
    <w:rsid w:val="00E45147"/>
    <w:rsid w:val="00E46414"/>
    <w:rsid w:val="00E502F4"/>
    <w:rsid w:val="00E503FA"/>
    <w:rsid w:val="00E51A32"/>
    <w:rsid w:val="00E54881"/>
    <w:rsid w:val="00E54EC4"/>
    <w:rsid w:val="00E55E4D"/>
    <w:rsid w:val="00E5664D"/>
    <w:rsid w:val="00E56FE9"/>
    <w:rsid w:val="00E578E4"/>
    <w:rsid w:val="00E57AF3"/>
    <w:rsid w:val="00E57BC5"/>
    <w:rsid w:val="00E60920"/>
    <w:rsid w:val="00E615D0"/>
    <w:rsid w:val="00E622D6"/>
    <w:rsid w:val="00E63112"/>
    <w:rsid w:val="00E6383D"/>
    <w:rsid w:val="00E64477"/>
    <w:rsid w:val="00E64C96"/>
    <w:rsid w:val="00E67207"/>
    <w:rsid w:val="00E673A3"/>
    <w:rsid w:val="00E71632"/>
    <w:rsid w:val="00E724D0"/>
    <w:rsid w:val="00E737D4"/>
    <w:rsid w:val="00E74288"/>
    <w:rsid w:val="00E74A43"/>
    <w:rsid w:val="00E75ED6"/>
    <w:rsid w:val="00E77AD6"/>
    <w:rsid w:val="00E77C4E"/>
    <w:rsid w:val="00E80260"/>
    <w:rsid w:val="00E817A8"/>
    <w:rsid w:val="00E818F9"/>
    <w:rsid w:val="00E82405"/>
    <w:rsid w:val="00E82527"/>
    <w:rsid w:val="00E83F16"/>
    <w:rsid w:val="00E84848"/>
    <w:rsid w:val="00E85FD0"/>
    <w:rsid w:val="00E86A2C"/>
    <w:rsid w:val="00E91042"/>
    <w:rsid w:val="00E913FE"/>
    <w:rsid w:val="00E9169B"/>
    <w:rsid w:val="00E91719"/>
    <w:rsid w:val="00E9226B"/>
    <w:rsid w:val="00E92C59"/>
    <w:rsid w:val="00E93720"/>
    <w:rsid w:val="00E9478D"/>
    <w:rsid w:val="00E94C4C"/>
    <w:rsid w:val="00E94DB4"/>
    <w:rsid w:val="00E95C24"/>
    <w:rsid w:val="00E95F38"/>
    <w:rsid w:val="00E9608D"/>
    <w:rsid w:val="00E96CCA"/>
    <w:rsid w:val="00E97CC5"/>
    <w:rsid w:val="00EA06FA"/>
    <w:rsid w:val="00EA092D"/>
    <w:rsid w:val="00EA17B1"/>
    <w:rsid w:val="00EA1E6B"/>
    <w:rsid w:val="00EA34D4"/>
    <w:rsid w:val="00EA4E9F"/>
    <w:rsid w:val="00EA6290"/>
    <w:rsid w:val="00EA6A2E"/>
    <w:rsid w:val="00EA6A93"/>
    <w:rsid w:val="00EA7963"/>
    <w:rsid w:val="00EB0ABA"/>
    <w:rsid w:val="00EB128A"/>
    <w:rsid w:val="00EB1C6C"/>
    <w:rsid w:val="00EB1FA9"/>
    <w:rsid w:val="00EB2602"/>
    <w:rsid w:val="00EB2FC0"/>
    <w:rsid w:val="00EB385E"/>
    <w:rsid w:val="00EB3CBE"/>
    <w:rsid w:val="00EB506C"/>
    <w:rsid w:val="00EB6A02"/>
    <w:rsid w:val="00EC0CC0"/>
    <w:rsid w:val="00EC14A5"/>
    <w:rsid w:val="00EC1FC0"/>
    <w:rsid w:val="00EC273B"/>
    <w:rsid w:val="00EC2B68"/>
    <w:rsid w:val="00EC30A3"/>
    <w:rsid w:val="00EC354C"/>
    <w:rsid w:val="00EC4EBB"/>
    <w:rsid w:val="00EC4F53"/>
    <w:rsid w:val="00EC76AC"/>
    <w:rsid w:val="00ED0C00"/>
    <w:rsid w:val="00ED1C0C"/>
    <w:rsid w:val="00ED2770"/>
    <w:rsid w:val="00ED2BD1"/>
    <w:rsid w:val="00ED3CC6"/>
    <w:rsid w:val="00ED4F7B"/>
    <w:rsid w:val="00EE1741"/>
    <w:rsid w:val="00EE42F5"/>
    <w:rsid w:val="00EE4E57"/>
    <w:rsid w:val="00EE4FA1"/>
    <w:rsid w:val="00EE522E"/>
    <w:rsid w:val="00EE5DD2"/>
    <w:rsid w:val="00EE6116"/>
    <w:rsid w:val="00EE73EB"/>
    <w:rsid w:val="00EE7A5E"/>
    <w:rsid w:val="00EF086F"/>
    <w:rsid w:val="00EF146E"/>
    <w:rsid w:val="00EF1739"/>
    <w:rsid w:val="00EF27D8"/>
    <w:rsid w:val="00EF7974"/>
    <w:rsid w:val="00F019AD"/>
    <w:rsid w:val="00F022A3"/>
    <w:rsid w:val="00F022E8"/>
    <w:rsid w:val="00F02302"/>
    <w:rsid w:val="00F02B40"/>
    <w:rsid w:val="00F0415B"/>
    <w:rsid w:val="00F0418F"/>
    <w:rsid w:val="00F0475A"/>
    <w:rsid w:val="00F04BE2"/>
    <w:rsid w:val="00F05553"/>
    <w:rsid w:val="00F05FF3"/>
    <w:rsid w:val="00F10173"/>
    <w:rsid w:val="00F10B66"/>
    <w:rsid w:val="00F126BE"/>
    <w:rsid w:val="00F12BBF"/>
    <w:rsid w:val="00F131C6"/>
    <w:rsid w:val="00F1336E"/>
    <w:rsid w:val="00F141C5"/>
    <w:rsid w:val="00F14579"/>
    <w:rsid w:val="00F14985"/>
    <w:rsid w:val="00F15763"/>
    <w:rsid w:val="00F1596C"/>
    <w:rsid w:val="00F15AAE"/>
    <w:rsid w:val="00F1677D"/>
    <w:rsid w:val="00F167BF"/>
    <w:rsid w:val="00F16DE4"/>
    <w:rsid w:val="00F17508"/>
    <w:rsid w:val="00F17FCD"/>
    <w:rsid w:val="00F2125E"/>
    <w:rsid w:val="00F2420D"/>
    <w:rsid w:val="00F25070"/>
    <w:rsid w:val="00F2537D"/>
    <w:rsid w:val="00F27A91"/>
    <w:rsid w:val="00F307F7"/>
    <w:rsid w:val="00F31699"/>
    <w:rsid w:val="00F32647"/>
    <w:rsid w:val="00F32ABD"/>
    <w:rsid w:val="00F3314D"/>
    <w:rsid w:val="00F332F1"/>
    <w:rsid w:val="00F34485"/>
    <w:rsid w:val="00F36E01"/>
    <w:rsid w:val="00F37558"/>
    <w:rsid w:val="00F37F2D"/>
    <w:rsid w:val="00F401EE"/>
    <w:rsid w:val="00F40DAE"/>
    <w:rsid w:val="00F41124"/>
    <w:rsid w:val="00F416AB"/>
    <w:rsid w:val="00F4364B"/>
    <w:rsid w:val="00F4403F"/>
    <w:rsid w:val="00F44D0A"/>
    <w:rsid w:val="00F45BB6"/>
    <w:rsid w:val="00F474DA"/>
    <w:rsid w:val="00F501A0"/>
    <w:rsid w:val="00F50240"/>
    <w:rsid w:val="00F50969"/>
    <w:rsid w:val="00F51340"/>
    <w:rsid w:val="00F513ED"/>
    <w:rsid w:val="00F51B84"/>
    <w:rsid w:val="00F533BE"/>
    <w:rsid w:val="00F533D4"/>
    <w:rsid w:val="00F572CF"/>
    <w:rsid w:val="00F6089D"/>
    <w:rsid w:val="00F60FEB"/>
    <w:rsid w:val="00F61002"/>
    <w:rsid w:val="00F61F71"/>
    <w:rsid w:val="00F64E76"/>
    <w:rsid w:val="00F67629"/>
    <w:rsid w:val="00F73772"/>
    <w:rsid w:val="00F743EC"/>
    <w:rsid w:val="00F74627"/>
    <w:rsid w:val="00F75893"/>
    <w:rsid w:val="00F75B06"/>
    <w:rsid w:val="00F75BB3"/>
    <w:rsid w:val="00F761E3"/>
    <w:rsid w:val="00F7752F"/>
    <w:rsid w:val="00F77558"/>
    <w:rsid w:val="00F77691"/>
    <w:rsid w:val="00F81FA9"/>
    <w:rsid w:val="00F8369D"/>
    <w:rsid w:val="00F8374C"/>
    <w:rsid w:val="00F839D5"/>
    <w:rsid w:val="00F8466E"/>
    <w:rsid w:val="00F8490D"/>
    <w:rsid w:val="00F84ECB"/>
    <w:rsid w:val="00F8686D"/>
    <w:rsid w:val="00F91101"/>
    <w:rsid w:val="00F9118C"/>
    <w:rsid w:val="00F92150"/>
    <w:rsid w:val="00F92C48"/>
    <w:rsid w:val="00F93875"/>
    <w:rsid w:val="00F93F76"/>
    <w:rsid w:val="00F9410A"/>
    <w:rsid w:val="00F94162"/>
    <w:rsid w:val="00F94F07"/>
    <w:rsid w:val="00F94F19"/>
    <w:rsid w:val="00F97E1E"/>
    <w:rsid w:val="00FA0363"/>
    <w:rsid w:val="00FA31CF"/>
    <w:rsid w:val="00FA689A"/>
    <w:rsid w:val="00FB009F"/>
    <w:rsid w:val="00FB08E8"/>
    <w:rsid w:val="00FB11C5"/>
    <w:rsid w:val="00FB34C8"/>
    <w:rsid w:val="00FB3998"/>
    <w:rsid w:val="00FB3D3F"/>
    <w:rsid w:val="00FB4126"/>
    <w:rsid w:val="00FB670B"/>
    <w:rsid w:val="00FB7512"/>
    <w:rsid w:val="00FB7AC0"/>
    <w:rsid w:val="00FC18E5"/>
    <w:rsid w:val="00FC3C2D"/>
    <w:rsid w:val="00FC3FC5"/>
    <w:rsid w:val="00FC6BE0"/>
    <w:rsid w:val="00FC7BFF"/>
    <w:rsid w:val="00FD0C28"/>
    <w:rsid w:val="00FD1B9D"/>
    <w:rsid w:val="00FD2006"/>
    <w:rsid w:val="00FD254D"/>
    <w:rsid w:val="00FD358C"/>
    <w:rsid w:val="00FD3CCD"/>
    <w:rsid w:val="00FD4638"/>
    <w:rsid w:val="00FD55DF"/>
    <w:rsid w:val="00FD74CA"/>
    <w:rsid w:val="00FE0883"/>
    <w:rsid w:val="00FE1051"/>
    <w:rsid w:val="00FE1225"/>
    <w:rsid w:val="00FE291F"/>
    <w:rsid w:val="00FE399F"/>
    <w:rsid w:val="00FE6FEF"/>
    <w:rsid w:val="00FE7D0F"/>
    <w:rsid w:val="00FE7D30"/>
    <w:rsid w:val="00FF0288"/>
    <w:rsid w:val="00FF0D85"/>
    <w:rsid w:val="00FF2AE0"/>
    <w:rsid w:val="00FF4DE2"/>
    <w:rsid w:val="00FF5F9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2975B"/>
  <w15:chartTrackingRefBased/>
  <w15:docId w15:val="{FED460F3-B037-419D-9F5D-EB5DF64F0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51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0E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20E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20E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20EC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20E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20EC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20EC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46DD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36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39A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839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6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E6D"/>
  </w:style>
  <w:style w:type="paragraph" w:styleId="Pidipagina">
    <w:name w:val="footer"/>
    <w:basedOn w:val="Normale"/>
    <w:link w:val="PidipaginaCarattere"/>
    <w:uiPriority w:val="99"/>
    <w:unhideWhenUsed/>
    <w:rsid w:val="00464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E6D"/>
  </w:style>
  <w:style w:type="table" w:styleId="Grigliatabella">
    <w:name w:val="Table Grid"/>
    <w:basedOn w:val="Tabellanormale"/>
    <w:uiPriority w:val="39"/>
    <w:rsid w:val="00660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05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051F9"/>
    <w:pPr>
      <w:outlineLvl w:val="9"/>
    </w:pPr>
    <w:rPr>
      <w:kern w:val="0"/>
      <w:lang w:eastAsia="it-IT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  <w:b/>
      <w:bCs/>
      <w:smallCaps/>
    </w:rPr>
  </w:style>
  <w:style w:type="paragraph" w:styleId="Sommario1">
    <w:name w:val="toc 1"/>
    <w:basedOn w:val="Normale"/>
    <w:next w:val="Normale"/>
    <w:autoRedefine/>
    <w:uiPriority w:val="39"/>
    <w:unhideWhenUsed/>
    <w:rsid w:val="004051F9"/>
    <w:pPr>
      <w:spacing w:before="360" w:after="360"/>
    </w:pPr>
    <w:rPr>
      <w:rFonts w:cstheme="minorHAnsi"/>
      <w:b/>
      <w:bCs/>
      <w:caps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  <w:smallCaps/>
    </w:rPr>
  </w:style>
  <w:style w:type="paragraph" w:styleId="Sommario4">
    <w:name w:val="toc 4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4051F9"/>
    <w:pPr>
      <w:spacing w:after="0"/>
    </w:pPr>
    <w:rPr>
      <w:rFonts w:cstheme="minorHAns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0E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20E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20E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20EC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0EC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20EC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20EC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46DD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essunaspaziatura">
    <w:name w:val="No Spacing"/>
    <w:link w:val="NessunaspaziaturaCarattere"/>
    <w:uiPriority w:val="1"/>
    <w:qFormat/>
    <w:rsid w:val="00034A71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34A71"/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lex.europa.eu/legal-content/IT/TXT/?uri=CELEX:32021R1057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www.istat.it/" TargetMode="External"/><Relationship Id="rId39" Type="http://schemas.openxmlformats.org/officeDocument/2006/relationships/hyperlink" Target="https://eur-lex.europa.eu/legal-content/IT/TXT/PDF/?uri=CELEX:32020H1202(01)" TargetMode="External"/><Relationship Id="rId21" Type="http://schemas.openxmlformats.org/officeDocument/2006/relationships/image" Target="media/image10.png"/><Relationship Id="rId34" Type="http://schemas.openxmlformats.org/officeDocument/2006/relationships/hyperlink" Target="https://education.ec.europa.eu/it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9" Type="http://schemas.openxmlformats.org/officeDocument/2006/relationships/hyperlink" Target="https://commission.europa.eu/index_it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13.png"/><Relationship Id="rId32" Type="http://schemas.openxmlformats.org/officeDocument/2006/relationships/hyperlink" Target="https://www.bmbf.de/bmbf/de/home/home_node.html" TargetMode="External"/><Relationship Id="rId37" Type="http://schemas.openxmlformats.org/officeDocument/2006/relationships/hyperlink" Target="https://digital-skills-jobs.europa.eu/en/latest/news/individual-learning-accounts-and-microcredentials-two-new-european-commission-proposals" TargetMode="External"/><Relationship Id="rId40" Type="http://schemas.openxmlformats.org/officeDocument/2006/relationships/hyperlink" Target="https://www.oecd.org/skills/piaac/" TargetMode="External"/><Relationship Id="rId45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hyperlink" Target="https://www.lavoro.gov.it/Pagine/default.aspx" TargetMode="External"/><Relationship Id="rId36" Type="http://schemas.openxmlformats.org/officeDocument/2006/relationships/hyperlink" Target="https://education.ec.europa.eu/focus-topics/digital-education/action-plan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hyperlink" Target="https://www.indire.it/" TargetMode="External"/><Relationship Id="rId44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c.europa.eu/social/main.jsp?catId=1223&amp;langId=en" TargetMode="External"/><Relationship Id="rId22" Type="http://schemas.openxmlformats.org/officeDocument/2006/relationships/image" Target="media/image11.png"/><Relationship Id="rId27" Type="http://schemas.openxmlformats.org/officeDocument/2006/relationships/hyperlink" Target="https://www.destatis.de/EN/Home/_node.html" TargetMode="External"/><Relationship Id="rId30" Type="http://schemas.openxmlformats.org/officeDocument/2006/relationships/hyperlink" Target="https://www.consilium.europa.eu/it/council-eu/" TargetMode="External"/><Relationship Id="rId35" Type="http://schemas.openxmlformats.org/officeDocument/2006/relationships/hyperlink" Target="https://pact-for-skills.ec.europa.eu/index_en" TargetMode="External"/><Relationship Id="rId43" Type="http://schemas.openxmlformats.org/officeDocument/2006/relationships/footer" Target="footer1.xml"/><Relationship Id="rId48" Type="http://schemas.openxmlformats.org/officeDocument/2006/relationships/glossaryDocument" Target="glossary/document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ec.europa.eu/social/main.jsp?catId=1606&amp;langId=en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yperlink" Target="https://ec.europa.eu/social/main.jsp?catId=1223&amp;langId=en" TargetMode="External"/><Relationship Id="rId38" Type="http://schemas.openxmlformats.org/officeDocument/2006/relationships/hyperlink" Target="https://ec.europa.eu/eurostat" TargetMode="External"/><Relationship Id="rId46" Type="http://schemas.openxmlformats.org/officeDocument/2006/relationships/footer" Target="footer3.xml"/><Relationship Id="rId20" Type="http://schemas.openxmlformats.org/officeDocument/2006/relationships/image" Target="media/image9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8BA32E09C54CA9978756F85E6C0C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CC6BAA-AA12-4B3C-9359-0EBCF83A13DE}"/>
      </w:docPartPr>
      <w:docPartBody>
        <w:p w:rsidR="00BC0911" w:rsidRDefault="006A0541" w:rsidP="006A0541">
          <w:pPr>
            <w:pStyle w:val="D28BA32E09C54CA9978756F85E6C0CD9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[Titolo del documento]</w:t>
          </w:r>
        </w:p>
      </w:docPartBody>
    </w:docPart>
    <w:docPart>
      <w:docPartPr>
        <w:name w:val="09F2E52DE4CA477586E5BFBC61A07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525E04-172E-4C24-9A03-670DBB30A5CE}"/>
      </w:docPartPr>
      <w:docPartBody>
        <w:p w:rsidR="00BC0911" w:rsidRDefault="006A0541" w:rsidP="006A0541">
          <w:pPr>
            <w:pStyle w:val="09F2E52DE4CA477586E5BFBC61A07601"/>
          </w:pPr>
          <w:r>
            <w:rPr>
              <w:color w:val="4472C4" w:themeColor="accent1"/>
              <w:sz w:val="28"/>
              <w:szCs w:val="28"/>
            </w:rPr>
            <w:t>[Sottotitolo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41"/>
    <w:rsid w:val="00596BAB"/>
    <w:rsid w:val="006A0541"/>
    <w:rsid w:val="00752E40"/>
    <w:rsid w:val="00AE7FB5"/>
    <w:rsid w:val="00B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28BA32E09C54CA9978756F85E6C0CD9">
    <w:name w:val="D28BA32E09C54CA9978756F85E6C0CD9"/>
    <w:rsid w:val="006A0541"/>
  </w:style>
  <w:style w:type="paragraph" w:customStyle="1" w:styleId="09F2E52DE4CA477586E5BFBC61A07601">
    <w:name w:val="09F2E52DE4CA477586E5BFBC61A07601"/>
    <w:rsid w:val="006A05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2023-07-06T00:00:00</PublishDate>
  <Abstract/>
  <CompanyAddress>Università degli studi di Trieste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8478CA-98E4-49DA-BC6C-BAD9735C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9418</Words>
  <Characters>53686</Characters>
  <Application>Microsoft Office Word</Application>
  <DocSecurity>0</DocSecurity>
  <Lines>447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Leonardo Ombres</Company>
  <LinksUpToDate>false</LinksUpToDate>
  <CharactersWithSpaces>62979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Istruzione, formazione e apprendimento permanente</dc:title>
  <dc:subject>Elaborato Politica economica internazionale</dc:subject>
  <dc:creator>leonardoombres30@gmail.com</dc:creator>
  <cp:keywords/>
  <dc:description/>
  <cp:lastModifiedBy>leonardoombres30@gmail.com</cp:lastModifiedBy>
  <cp:revision>1828</cp:revision>
  <dcterms:created xsi:type="dcterms:W3CDTF">2023-06-07T16:00:00Z</dcterms:created>
  <dcterms:modified xsi:type="dcterms:W3CDTF">2023-07-06T11:55:00Z</dcterms:modified>
</cp:coreProperties>
</file>