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76B" w:rsidRDefault="005A376B" w:rsidP="005A376B">
      <w:pPr>
        <w:pStyle w:val="NormaleWeb"/>
        <w:shd w:val="clear" w:color="auto" w:fill="FFFFFF"/>
        <w:spacing w:before="0" w:beforeAutospacing="0" w:after="0" w:afterAutospacing="0"/>
        <w:jc w:val="both"/>
        <w:rPr>
          <w:rFonts w:ascii="Arial" w:hAnsi="Arial" w:cs="Arial"/>
          <w:b/>
          <w:color w:val="333333"/>
          <w:szCs w:val="21"/>
          <w:lang w:val="fr-FR"/>
        </w:rPr>
      </w:pPr>
      <w:r>
        <w:rPr>
          <w:rFonts w:ascii="Arial" w:hAnsi="Arial" w:cs="Arial"/>
          <w:b/>
          <w:color w:val="333333"/>
          <w:szCs w:val="21"/>
          <w:lang w:val="fr-FR"/>
        </w:rPr>
        <w:t>SID3 28/02/2023</w:t>
      </w:r>
    </w:p>
    <w:p w:rsidR="005A376B" w:rsidRDefault="005A376B" w:rsidP="005A376B">
      <w:pPr>
        <w:pStyle w:val="NormaleWeb"/>
        <w:shd w:val="clear" w:color="auto" w:fill="FFFFFF"/>
        <w:spacing w:before="0" w:beforeAutospacing="0" w:after="0" w:afterAutospacing="0"/>
        <w:jc w:val="both"/>
        <w:rPr>
          <w:rFonts w:ascii="Arial" w:hAnsi="Arial" w:cs="Arial"/>
          <w:b/>
          <w:color w:val="333333"/>
          <w:szCs w:val="21"/>
          <w:lang w:val="fr-FR"/>
        </w:rPr>
      </w:pPr>
    </w:p>
    <w:p w:rsidR="005A376B" w:rsidRDefault="005A376B" w:rsidP="005A376B">
      <w:pPr>
        <w:pStyle w:val="NormaleWeb"/>
        <w:shd w:val="clear" w:color="auto" w:fill="FFFFFF"/>
        <w:spacing w:before="0" w:beforeAutospacing="0" w:after="0" w:afterAutospacing="0"/>
        <w:jc w:val="both"/>
        <w:rPr>
          <w:rFonts w:ascii="Arial" w:hAnsi="Arial" w:cs="Arial"/>
          <w:b/>
          <w:color w:val="333333"/>
          <w:szCs w:val="21"/>
          <w:lang w:val="fr-FR"/>
        </w:rPr>
      </w:pPr>
    </w:p>
    <w:p w:rsidR="005A376B" w:rsidRPr="005A376B" w:rsidRDefault="005A376B" w:rsidP="005A376B">
      <w:pPr>
        <w:pStyle w:val="NormaleWeb"/>
        <w:shd w:val="clear" w:color="auto" w:fill="FFFFFF"/>
        <w:spacing w:before="0" w:beforeAutospacing="0" w:after="0" w:afterAutospacing="0"/>
        <w:jc w:val="both"/>
        <w:rPr>
          <w:rFonts w:ascii="Arial" w:hAnsi="Arial" w:cs="Arial"/>
          <w:b/>
          <w:color w:val="333333"/>
          <w:sz w:val="28"/>
          <w:szCs w:val="21"/>
          <w:lang w:val="fr-FR"/>
        </w:rPr>
      </w:pPr>
      <w:r w:rsidRPr="005A376B">
        <w:rPr>
          <w:rFonts w:ascii="Arial" w:hAnsi="Arial" w:cs="Arial"/>
          <w:b/>
          <w:color w:val="333333"/>
          <w:sz w:val="28"/>
          <w:szCs w:val="21"/>
          <w:lang w:val="fr-FR"/>
        </w:rPr>
        <w:t>La balance commerciale</w:t>
      </w:r>
    </w:p>
    <w:p w:rsidR="005A376B" w:rsidRPr="005A376B" w:rsidRDefault="005A376B" w:rsidP="005A376B">
      <w:pPr>
        <w:pStyle w:val="NormaleWeb"/>
        <w:shd w:val="clear" w:color="auto" w:fill="FFFFFF"/>
        <w:spacing w:before="0" w:beforeAutospacing="0" w:after="0" w:afterAutospacing="0"/>
        <w:jc w:val="both"/>
        <w:rPr>
          <w:rFonts w:ascii="Arial" w:hAnsi="Arial" w:cs="Arial"/>
          <w:color w:val="333333"/>
          <w:sz w:val="28"/>
          <w:szCs w:val="21"/>
          <w:lang w:val="fr-FR"/>
        </w:rPr>
      </w:pPr>
    </w:p>
    <w:p w:rsidR="005A376B" w:rsidRPr="005A376B" w:rsidRDefault="005A376B" w:rsidP="005A376B">
      <w:pPr>
        <w:pStyle w:val="NormaleWeb"/>
        <w:shd w:val="clear" w:color="auto" w:fill="FFFFFF"/>
        <w:spacing w:before="0" w:beforeAutospacing="0" w:after="0" w:afterAutospacing="0"/>
        <w:jc w:val="both"/>
        <w:rPr>
          <w:rFonts w:ascii="Arial" w:hAnsi="Arial" w:cs="Arial"/>
          <w:color w:val="333333"/>
          <w:sz w:val="28"/>
          <w:szCs w:val="21"/>
          <w:lang w:val="fr-FR"/>
        </w:rPr>
      </w:pPr>
      <w:r w:rsidRPr="005A376B">
        <w:rPr>
          <w:rFonts w:ascii="Arial" w:hAnsi="Arial" w:cs="Arial"/>
          <w:color w:val="333333"/>
          <w:sz w:val="28"/>
          <w:szCs w:val="21"/>
          <w:lang w:val="fr-FR"/>
        </w:rPr>
        <w:t>La balance commerciale est la différence entre la valeur des biens exportés par un pays (ou une autre zone géographique ou économique comme l’</w:t>
      </w:r>
      <w:hyperlink r:id="rId4" w:tgtFrame="_blank" w:history="1">
        <w:r w:rsidRPr="005A376B">
          <w:rPr>
            <w:rFonts w:ascii="Arial" w:hAnsi="Arial" w:cs="Arial"/>
            <w:color w:val="333333"/>
            <w:sz w:val="28"/>
            <w:szCs w:val="21"/>
            <w:lang w:val="fr-FR"/>
          </w:rPr>
          <w:t>Union européenne</w:t>
        </w:r>
      </w:hyperlink>
      <w:r w:rsidRPr="005A376B">
        <w:rPr>
          <w:rFonts w:ascii="Arial" w:hAnsi="Arial" w:cs="Arial"/>
          <w:color w:val="333333"/>
          <w:sz w:val="28"/>
          <w:szCs w:val="21"/>
          <w:lang w:val="fr-FR"/>
        </w:rPr>
        <w:t> ou la </w:t>
      </w:r>
      <w:hyperlink r:id="rId5" w:tgtFrame="_blank" w:history="1">
        <w:r w:rsidRPr="005A376B">
          <w:rPr>
            <w:rFonts w:ascii="Arial" w:hAnsi="Arial" w:cs="Arial"/>
            <w:color w:val="333333"/>
            <w:sz w:val="28"/>
            <w:szCs w:val="21"/>
            <w:lang w:val="fr-FR"/>
          </w:rPr>
          <w:t>zone euro</w:t>
        </w:r>
      </w:hyperlink>
      <w:r w:rsidRPr="005A376B">
        <w:rPr>
          <w:rFonts w:ascii="Arial" w:hAnsi="Arial" w:cs="Arial"/>
          <w:color w:val="333333"/>
          <w:sz w:val="28"/>
          <w:szCs w:val="21"/>
          <w:lang w:val="fr-FR"/>
        </w:rPr>
        <w:t>) et la valeur des biens importés par le même pays.</w:t>
      </w:r>
    </w:p>
    <w:p w:rsidR="005A376B" w:rsidRPr="005A376B" w:rsidRDefault="005A376B" w:rsidP="005A376B">
      <w:pPr>
        <w:pStyle w:val="NormaleWeb"/>
        <w:shd w:val="clear" w:color="auto" w:fill="FFFFFF"/>
        <w:spacing w:before="0" w:beforeAutospacing="0" w:after="0" w:afterAutospacing="0"/>
        <w:jc w:val="both"/>
        <w:rPr>
          <w:rFonts w:ascii="Arial" w:hAnsi="Arial" w:cs="Arial"/>
          <w:color w:val="333333"/>
          <w:sz w:val="28"/>
          <w:szCs w:val="21"/>
          <w:lang w:val="fr-FR"/>
        </w:rPr>
      </w:pPr>
      <w:r w:rsidRPr="005A376B">
        <w:rPr>
          <w:rFonts w:ascii="Arial" w:hAnsi="Arial" w:cs="Arial"/>
          <w:color w:val="333333"/>
          <w:sz w:val="28"/>
          <w:szCs w:val="21"/>
          <w:lang w:val="fr-FR"/>
        </w:rPr>
        <w:t>Si la balance commerciale est positive, c’est-à-dire si la valeur des </w:t>
      </w:r>
      <w:hyperlink r:id="rId6" w:tgtFrame="_blank" w:history="1">
        <w:r w:rsidRPr="005A376B">
          <w:rPr>
            <w:rFonts w:ascii="Arial" w:hAnsi="Arial" w:cs="Arial"/>
            <w:color w:val="333333"/>
            <w:sz w:val="28"/>
            <w:szCs w:val="21"/>
            <w:lang w:val="fr-FR"/>
          </w:rPr>
          <w:t>exportations</w:t>
        </w:r>
      </w:hyperlink>
      <w:r w:rsidRPr="005A376B">
        <w:rPr>
          <w:rFonts w:ascii="Arial" w:hAnsi="Arial" w:cs="Arial"/>
          <w:color w:val="333333"/>
          <w:sz w:val="28"/>
          <w:szCs w:val="21"/>
          <w:lang w:val="fr-FR"/>
        </w:rPr>
        <w:t> dépasse celle des </w:t>
      </w:r>
      <w:hyperlink r:id="rId7" w:tgtFrame="_blank" w:history="1">
        <w:r w:rsidRPr="005A376B">
          <w:rPr>
            <w:rFonts w:ascii="Arial" w:hAnsi="Arial" w:cs="Arial"/>
            <w:color w:val="333333"/>
            <w:sz w:val="28"/>
            <w:szCs w:val="21"/>
            <w:lang w:val="fr-FR"/>
          </w:rPr>
          <w:t>importations</w:t>
        </w:r>
      </w:hyperlink>
      <w:r w:rsidRPr="005A376B">
        <w:rPr>
          <w:rFonts w:ascii="Arial" w:hAnsi="Arial" w:cs="Arial"/>
          <w:color w:val="333333"/>
          <w:sz w:val="28"/>
          <w:szCs w:val="21"/>
          <w:lang w:val="fr-FR"/>
        </w:rPr>
        <w:t>, le pays affiche un excédent commercial. Si la balance commerciale est négative, c’est-à-dire si la valeur des importations dépasse celle des exportations, on parle de déficit commercial. Toutefois, l’emploi des qualificatifs</w:t>
      </w:r>
      <w:r w:rsidRPr="005A376B">
        <w:rPr>
          <w:rFonts w:ascii="Arial" w:hAnsi="Arial" w:cs="Arial"/>
          <w:color w:val="333333"/>
          <w:sz w:val="28"/>
          <w:szCs w:val="21"/>
          <w:lang w:val="fr-FR"/>
        </w:rPr>
        <w:t xml:space="preserve"> « positif »</w:t>
      </w:r>
      <w:r w:rsidRPr="005A376B">
        <w:rPr>
          <w:rFonts w:ascii="Arial" w:hAnsi="Arial" w:cs="Arial"/>
          <w:color w:val="333333"/>
          <w:sz w:val="28"/>
          <w:szCs w:val="21"/>
          <w:lang w:val="fr-FR"/>
        </w:rPr>
        <w:t xml:space="preserve"> et</w:t>
      </w:r>
      <w:r w:rsidRPr="005A376B">
        <w:rPr>
          <w:rFonts w:ascii="Arial" w:hAnsi="Arial" w:cs="Arial"/>
          <w:color w:val="333333"/>
          <w:sz w:val="28"/>
          <w:szCs w:val="21"/>
          <w:lang w:val="fr-FR"/>
        </w:rPr>
        <w:t xml:space="preserve"> « négatif »</w:t>
      </w:r>
      <w:r w:rsidRPr="005A376B">
        <w:rPr>
          <w:rFonts w:ascii="Arial" w:hAnsi="Arial" w:cs="Arial"/>
          <w:color w:val="333333"/>
          <w:sz w:val="28"/>
          <w:szCs w:val="21"/>
          <w:lang w:val="fr-FR"/>
        </w:rPr>
        <w:t xml:space="preserve"> est </w:t>
      </w:r>
      <w:bookmarkStart w:id="0" w:name="_GoBack"/>
      <w:bookmarkEnd w:id="0"/>
      <w:r w:rsidRPr="005A376B">
        <w:rPr>
          <w:rFonts w:ascii="Arial" w:hAnsi="Arial" w:cs="Arial"/>
          <w:color w:val="333333"/>
          <w:sz w:val="28"/>
          <w:szCs w:val="21"/>
          <w:lang w:val="fr-FR"/>
        </w:rPr>
        <w:t>purement numérique et n’implique aucun jugement sur les performances d’une économie nationale. Ainsi, un déficit commercial peut, par exemple, refléter une augmentation de la demande intérieure pour certains biens de consommation et/ou de production. La balance commerciale totale tient compte de tous les biens exportés et importés. C’est une des composantes majeures de la </w:t>
      </w:r>
      <w:hyperlink r:id="rId8" w:tgtFrame="_blank" w:history="1">
        <w:r w:rsidRPr="005A376B">
          <w:rPr>
            <w:rFonts w:ascii="Arial" w:hAnsi="Arial" w:cs="Arial"/>
            <w:color w:val="333333"/>
            <w:sz w:val="28"/>
            <w:szCs w:val="21"/>
            <w:lang w:val="fr-FR"/>
          </w:rPr>
          <w:t>balance des paiements</w:t>
        </w:r>
      </w:hyperlink>
      <w:r w:rsidRPr="005A376B">
        <w:rPr>
          <w:rFonts w:ascii="Arial" w:hAnsi="Arial" w:cs="Arial"/>
          <w:color w:val="333333"/>
          <w:sz w:val="28"/>
          <w:szCs w:val="21"/>
          <w:lang w:val="fr-FR"/>
        </w:rPr>
        <w:t xml:space="preserve">. Un excédent ou un déficit commercial marqué pour un seul produit ou une seule catégorie de produits indique que l’économie nationale possède un avantage ou un handicap concurrentiel particulier pour ce produit sur le marché </w:t>
      </w:r>
      <w:r w:rsidRPr="005A376B">
        <w:rPr>
          <w:rFonts w:ascii="Arial" w:hAnsi="Arial" w:cs="Arial"/>
          <w:color w:val="333333"/>
          <w:sz w:val="28"/>
          <w:szCs w:val="21"/>
          <w:lang w:val="fr-FR"/>
        </w:rPr>
        <w:t>international. (</w:t>
      </w:r>
      <w:r w:rsidRPr="005A376B">
        <w:rPr>
          <w:rFonts w:ascii="Arial" w:hAnsi="Arial" w:cs="Arial"/>
          <w:i/>
          <w:color w:val="333333"/>
          <w:sz w:val="28"/>
          <w:szCs w:val="21"/>
          <w:lang w:val="fr-FR"/>
        </w:rPr>
        <w:t>183 mots</w:t>
      </w:r>
      <w:r w:rsidRPr="005A376B">
        <w:rPr>
          <w:rFonts w:ascii="Arial" w:hAnsi="Arial" w:cs="Arial"/>
          <w:color w:val="333333"/>
          <w:sz w:val="28"/>
          <w:szCs w:val="21"/>
          <w:lang w:val="fr-FR"/>
        </w:rPr>
        <w:t>)</w:t>
      </w:r>
    </w:p>
    <w:p w:rsidR="00182DBC" w:rsidRPr="005A376B" w:rsidRDefault="00AB0BFF">
      <w:pPr>
        <w:rPr>
          <w:rFonts w:ascii="Arial" w:eastAsia="Times New Roman" w:hAnsi="Arial" w:cs="Arial"/>
          <w:color w:val="333333"/>
          <w:sz w:val="28"/>
          <w:szCs w:val="21"/>
          <w:lang w:val="fr-FR" w:eastAsia="it-IT"/>
        </w:rPr>
      </w:pPr>
    </w:p>
    <w:sectPr w:rsidR="00182DBC" w:rsidRPr="005A37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6B"/>
    <w:rsid w:val="00111746"/>
    <w:rsid w:val="005A376B"/>
    <w:rsid w:val="00684253"/>
    <w:rsid w:val="0074467A"/>
    <w:rsid w:val="00AB0BFF"/>
    <w:rsid w:val="00BD4F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B45A7"/>
  <w15:chartTrackingRefBased/>
  <w15:docId w15:val="{E998895E-1EF7-43C3-951D-766DAFCD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A376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5A37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21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statistics-explained/index.php?title=Glossary:Balance_of_payments/fr" TargetMode="External"/><Relationship Id="rId3" Type="http://schemas.openxmlformats.org/officeDocument/2006/relationships/webSettings" Target="webSettings.xml"/><Relationship Id="rId7" Type="http://schemas.openxmlformats.org/officeDocument/2006/relationships/hyperlink" Target="https://ec.europa.eu/eurostat/statistics-explained/index.php?title=Glossary:Import/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europa.eu/eurostat/statistics-explained/index.php?title=Glossary:Export/fr" TargetMode="External"/><Relationship Id="rId5" Type="http://schemas.openxmlformats.org/officeDocument/2006/relationships/hyperlink" Target="https://ec.europa.eu/eurostat/statistics-explained/index.php?title=Glossary:Euro_area/fr" TargetMode="External"/><Relationship Id="rId10" Type="http://schemas.openxmlformats.org/officeDocument/2006/relationships/theme" Target="theme/theme1.xml"/><Relationship Id="rId4" Type="http://schemas.openxmlformats.org/officeDocument/2006/relationships/hyperlink" Target="https://ec.europa.eu/eurostat/statistics-explained/index.php?title=Glossary:European_Union_(EU)/fr"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UNIVERSITA' DI TRIESTE</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STABARIN ISABELLE</dc:creator>
  <cp:keywords/>
  <dc:description/>
  <cp:lastModifiedBy>STABARIN ISABELLE</cp:lastModifiedBy>
  <cp:revision>2</cp:revision>
  <dcterms:created xsi:type="dcterms:W3CDTF">2023-02-28T12:24:00Z</dcterms:created>
  <dcterms:modified xsi:type="dcterms:W3CDTF">2023-02-28T12:24:00Z</dcterms:modified>
</cp:coreProperties>
</file>