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52" w:rsidRPr="00B66EAB" w:rsidRDefault="00FA4D52" w:rsidP="00FA4D52">
      <w:pPr>
        <w:shd w:val="clear" w:color="auto" w:fill="FFFFFF"/>
        <w:spacing w:before="300" w:after="300" w:line="240" w:lineRule="auto"/>
        <w:textAlignment w:val="top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it-IT"/>
        </w:rPr>
      </w:pPr>
      <w:proofErr w:type="spellStart"/>
      <w:r w:rsidRPr="00B66EAB">
        <w:rPr>
          <w:rFonts w:ascii="Arial" w:eastAsia="Times New Roman" w:hAnsi="Arial" w:cs="Arial"/>
          <w:color w:val="000000"/>
          <w:kern w:val="36"/>
          <w:sz w:val="36"/>
          <w:szCs w:val="36"/>
          <w:lang w:eastAsia="it-IT"/>
        </w:rPr>
        <w:t>Euthanasie</w:t>
      </w:r>
      <w:proofErr w:type="spellEnd"/>
      <w:r w:rsidRPr="00B66EAB">
        <w:rPr>
          <w:rFonts w:ascii="Arial" w:eastAsia="Times New Roman" w:hAnsi="Arial" w:cs="Arial"/>
          <w:color w:val="000000"/>
          <w:kern w:val="36"/>
          <w:sz w:val="36"/>
          <w:szCs w:val="36"/>
          <w:lang w:eastAsia="it-IT"/>
        </w:rPr>
        <w:t xml:space="preserve"> et fin de vie en </w:t>
      </w:r>
      <w:proofErr w:type="gramStart"/>
      <w:r w:rsidRPr="00B66EAB">
        <w:rPr>
          <w:rFonts w:ascii="Arial" w:eastAsia="Times New Roman" w:hAnsi="Arial" w:cs="Arial"/>
          <w:color w:val="000000"/>
          <w:kern w:val="36"/>
          <w:sz w:val="36"/>
          <w:szCs w:val="36"/>
          <w:lang w:eastAsia="it-IT"/>
        </w:rPr>
        <w:t>2018 :</w:t>
      </w:r>
      <w:proofErr w:type="gramEnd"/>
      <w:r w:rsidRPr="00B66EAB">
        <w:rPr>
          <w:rFonts w:ascii="Arial" w:eastAsia="Times New Roman" w:hAnsi="Arial" w:cs="Arial"/>
          <w:color w:val="000000"/>
          <w:kern w:val="36"/>
          <w:sz w:val="36"/>
          <w:szCs w:val="36"/>
          <w:lang w:eastAsia="it-IT"/>
        </w:rPr>
        <w:t xml:space="preserve"> la </w:t>
      </w:r>
      <w:proofErr w:type="spellStart"/>
      <w:r w:rsidRPr="00B66EAB">
        <w:rPr>
          <w:rFonts w:ascii="Arial" w:eastAsia="Times New Roman" w:hAnsi="Arial" w:cs="Arial"/>
          <w:color w:val="000000"/>
          <w:kern w:val="36"/>
          <w:sz w:val="36"/>
          <w:szCs w:val="36"/>
          <w:lang w:eastAsia="it-IT"/>
        </w:rPr>
        <w:t>Loi</w:t>
      </w:r>
      <w:proofErr w:type="spellEnd"/>
      <w:r w:rsidRPr="00B66EAB">
        <w:rPr>
          <w:rFonts w:ascii="Arial" w:eastAsia="Times New Roman" w:hAnsi="Arial" w:cs="Arial"/>
          <w:color w:val="000000"/>
          <w:kern w:val="36"/>
          <w:sz w:val="36"/>
          <w:szCs w:val="36"/>
          <w:lang w:eastAsia="it-IT"/>
        </w:rPr>
        <w:t xml:space="preserve"> </w:t>
      </w:r>
      <w:proofErr w:type="spellStart"/>
      <w:r w:rsidRPr="00B66EAB">
        <w:rPr>
          <w:rFonts w:ascii="Arial" w:eastAsia="Times New Roman" w:hAnsi="Arial" w:cs="Arial"/>
          <w:color w:val="000000"/>
          <w:kern w:val="36"/>
          <w:sz w:val="36"/>
          <w:szCs w:val="36"/>
          <w:lang w:eastAsia="it-IT"/>
        </w:rPr>
        <w:t>Léonetti-Claeys</w:t>
      </w:r>
      <w:proofErr w:type="spellEnd"/>
    </w:p>
    <w:p w:rsidR="00FA4D52" w:rsidRPr="00FA4D52" w:rsidRDefault="00FA4D52" w:rsidP="00FA4D52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767676"/>
          <w:sz w:val="18"/>
          <w:szCs w:val="18"/>
          <w:lang w:eastAsia="it-IT"/>
        </w:rPr>
      </w:pPr>
      <w:r w:rsidRPr="00FA4D52">
        <w:rPr>
          <w:rFonts w:ascii="Verdana" w:eastAsia="Times New Roman" w:hAnsi="Verdana" w:cs="Times New Roman"/>
          <w:color w:val="767676"/>
          <w:sz w:val="18"/>
          <w:szCs w:val="18"/>
          <w:lang w:eastAsia="it-IT"/>
        </w:rPr>
        <w:t>Par </w:t>
      </w:r>
      <w:proofErr w:type="spellStart"/>
      <w:r w:rsidRPr="00FA4D52">
        <w:rPr>
          <w:rFonts w:ascii="Verdana" w:eastAsia="Times New Roman" w:hAnsi="Verdana" w:cs="Times New Roman"/>
          <w:color w:val="767676"/>
          <w:sz w:val="18"/>
          <w:szCs w:val="18"/>
          <w:lang w:eastAsia="it-IT"/>
        </w:rPr>
        <w:fldChar w:fldCharType="begin"/>
      </w:r>
      <w:r w:rsidRPr="00FA4D52">
        <w:rPr>
          <w:rFonts w:ascii="Verdana" w:eastAsia="Times New Roman" w:hAnsi="Verdana" w:cs="Times New Roman"/>
          <w:color w:val="767676"/>
          <w:sz w:val="18"/>
          <w:szCs w:val="18"/>
          <w:lang w:eastAsia="it-IT"/>
        </w:rPr>
        <w:instrText xml:space="preserve"> HYPERLINK "https://www.juritravail.com/authors/guyban-mathilde-581?rel=author" </w:instrText>
      </w:r>
      <w:r w:rsidRPr="00FA4D52">
        <w:rPr>
          <w:rFonts w:ascii="Verdana" w:eastAsia="Times New Roman" w:hAnsi="Verdana" w:cs="Times New Roman"/>
          <w:color w:val="767676"/>
          <w:sz w:val="18"/>
          <w:szCs w:val="18"/>
          <w:lang w:eastAsia="it-IT"/>
        </w:rPr>
        <w:fldChar w:fldCharType="separate"/>
      </w:r>
      <w:r w:rsidRPr="00FA4D52">
        <w:rPr>
          <w:rFonts w:ascii="Verdana" w:eastAsia="Times New Roman" w:hAnsi="Verdana" w:cs="Times New Roman"/>
          <w:b/>
          <w:bCs/>
          <w:color w:val="1B619C"/>
          <w:sz w:val="18"/>
          <w:szCs w:val="18"/>
          <w:bdr w:val="none" w:sz="0" w:space="0" w:color="auto" w:frame="1"/>
          <w:lang w:eastAsia="it-IT"/>
        </w:rPr>
        <w:t>Mathilde</w:t>
      </w:r>
      <w:proofErr w:type="spellEnd"/>
      <w:r w:rsidRPr="00FA4D52">
        <w:rPr>
          <w:rFonts w:ascii="Verdana" w:eastAsia="Times New Roman" w:hAnsi="Verdana" w:cs="Times New Roman"/>
          <w:b/>
          <w:bCs/>
          <w:color w:val="1B619C"/>
          <w:sz w:val="18"/>
          <w:szCs w:val="18"/>
          <w:bdr w:val="none" w:sz="0" w:space="0" w:color="auto" w:frame="1"/>
          <w:lang w:eastAsia="it-IT"/>
        </w:rPr>
        <w:t xml:space="preserve"> </w:t>
      </w:r>
      <w:proofErr w:type="spellStart"/>
      <w:proofErr w:type="gramStart"/>
      <w:r w:rsidRPr="00FA4D52">
        <w:rPr>
          <w:rFonts w:ascii="Verdana" w:eastAsia="Times New Roman" w:hAnsi="Verdana" w:cs="Times New Roman"/>
          <w:b/>
          <w:bCs/>
          <w:color w:val="1B619C"/>
          <w:sz w:val="18"/>
          <w:szCs w:val="18"/>
          <w:bdr w:val="none" w:sz="0" w:space="0" w:color="auto" w:frame="1"/>
          <w:lang w:eastAsia="it-IT"/>
        </w:rPr>
        <w:t>Guyban</w:t>
      </w:r>
      <w:proofErr w:type="spellEnd"/>
      <w:r w:rsidRPr="00FA4D52">
        <w:rPr>
          <w:rFonts w:ascii="Verdana" w:eastAsia="Times New Roman" w:hAnsi="Verdana" w:cs="Times New Roman"/>
          <w:color w:val="1B619C"/>
          <w:sz w:val="18"/>
          <w:szCs w:val="18"/>
          <w:u w:val="single"/>
          <w:bdr w:val="none" w:sz="0" w:space="0" w:color="auto" w:frame="1"/>
          <w:lang w:eastAsia="it-IT"/>
        </w:rPr>
        <w:t> </w:t>
      </w:r>
      <w:r w:rsidRPr="00FA4D52">
        <w:rPr>
          <w:rFonts w:ascii="Verdana" w:eastAsia="Times New Roman" w:hAnsi="Verdana" w:cs="Times New Roman"/>
          <w:color w:val="767676"/>
          <w:sz w:val="18"/>
          <w:szCs w:val="18"/>
          <w:lang w:eastAsia="it-IT"/>
        </w:rPr>
        <w:fldChar w:fldCharType="end"/>
      </w:r>
      <w:r w:rsidRPr="00FA4D52">
        <w:rPr>
          <w:rFonts w:ascii="Verdana" w:eastAsia="Times New Roman" w:hAnsi="Verdana" w:cs="Times New Roman"/>
          <w:color w:val="767676"/>
          <w:sz w:val="18"/>
          <w:szCs w:val="18"/>
          <w:lang w:eastAsia="it-IT"/>
        </w:rPr>
        <w:t>,</w:t>
      </w:r>
      <w:proofErr w:type="gramEnd"/>
      <w:r w:rsidRPr="00FA4D52">
        <w:rPr>
          <w:rFonts w:ascii="Verdana" w:eastAsia="Times New Roman" w:hAnsi="Verdana" w:cs="Times New Roman"/>
          <w:color w:val="767676"/>
          <w:sz w:val="18"/>
          <w:szCs w:val="18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767676"/>
          <w:sz w:val="18"/>
          <w:szCs w:val="18"/>
          <w:lang w:eastAsia="it-IT"/>
        </w:rPr>
        <w:t>Juriste</w:t>
      </w:r>
      <w:proofErr w:type="spellEnd"/>
      <w:r w:rsidRPr="00FA4D52">
        <w:rPr>
          <w:rFonts w:ascii="Verdana" w:eastAsia="Times New Roman" w:hAnsi="Verdana" w:cs="Times New Roman"/>
          <w:color w:val="767676"/>
          <w:sz w:val="18"/>
          <w:szCs w:val="18"/>
          <w:lang w:eastAsia="it-IT"/>
        </w:rPr>
        <w:t xml:space="preserve"> - </w:t>
      </w:r>
      <w:proofErr w:type="spellStart"/>
      <w:r w:rsidRPr="00FA4D52">
        <w:rPr>
          <w:rFonts w:ascii="Verdana" w:eastAsia="Times New Roman" w:hAnsi="Verdana" w:cs="Times New Roman"/>
          <w:color w:val="767676"/>
          <w:sz w:val="18"/>
          <w:szCs w:val="18"/>
          <w:lang w:eastAsia="it-IT"/>
        </w:rPr>
        <w:t>Modifié</w:t>
      </w:r>
      <w:proofErr w:type="spellEnd"/>
      <w:r w:rsidRPr="00FA4D52">
        <w:rPr>
          <w:rFonts w:ascii="Verdana" w:eastAsia="Times New Roman" w:hAnsi="Verdana" w:cs="Times New Roman"/>
          <w:color w:val="767676"/>
          <w:sz w:val="18"/>
          <w:szCs w:val="18"/>
          <w:lang w:eastAsia="it-IT"/>
        </w:rPr>
        <w:t xml:space="preserve"> le </w:t>
      </w:r>
      <w:r w:rsidRPr="00FA4D52">
        <w:rPr>
          <w:rFonts w:ascii="Verdana" w:eastAsia="Times New Roman" w:hAnsi="Verdana" w:cs="Times New Roman"/>
          <w:color w:val="767676"/>
          <w:sz w:val="18"/>
          <w:szCs w:val="18"/>
          <w:bdr w:val="none" w:sz="0" w:space="0" w:color="auto" w:frame="1"/>
          <w:lang w:eastAsia="it-IT"/>
        </w:rPr>
        <w:t>27-07-2018</w:t>
      </w:r>
    </w:p>
    <w:p w:rsidR="00FA4D52" w:rsidRPr="00B66EAB" w:rsidRDefault="00FA4D52" w:rsidP="00B66EA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A4D52">
        <w:rPr>
          <w:rFonts w:ascii="Verdana" w:eastAsia="Times New Roman" w:hAnsi="Verdana" w:cs="Times New Roman"/>
          <w:color w:val="767676"/>
          <w:sz w:val="18"/>
          <w:szCs w:val="18"/>
          <w:lang w:eastAsia="it-IT"/>
        </w:rPr>
        <w:br w:type="textWrapping" w:clear="all"/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Vous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vous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demandez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quels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sont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vos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proofErr w:type="gram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droits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 ?</w:t>
      </w:r>
      <w:proofErr w:type="gram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La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législation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sur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la </w:t>
      </w:r>
      <w:proofErr w:type="gram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« fin</w:t>
      </w:r>
      <w:proofErr w:type="gram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de vie » a-t-elle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évolué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 ? L'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Euthanasie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passive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ou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active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a-t-elle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été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proofErr w:type="gram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légalisée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 ?</w:t>
      </w:r>
      <w:proofErr w:type="gramEnd"/>
    </w:p>
    <w:p w:rsidR="00FA4D52" w:rsidRPr="00B66EAB" w:rsidRDefault="00FA4D52" w:rsidP="00FA4D5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Les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derniers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grands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apports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en la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matière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datent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de la </w:t>
      </w:r>
      <w:proofErr w:type="spellStart"/>
      <w:r w:rsidRPr="00B66EA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Loi</w:t>
      </w:r>
      <w:proofErr w:type="spellEnd"/>
      <w:r w:rsidRPr="00B66EA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66EA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Léonetti-Claeys</w:t>
      </w:r>
      <w:proofErr w:type="spellEnd"/>
      <w:r w:rsidRPr="00B66EA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 </w:t>
      </w:r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de 2016 qui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vient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compléter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la grande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Loi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Léonetti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relative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aux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droits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des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malades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en fin de vie.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Alors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que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l'</w:t>
      </w:r>
      <w:proofErr w:type="spellStart"/>
      <w:r w:rsidRPr="00B66EA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euthanasie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 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demeure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interdite,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cette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dernière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loi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vient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consacrer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le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droit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à une </w:t>
      </w:r>
      <w:proofErr w:type="spellStart"/>
      <w:r w:rsidRPr="00B66EA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sédation</w:t>
      </w:r>
      <w:proofErr w:type="spellEnd"/>
      <w:r w:rsidRPr="00B66EA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profonde et continue</w:t>
      </w:r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.</w:t>
      </w:r>
    </w:p>
    <w:p w:rsidR="00FA4D52" w:rsidRPr="00B66EAB" w:rsidRDefault="00FA4D52" w:rsidP="00FA4D5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Aujourd'hui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, le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cadre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légal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est-il </w:t>
      </w:r>
      <w:proofErr w:type="spellStart"/>
      <w:proofErr w:type="gram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suffisant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 ?</w:t>
      </w:r>
      <w:proofErr w:type="gram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Faisons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 xml:space="preserve"> le </w:t>
      </w:r>
      <w:proofErr w:type="spellStart"/>
      <w:proofErr w:type="gramStart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point</w:t>
      </w:r>
      <w:proofErr w:type="spellEnd"/>
      <w:r w:rsidRPr="00B66EA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 !</w:t>
      </w:r>
      <w:proofErr w:type="gramEnd"/>
    </w:p>
    <w:p w:rsidR="00FA4D52" w:rsidRPr="00B66EAB" w:rsidRDefault="00FA4D52" w:rsidP="00FA4D52">
      <w:pPr>
        <w:pBdr>
          <w:bottom w:val="single" w:sz="6" w:space="0" w:color="EEEEEE"/>
        </w:pBdr>
        <w:shd w:val="clear" w:color="auto" w:fill="FFFFFF"/>
        <w:spacing w:after="120" w:line="360" w:lineRule="atLeast"/>
        <w:textAlignment w:val="top"/>
        <w:rPr>
          <w:rFonts w:ascii="Arial" w:eastAsia="Times New Roman" w:hAnsi="Arial" w:cs="Arial"/>
          <w:b/>
          <w:bCs/>
          <w:color w:val="4E4E4E"/>
          <w:sz w:val="24"/>
          <w:szCs w:val="24"/>
          <w:lang w:eastAsia="it-IT"/>
        </w:rPr>
      </w:pPr>
      <w:proofErr w:type="spellStart"/>
      <w:r w:rsidRPr="00B66EAB">
        <w:rPr>
          <w:rFonts w:ascii="Arial" w:eastAsia="Times New Roman" w:hAnsi="Arial" w:cs="Arial"/>
          <w:b/>
          <w:bCs/>
          <w:color w:val="4E4E4E"/>
          <w:sz w:val="24"/>
          <w:szCs w:val="24"/>
          <w:lang w:eastAsia="it-IT"/>
        </w:rPr>
        <w:t>Sommaire</w:t>
      </w:r>
      <w:bookmarkStart w:id="0" w:name="_GoBack"/>
      <w:bookmarkEnd w:id="0"/>
      <w:proofErr w:type="spellEnd"/>
    </w:p>
    <w:p w:rsidR="00FA4D52" w:rsidRPr="00FA4D52" w:rsidRDefault="00B66EAB" w:rsidP="00FA4D5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top"/>
        <w:rPr>
          <w:rFonts w:ascii="Verdana" w:eastAsia="Times New Roman" w:hAnsi="Verdana" w:cs="Times New Roman"/>
          <w:color w:val="767676"/>
          <w:sz w:val="21"/>
          <w:szCs w:val="21"/>
          <w:lang w:eastAsia="it-IT"/>
        </w:rPr>
      </w:pPr>
      <w:hyperlink r:id="rId5" w:anchor="contexte" w:history="1">
        <w:proofErr w:type="spellStart"/>
        <w:r w:rsidR="00FA4D52" w:rsidRPr="00FA4D52">
          <w:rPr>
            <w:rFonts w:ascii="Verdana" w:eastAsia="Times New Roman" w:hAnsi="Verdana" w:cs="Times New Roman"/>
            <w:color w:val="1B619C"/>
            <w:sz w:val="21"/>
            <w:szCs w:val="21"/>
            <w:u w:val="single"/>
            <w:bdr w:val="none" w:sz="0" w:space="0" w:color="auto" w:frame="1"/>
            <w:lang w:eastAsia="it-IT"/>
          </w:rPr>
          <w:t>Contexte</w:t>
        </w:r>
        <w:proofErr w:type="spellEnd"/>
      </w:hyperlink>
    </w:p>
    <w:p w:rsidR="00FA4D52" w:rsidRPr="00FA4D52" w:rsidRDefault="00B66EAB" w:rsidP="00FA4D5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top"/>
        <w:rPr>
          <w:rFonts w:ascii="Verdana" w:eastAsia="Times New Roman" w:hAnsi="Verdana" w:cs="Times New Roman"/>
          <w:color w:val="767676"/>
          <w:sz w:val="21"/>
          <w:szCs w:val="21"/>
          <w:lang w:eastAsia="it-IT"/>
        </w:rPr>
      </w:pPr>
      <w:hyperlink r:id="rId6" w:anchor="apport-loi-lonetti-claeys-2016" w:history="1">
        <w:proofErr w:type="spellStart"/>
        <w:r w:rsidR="00FA4D52" w:rsidRPr="00FA4D52">
          <w:rPr>
            <w:rFonts w:ascii="Verdana" w:eastAsia="Times New Roman" w:hAnsi="Verdana" w:cs="Times New Roman"/>
            <w:color w:val="1B619C"/>
            <w:sz w:val="21"/>
            <w:szCs w:val="21"/>
            <w:u w:val="single"/>
            <w:bdr w:val="none" w:sz="0" w:space="0" w:color="auto" w:frame="1"/>
            <w:lang w:eastAsia="it-IT"/>
          </w:rPr>
          <w:t>Apport</w:t>
        </w:r>
        <w:proofErr w:type="spellEnd"/>
        <w:r w:rsidR="00FA4D52" w:rsidRPr="00FA4D52">
          <w:rPr>
            <w:rFonts w:ascii="Verdana" w:eastAsia="Times New Roman" w:hAnsi="Verdana" w:cs="Times New Roman"/>
            <w:color w:val="1B619C"/>
            <w:sz w:val="21"/>
            <w:szCs w:val="21"/>
            <w:u w:val="single"/>
            <w:bdr w:val="none" w:sz="0" w:space="0" w:color="auto" w:frame="1"/>
            <w:lang w:eastAsia="it-IT"/>
          </w:rPr>
          <w:t xml:space="preserve"> de la </w:t>
        </w:r>
        <w:proofErr w:type="spellStart"/>
        <w:r w:rsidR="00FA4D52" w:rsidRPr="00FA4D52">
          <w:rPr>
            <w:rFonts w:ascii="Verdana" w:eastAsia="Times New Roman" w:hAnsi="Verdana" w:cs="Times New Roman"/>
            <w:color w:val="1B619C"/>
            <w:sz w:val="21"/>
            <w:szCs w:val="21"/>
            <w:u w:val="single"/>
            <w:bdr w:val="none" w:sz="0" w:space="0" w:color="auto" w:frame="1"/>
            <w:lang w:eastAsia="it-IT"/>
          </w:rPr>
          <w:t>Loi</w:t>
        </w:r>
        <w:proofErr w:type="spellEnd"/>
        <w:r w:rsidR="00FA4D52" w:rsidRPr="00FA4D52">
          <w:rPr>
            <w:rFonts w:ascii="Verdana" w:eastAsia="Times New Roman" w:hAnsi="Verdana" w:cs="Times New Roman"/>
            <w:color w:val="1B619C"/>
            <w:sz w:val="21"/>
            <w:szCs w:val="21"/>
            <w:u w:val="single"/>
            <w:bdr w:val="none" w:sz="0" w:space="0" w:color="auto" w:frame="1"/>
            <w:lang w:eastAsia="it-IT"/>
          </w:rPr>
          <w:t xml:space="preserve"> </w:t>
        </w:r>
        <w:proofErr w:type="spellStart"/>
        <w:r w:rsidR="00FA4D52" w:rsidRPr="00FA4D52">
          <w:rPr>
            <w:rFonts w:ascii="Verdana" w:eastAsia="Times New Roman" w:hAnsi="Verdana" w:cs="Times New Roman"/>
            <w:color w:val="1B619C"/>
            <w:sz w:val="21"/>
            <w:szCs w:val="21"/>
            <w:u w:val="single"/>
            <w:bdr w:val="none" w:sz="0" w:space="0" w:color="auto" w:frame="1"/>
            <w:lang w:eastAsia="it-IT"/>
          </w:rPr>
          <w:t>Léonetti-Claeys</w:t>
        </w:r>
        <w:proofErr w:type="spellEnd"/>
        <w:r w:rsidR="00FA4D52" w:rsidRPr="00FA4D52">
          <w:rPr>
            <w:rFonts w:ascii="Verdana" w:eastAsia="Times New Roman" w:hAnsi="Verdana" w:cs="Times New Roman"/>
            <w:color w:val="1B619C"/>
            <w:sz w:val="21"/>
            <w:szCs w:val="21"/>
            <w:u w:val="single"/>
            <w:bdr w:val="none" w:sz="0" w:space="0" w:color="auto" w:frame="1"/>
            <w:lang w:eastAsia="it-IT"/>
          </w:rPr>
          <w:t xml:space="preserve"> de 2016</w:t>
        </w:r>
      </w:hyperlink>
    </w:p>
    <w:p w:rsidR="00FA4D52" w:rsidRPr="00FA4D52" w:rsidRDefault="00B66EAB" w:rsidP="00FA4D52">
      <w:pPr>
        <w:numPr>
          <w:ilvl w:val="0"/>
          <w:numId w:val="1"/>
        </w:numPr>
        <w:shd w:val="clear" w:color="auto" w:fill="FFFFFF"/>
        <w:spacing w:line="240" w:lineRule="auto"/>
        <w:ind w:left="375"/>
        <w:textAlignment w:val="top"/>
        <w:rPr>
          <w:rFonts w:ascii="Verdana" w:eastAsia="Times New Roman" w:hAnsi="Verdana" w:cs="Times New Roman"/>
          <w:color w:val="767676"/>
          <w:sz w:val="21"/>
          <w:szCs w:val="21"/>
          <w:lang w:eastAsia="it-IT"/>
        </w:rPr>
      </w:pPr>
      <w:hyperlink r:id="rId7" w:anchor="etat-lieux-2018-perspectives-volutions" w:history="1">
        <w:proofErr w:type="spellStart"/>
        <w:r w:rsidR="00FA4D52" w:rsidRPr="00FA4D52">
          <w:rPr>
            <w:rFonts w:ascii="Verdana" w:eastAsia="Times New Roman" w:hAnsi="Verdana" w:cs="Times New Roman"/>
            <w:color w:val="1B619C"/>
            <w:sz w:val="21"/>
            <w:szCs w:val="21"/>
            <w:u w:val="single"/>
            <w:bdr w:val="none" w:sz="0" w:space="0" w:color="auto" w:frame="1"/>
            <w:lang w:eastAsia="it-IT"/>
          </w:rPr>
          <w:t>Etat</w:t>
        </w:r>
        <w:proofErr w:type="spellEnd"/>
        <w:r w:rsidR="00FA4D52" w:rsidRPr="00FA4D52">
          <w:rPr>
            <w:rFonts w:ascii="Verdana" w:eastAsia="Times New Roman" w:hAnsi="Verdana" w:cs="Times New Roman"/>
            <w:color w:val="1B619C"/>
            <w:sz w:val="21"/>
            <w:szCs w:val="21"/>
            <w:u w:val="single"/>
            <w:bdr w:val="none" w:sz="0" w:space="0" w:color="auto" w:frame="1"/>
            <w:lang w:eastAsia="it-IT"/>
          </w:rPr>
          <w:t xml:space="preserve"> </w:t>
        </w:r>
        <w:proofErr w:type="spellStart"/>
        <w:r w:rsidR="00FA4D52" w:rsidRPr="00FA4D52">
          <w:rPr>
            <w:rFonts w:ascii="Verdana" w:eastAsia="Times New Roman" w:hAnsi="Verdana" w:cs="Times New Roman"/>
            <w:color w:val="1B619C"/>
            <w:sz w:val="21"/>
            <w:szCs w:val="21"/>
            <w:u w:val="single"/>
            <w:bdr w:val="none" w:sz="0" w:space="0" w:color="auto" w:frame="1"/>
            <w:lang w:eastAsia="it-IT"/>
          </w:rPr>
          <w:t>des</w:t>
        </w:r>
        <w:proofErr w:type="spellEnd"/>
        <w:r w:rsidR="00FA4D52" w:rsidRPr="00FA4D52">
          <w:rPr>
            <w:rFonts w:ascii="Verdana" w:eastAsia="Times New Roman" w:hAnsi="Verdana" w:cs="Times New Roman"/>
            <w:color w:val="1B619C"/>
            <w:sz w:val="21"/>
            <w:szCs w:val="21"/>
            <w:u w:val="single"/>
            <w:bdr w:val="none" w:sz="0" w:space="0" w:color="auto" w:frame="1"/>
            <w:lang w:eastAsia="it-IT"/>
          </w:rPr>
          <w:t xml:space="preserve"> </w:t>
        </w:r>
        <w:proofErr w:type="spellStart"/>
        <w:r w:rsidR="00FA4D52" w:rsidRPr="00FA4D52">
          <w:rPr>
            <w:rFonts w:ascii="Verdana" w:eastAsia="Times New Roman" w:hAnsi="Verdana" w:cs="Times New Roman"/>
            <w:color w:val="1B619C"/>
            <w:sz w:val="21"/>
            <w:szCs w:val="21"/>
            <w:u w:val="single"/>
            <w:bdr w:val="none" w:sz="0" w:space="0" w:color="auto" w:frame="1"/>
            <w:lang w:eastAsia="it-IT"/>
          </w:rPr>
          <w:t>lieux</w:t>
        </w:r>
        <w:proofErr w:type="spellEnd"/>
        <w:r w:rsidR="00FA4D52" w:rsidRPr="00FA4D52">
          <w:rPr>
            <w:rFonts w:ascii="Verdana" w:eastAsia="Times New Roman" w:hAnsi="Verdana" w:cs="Times New Roman"/>
            <w:color w:val="1B619C"/>
            <w:sz w:val="21"/>
            <w:szCs w:val="21"/>
            <w:u w:val="single"/>
            <w:bdr w:val="none" w:sz="0" w:space="0" w:color="auto" w:frame="1"/>
            <w:lang w:eastAsia="it-IT"/>
          </w:rPr>
          <w:t xml:space="preserve"> en 2018 et </w:t>
        </w:r>
        <w:proofErr w:type="spellStart"/>
        <w:r w:rsidR="00FA4D52" w:rsidRPr="00FA4D52">
          <w:rPr>
            <w:rFonts w:ascii="Verdana" w:eastAsia="Times New Roman" w:hAnsi="Verdana" w:cs="Times New Roman"/>
            <w:color w:val="1B619C"/>
            <w:sz w:val="21"/>
            <w:szCs w:val="21"/>
            <w:u w:val="single"/>
            <w:bdr w:val="none" w:sz="0" w:space="0" w:color="auto" w:frame="1"/>
            <w:lang w:eastAsia="it-IT"/>
          </w:rPr>
          <w:t>perspectives</w:t>
        </w:r>
        <w:proofErr w:type="spellEnd"/>
        <w:r w:rsidR="00FA4D52" w:rsidRPr="00FA4D52">
          <w:rPr>
            <w:rFonts w:ascii="Verdana" w:eastAsia="Times New Roman" w:hAnsi="Verdana" w:cs="Times New Roman"/>
            <w:color w:val="1B619C"/>
            <w:sz w:val="21"/>
            <w:szCs w:val="21"/>
            <w:u w:val="single"/>
            <w:bdr w:val="none" w:sz="0" w:space="0" w:color="auto" w:frame="1"/>
            <w:lang w:eastAsia="it-IT"/>
          </w:rPr>
          <w:t xml:space="preserve"> d'</w:t>
        </w:r>
        <w:proofErr w:type="spellStart"/>
        <w:r w:rsidR="00FA4D52" w:rsidRPr="00FA4D52">
          <w:rPr>
            <w:rFonts w:ascii="Verdana" w:eastAsia="Times New Roman" w:hAnsi="Verdana" w:cs="Times New Roman"/>
            <w:color w:val="1B619C"/>
            <w:sz w:val="21"/>
            <w:szCs w:val="21"/>
            <w:u w:val="single"/>
            <w:bdr w:val="none" w:sz="0" w:space="0" w:color="auto" w:frame="1"/>
            <w:lang w:eastAsia="it-IT"/>
          </w:rPr>
          <w:t>évolutions</w:t>
        </w:r>
        <w:proofErr w:type="spellEnd"/>
      </w:hyperlink>
    </w:p>
    <w:p w:rsidR="00FA4D52" w:rsidRPr="00FA4D52" w:rsidRDefault="00FA4D52" w:rsidP="00FA4D52">
      <w:pPr>
        <w:shd w:val="clear" w:color="auto" w:fill="FFFFFF"/>
        <w:spacing w:after="0" w:line="240" w:lineRule="auto"/>
        <w:textAlignment w:val="top"/>
        <w:outlineLvl w:val="1"/>
        <w:rPr>
          <w:rFonts w:ascii="Helvetica" w:eastAsia="Times New Roman" w:hAnsi="Helvetica" w:cs="Helvetica"/>
          <w:color w:val="222222"/>
          <w:sz w:val="38"/>
          <w:szCs w:val="38"/>
          <w:lang w:eastAsia="it-IT"/>
        </w:rPr>
      </w:pPr>
      <w:bookmarkStart w:id="1" w:name="contexte"/>
      <w:bookmarkEnd w:id="1"/>
      <w:proofErr w:type="spellStart"/>
      <w:r w:rsidRPr="00FA4D52">
        <w:rPr>
          <w:rFonts w:ascii="Helvetica" w:eastAsia="Times New Roman" w:hAnsi="Helvetica" w:cs="Helvetica"/>
          <w:color w:val="222222"/>
          <w:sz w:val="38"/>
          <w:szCs w:val="38"/>
          <w:lang w:eastAsia="it-IT"/>
        </w:rPr>
        <w:t>Contexte</w:t>
      </w:r>
      <w:proofErr w:type="spellEnd"/>
    </w:p>
    <w:p w:rsidR="00FA4D52" w:rsidRPr="00FA4D52" w:rsidRDefault="00FA4D52" w:rsidP="00FA4D52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</w:pPr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La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mort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demeure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,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depuis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longtemps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, un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sujet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sensible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.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Cependant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,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avec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progrès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constants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la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médecine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,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questions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relatives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à la </w:t>
      </w:r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fin de vie</w:t>
      </w:r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 se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multiplient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.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Vouloir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guérir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ou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maintenir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en vie à tout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prix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n'est plus d'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actualité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. Il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faut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trouver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un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juste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milieu.</w:t>
      </w:r>
    </w:p>
    <w:p w:rsidR="00FA4D52" w:rsidRPr="00FA4D52" w:rsidRDefault="00FA4D52" w:rsidP="00FA4D52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</w:pPr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Le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sujet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ne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relève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plus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seulement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du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domaine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médical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. De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nombreux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facteurs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sont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à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prendre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en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considération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,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questions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médicales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évidemment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mais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aussi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enjeux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 </w:t>
      </w:r>
      <w:proofErr w:type="spellStart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éthiques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 et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sociétaux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.  </w:t>
      </w:r>
    </w:p>
    <w:p w:rsidR="00FA4D52" w:rsidRPr="00FA4D52" w:rsidRDefault="00FA4D52" w:rsidP="00FA4D52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</w:pP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Entre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le milieu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années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1980 et la fin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années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1990,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débats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se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concentrent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sur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l'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encadrement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des</w:t>
      </w:r>
      <w:proofErr w:type="spellEnd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 </w:t>
      </w:r>
      <w:proofErr w:type="spellStart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soins</w:t>
      </w:r>
      <w:proofErr w:type="spellEnd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palliatifs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 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devenus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un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droit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pour le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patient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.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Entre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la fin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années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1990 et le milieu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années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2000, c'est la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reconnaissance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et le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développement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la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prise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en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compte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 </w:t>
      </w:r>
      <w:proofErr w:type="spellStart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volontés</w:t>
      </w:r>
      <w:proofErr w:type="spellEnd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du</w:t>
      </w:r>
      <w:proofErr w:type="spellEnd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patient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 (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droit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au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refus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traitement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, la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possibilité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désigner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une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personne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confiance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et de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rédiger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directives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anticipées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).</w:t>
      </w:r>
    </w:p>
    <w:p w:rsidR="00FA4D52" w:rsidRPr="00FA4D52" w:rsidRDefault="00FA4D52" w:rsidP="00FA4D52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</w:pP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Toutefois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, le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cadre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semble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insuffisant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, la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médiatisation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l'affaire Vincent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Humbert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attise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le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débat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et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révèle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limites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du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dispositif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. L'affaire est à l'origine de la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Loi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Léonetti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 </w:t>
      </w:r>
      <w:r w:rsidRPr="00FA4D52">
        <w:rPr>
          <w:rFonts w:ascii="Verdana" w:eastAsia="Times New Roman" w:hAnsi="Verdana" w:cs="Times New Roman"/>
          <w:i/>
          <w:iCs/>
          <w:color w:val="222222"/>
          <w:sz w:val="21"/>
          <w:szCs w:val="21"/>
          <w:bdr w:val="none" w:sz="0" w:space="0" w:color="auto" w:frame="1"/>
          <w:lang w:eastAsia="it-IT"/>
        </w:rPr>
        <w:t>(1) 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complétée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par la 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fldChar w:fldCharType="begin"/>
      </w:r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instrText xml:space="preserve"> HYPERLINK "https://www.juritravail.com/Actualite/euthanasie/Id/240021" \t "_blank" </w:instrText>
      </w:r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fldChar w:fldCharType="separate"/>
      </w:r>
      <w:r w:rsidRPr="00FA4D52">
        <w:rPr>
          <w:rFonts w:ascii="Verdana" w:eastAsia="Times New Roman" w:hAnsi="Verdana" w:cs="Times New Roman"/>
          <w:color w:val="1B619C"/>
          <w:sz w:val="21"/>
          <w:szCs w:val="21"/>
          <w:u w:val="single"/>
          <w:bdr w:val="none" w:sz="0" w:space="0" w:color="auto" w:frame="1"/>
          <w:lang w:eastAsia="it-IT"/>
        </w:rPr>
        <w:t>Loi</w:t>
      </w:r>
      <w:proofErr w:type="spellEnd"/>
      <w:r w:rsidRPr="00FA4D52">
        <w:rPr>
          <w:rFonts w:ascii="Verdana" w:eastAsia="Times New Roman" w:hAnsi="Verdana" w:cs="Times New Roman"/>
          <w:color w:val="1B619C"/>
          <w:sz w:val="21"/>
          <w:szCs w:val="21"/>
          <w:u w:val="single"/>
          <w:bdr w:val="none" w:sz="0" w:space="0" w:color="auto" w:frame="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1B619C"/>
          <w:sz w:val="21"/>
          <w:szCs w:val="21"/>
          <w:u w:val="single"/>
          <w:bdr w:val="none" w:sz="0" w:space="0" w:color="auto" w:frame="1"/>
          <w:lang w:eastAsia="it-IT"/>
        </w:rPr>
        <w:t>Leonetti-Claeys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fldChar w:fldCharType="end"/>
      </w:r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 </w:t>
      </w:r>
      <w:r w:rsidRPr="00FA4D52">
        <w:rPr>
          <w:rFonts w:ascii="Verdana" w:eastAsia="Times New Roman" w:hAnsi="Verdana" w:cs="Times New Roman"/>
          <w:i/>
          <w:iCs/>
          <w:color w:val="222222"/>
          <w:sz w:val="21"/>
          <w:szCs w:val="21"/>
          <w:bdr w:val="none" w:sz="0" w:space="0" w:color="auto" w:frame="1"/>
          <w:lang w:eastAsia="it-IT"/>
        </w:rPr>
        <w:t>(2) </w:t>
      </w:r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pour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renforcer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le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droit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malades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et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lutter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contre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l'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acharnement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thérapeutique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.</w:t>
      </w:r>
    </w:p>
    <w:p w:rsidR="00FA4D52" w:rsidRPr="00FA4D52" w:rsidRDefault="00FA4D52" w:rsidP="00FA4D52">
      <w:pPr>
        <w:shd w:val="clear" w:color="auto" w:fill="FFFFFF"/>
        <w:spacing w:after="0" w:line="240" w:lineRule="auto"/>
        <w:textAlignment w:val="top"/>
        <w:outlineLvl w:val="1"/>
        <w:rPr>
          <w:rFonts w:ascii="Helvetica" w:eastAsia="Times New Roman" w:hAnsi="Helvetica" w:cs="Helvetica"/>
          <w:color w:val="222222"/>
          <w:sz w:val="38"/>
          <w:szCs w:val="38"/>
          <w:lang w:eastAsia="it-IT"/>
        </w:rPr>
      </w:pPr>
      <w:bookmarkStart w:id="2" w:name="apport-loi-lonetti-claeys-2016"/>
      <w:bookmarkEnd w:id="2"/>
      <w:proofErr w:type="spellStart"/>
      <w:r w:rsidRPr="00FA4D52">
        <w:rPr>
          <w:rFonts w:ascii="Helvetica" w:eastAsia="Times New Roman" w:hAnsi="Helvetica" w:cs="Helvetica"/>
          <w:color w:val="222222"/>
          <w:sz w:val="38"/>
          <w:szCs w:val="38"/>
          <w:lang w:eastAsia="it-IT"/>
        </w:rPr>
        <w:t>Apport</w:t>
      </w:r>
      <w:proofErr w:type="spellEnd"/>
      <w:r w:rsidRPr="00FA4D52">
        <w:rPr>
          <w:rFonts w:ascii="Helvetica" w:eastAsia="Times New Roman" w:hAnsi="Helvetica" w:cs="Helvetica"/>
          <w:color w:val="222222"/>
          <w:sz w:val="38"/>
          <w:szCs w:val="38"/>
          <w:lang w:eastAsia="it-IT"/>
        </w:rPr>
        <w:t xml:space="preserve"> de la </w:t>
      </w:r>
      <w:proofErr w:type="spellStart"/>
      <w:r w:rsidRPr="00FA4D52">
        <w:rPr>
          <w:rFonts w:ascii="Helvetica" w:eastAsia="Times New Roman" w:hAnsi="Helvetica" w:cs="Helvetica"/>
          <w:color w:val="222222"/>
          <w:sz w:val="38"/>
          <w:szCs w:val="38"/>
          <w:lang w:eastAsia="it-IT"/>
        </w:rPr>
        <w:t>Loi</w:t>
      </w:r>
      <w:proofErr w:type="spellEnd"/>
      <w:r w:rsidRPr="00FA4D52">
        <w:rPr>
          <w:rFonts w:ascii="Helvetica" w:eastAsia="Times New Roman" w:hAnsi="Helvetica" w:cs="Helvetica"/>
          <w:color w:val="222222"/>
          <w:sz w:val="38"/>
          <w:szCs w:val="38"/>
          <w:lang w:eastAsia="it-IT"/>
        </w:rPr>
        <w:t xml:space="preserve"> </w:t>
      </w:r>
      <w:proofErr w:type="spellStart"/>
      <w:r w:rsidRPr="00FA4D52">
        <w:rPr>
          <w:rFonts w:ascii="Helvetica" w:eastAsia="Times New Roman" w:hAnsi="Helvetica" w:cs="Helvetica"/>
          <w:color w:val="222222"/>
          <w:sz w:val="38"/>
          <w:szCs w:val="38"/>
          <w:lang w:eastAsia="it-IT"/>
        </w:rPr>
        <w:t>Léonetti-Claeys</w:t>
      </w:r>
      <w:proofErr w:type="spellEnd"/>
      <w:r w:rsidRPr="00FA4D52">
        <w:rPr>
          <w:rFonts w:ascii="Helvetica" w:eastAsia="Times New Roman" w:hAnsi="Helvetica" w:cs="Helvetica"/>
          <w:color w:val="222222"/>
          <w:sz w:val="38"/>
          <w:szCs w:val="38"/>
          <w:lang w:eastAsia="it-IT"/>
        </w:rPr>
        <w:t xml:space="preserve"> de 2016</w:t>
      </w:r>
    </w:p>
    <w:p w:rsidR="00FA4D52" w:rsidRPr="00FA4D52" w:rsidRDefault="00FA4D52" w:rsidP="00FA4D52">
      <w:pPr>
        <w:shd w:val="clear" w:color="auto" w:fill="FFFFFF"/>
        <w:spacing w:after="240" w:line="240" w:lineRule="auto"/>
        <w:textAlignment w:val="top"/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</w:pPr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La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loi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2016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complète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celle de 2005 et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vise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à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mettre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le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malade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au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centre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du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dispositif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. </w:t>
      </w:r>
      <w:proofErr w:type="gram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Elle :</w:t>
      </w:r>
      <w:proofErr w:type="gram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 </w:t>
      </w:r>
    </w:p>
    <w:p w:rsidR="00FA4D52" w:rsidRPr="00FA4D52" w:rsidRDefault="00FA4D52" w:rsidP="00FA4D5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top"/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</w:pPr>
      <w:proofErr w:type="spellStart"/>
      <w:proofErr w:type="gram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précise</w:t>
      </w:r>
      <w:proofErr w:type="spellEnd"/>
      <w:proofErr w:type="gram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et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renforce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l'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interdiction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actes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d'«</w:t>
      </w:r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 </w:t>
      </w:r>
      <w:proofErr w:type="spellStart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obstination</w:t>
      </w:r>
      <w:proofErr w:type="spellEnd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déraisonnable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 » (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respect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la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volonté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du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patient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, à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défaut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,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procédure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collégiales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) </w:t>
      </w:r>
      <w:r w:rsidRPr="00FA4D52">
        <w:rPr>
          <w:rFonts w:ascii="Verdana" w:eastAsia="Times New Roman" w:hAnsi="Verdana" w:cs="Times New Roman"/>
          <w:i/>
          <w:iCs/>
          <w:color w:val="222222"/>
          <w:sz w:val="21"/>
          <w:szCs w:val="21"/>
          <w:bdr w:val="none" w:sz="0" w:space="0" w:color="auto" w:frame="1"/>
          <w:lang w:eastAsia="it-IT"/>
        </w:rPr>
        <w:t>(3)</w:t>
      </w:r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 ;</w:t>
      </w:r>
    </w:p>
    <w:p w:rsidR="00FA4D52" w:rsidRPr="00FA4D52" w:rsidRDefault="00FA4D52" w:rsidP="00FA4D5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top"/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</w:pPr>
      <w:proofErr w:type="spellStart"/>
      <w:proofErr w:type="gram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réaffirme</w:t>
      </w:r>
      <w:proofErr w:type="spellEnd"/>
      <w:proofErr w:type="gram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le </w:t>
      </w:r>
      <w:proofErr w:type="spellStart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droit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 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du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patient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au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 </w:t>
      </w:r>
      <w:proofErr w:type="spellStart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refus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 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ou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à </w:t>
      </w:r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l'</w:t>
      </w:r>
      <w:proofErr w:type="spellStart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arrêt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,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éclairé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(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informations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sur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conséquences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d'une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telle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décision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par le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médecin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),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du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 </w:t>
      </w:r>
      <w:proofErr w:type="spellStart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traitement</w:t>
      </w:r>
      <w:proofErr w:type="spellEnd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 </w:t>
      </w:r>
      <w:r w:rsidRPr="00FA4D52">
        <w:rPr>
          <w:rFonts w:ascii="Verdana" w:eastAsia="Times New Roman" w:hAnsi="Verdana" w:cs="Times New Roman"/>
          <w:i/>
          <w:iCs/>
          <w:color w:val="222222"/>
          <w:sz w:val="21"/>
          <w:szCs w:val="21"/>
          <w:bdr w:val="none" w:sz="0" w:space="0" w:color="auto" w:frame="1"/>
          <w:lang w:eastAsia="it-IT"/>
        </w:rPr>
        <w:t>(4) </w:t>
      </w:r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;</w:t>
      </w:r>
    </w:p>
    <w:p w:rsidR="00FA4D52" w:rsidRPr="00FA4D52" w:rsidRDefault="00FA4D52" w:rsidP="00FA4D5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top"/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</w:pPr>
      <w:proofErr w:type="spellStart"/>
      <w:proofErr w:type="gram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consacre</w:t>
      </w:r>
      <w:proofErr w:type="spellEnd"/>
      <w:proofErr w:type="gram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le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droit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au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soulagement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la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souffrance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avec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la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possibilité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recevoir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un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traitement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à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cet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effet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même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si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celui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-ci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pour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conséquence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d'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abréger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la vie </w:t>
      </w:r>
      <w:r w:rsidRPr="00FA4D52">
        <w:rPr>
          <w:rFonts w:ascii="Verdana" w:eastAsia="Times New Roman" w:hAnsi="Verdana" w:cs="Times New Roman"/>
          <w:i/>
          <w:iCs/>
          <w:color w:val="222222"/>
          <w:sz w:val="21"/>
          <w:szCs w:val="21"/>
          <w:bdr w:val="none" w:sz="0" w:space="0" w:color="auto" w:frame="1"/>
          <w:lang w:eastAsia="it-IT"/>
        </w:rPr>
        <w:t>(5)</w:t>
      </w:r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 ;   </w:t>
      </w:r>
    </w:p>
    <w:p w:rsidR="00FA4D52" w:rsidRPr="00FA4D52" w:rsidRDefault="00FA4D52" w:rsidP="00FA4D5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top"/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</w:pPr>
      <w:proofErr w:type="spellStart"/>
      <w:proofErr w:type="gram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améliore</w:t>
      </w:r>
      <w:proofErr w:type="spellEnd"/>
      <w:proofErr w:type="gram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et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revalorise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la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rédaction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 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fldChar w:fldCharType="begin"/>
      </w:r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instrText xml:space="preserve"> HYPERLINK "https://www.juritravail.com/Actualite/euthanasie/Id/251551" \t "_blank" </w:instrText>
      </w:r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fldChar w:fldCharType="separate"/>
      </w:r>
      <w:r w:rsidRPr="00FA4D52">
        <w:rPr>
          <w:rFonts w:ascii="Verdana" w:eastAsia="Times New Roman" w:hAnsi="Verdana" w:cs="Times New Roman"/>
          <w:color w:val="1B619C"/>
          <w:sz w:val="21"/>
          <w:szCs w:val="21"/>
          <w:u w:val="single"/>
          <w:bdr w:val="none" w:sz="0" w:space="0" w:color="auto" w:frame="1"/>
          <w:lang w:eastAsia="it-IT"/>
        </w:rPr>
        <w:t>directives</w:t>
      </w:r>
      <w:proofErr w:type="spellEnd"/>
      <w:r w:rsidRPr="00FA4D52">
        <w:rPr>
          <w:rFonts w:ascii="Verdana" w:eastAsia="Times New Roman" w:hAnsi="Verdana" w:cs="Times New Roman"/>
          <w:color w:val="1B619C"/>
          <w:sz w:val="21"/>
          <w:szCs w:val="21"/>
          <w:u w:val="single"/>
          <w:bdr w:val="none" w:sz="0" w:space="0" w:color="auto" w:frame="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1B619C"/>
          <w:sz w:val="21"/>
          <w:szCs w:val="21"/>
          <w:u w:val="single"/>
          <w:bdr w:val="none" w:sz="0" w:space="0" w:color="auto" w:frame="1"/>
          <w:lang w:eastAsia="it-IT"/>
        </w:rPr>
        <w:t>anticipées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fldChar w:fldCharType="end"/>
      </w:r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,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désormais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,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révisable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et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valable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à vie.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Celles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-ci l'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emportent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sur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la </w:t>
      </w:r>
      <w:proofErr w:type="spellStart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personne</w:t>
      </w:r>
      <w:proofErr w:type="spellEnd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 xml:space="preserve"> de </w:t>
      </w:r>
      <w:proofErr w:type="spellStart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confiance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 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ou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témoignages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proches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. Et, un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modèle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directives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est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disponible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 </w:t>
      </w:r>
      <w:r w:rsidRPr="00FA4D52">
        <w:rPr>
          <w:rFonts w:ascii="Verdana" w:eastAsia="Times New Roman" w:hAnsi="Verdana" w:cs="Times New Roman"/>
          <w:i/>
          <w:iCs/>
          <w:color w:val="222222"/>
          <w:sz w:val="21"/>
          <w:szCs w:val="21"/>
          <w:bdr w:val="none" w:sz="0" w:space="0" w:color="auto" w:frame="1"/>
          <w:lang w:eastAsia="it-IT"/>
        </w:rPr>
        <w:t>(6) 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afin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faciliter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voire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systématiser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cette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proofErr w:type="gram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démarche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 ;</w:t>
      </w:r>
      <w:proofErr w:type="gramEnd"/>
    </w:p>
    <w:p w:rsidR="00FA4D52" w:rsidRPr="00FA4D52" w:rsidRDefault="00FA4D52" w:rsidP="00FA4D5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top"/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</w:pPr>
      <w:proofErr w:type="spellStart"/>
      <w:proofErr w:type="gram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renforce</w:t>
      </w:r>
      <w:proofErr w:type="spellEnd"/>
      <w:proofErr w:type="gram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le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rôle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la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personne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confiance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, son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témoignage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prime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sur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celui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la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famille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et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proches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 </w:t>
      </w:r>
      <w:r w:rsidRPr="00FA4D52">
        <w:rPr>
          <w:rFonts w:ascii="Verdana" w:eastAsia="Times New Roman" w:hAnsi="Verdana" w:cs="Times New Roman"/>
          <w:i/>
          <w:iCs/>
          <w:color w:val="222222"/>
          <w:sz w:val="21"/>
          <w:szCs w:val="21"/>
          <w:bdr w:val="none" w:sz="0" w:space="0" w:color="auto" w:frame="1"/>
          <w:lang w:eastAsia="it-IT"/>
        </w:rPr>
        <w:t>(7)</w:t>
      </w:r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.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Désormais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, la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possibilité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désigner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une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telle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personne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est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ouverte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aux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personnes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sous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tutelle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,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sous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proofErr w:type="gram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condition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;</w:t>
      </w:r>
      <w:proofErr w:type="gramEnd"/>
    </w:p>
    <w:p w:rsidR="00FA4D52" w:rsidRPr="00FA4D52" w:rsidRDefault="00FA4D52" w:rsidP="00FA4D5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top"/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</w:pPr>
      <w:proofErr w:type="spellStart"/>
      <w:proofErr w:type="gram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introduit</w:t>
      </w:r>
      <w:proofErr w:type="spellEnd"/>
      <w:proofErr w:type="gram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le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droit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à une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sédation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profonde et continue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jusqu'au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décès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 </w:t>
      </w:r>
      <w:r w:rsidRPr="00FA4D52">
        <w:rPr>
          <w:rFonts w:ascii="Verdana" w:eastAsia="Times New Roman" w:hAnsi="Verdana" w:cs="Times New Roman"/>
          <w:i/>
          <w:iCs/>
          <w:color w:val="222222"/>
          <w:sz w:val="21"/>
          <w:szCs w:val="21"/>
          <w:bdr w:val="none" w:sz="0" w:space="0" w:color="auto" w:frame="1"/>
          <w:lang w:eastAsia="it-IT"/>
        </w:rPr>
        <w:t>(8)</w:t>
      </w:r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.</w:t>
      </w:r>
    </w:p>
    <w:p w:rsidR="00FA4D52" w:rsidRDefault="00FA4D52" w:rsidP="00FA4D52">
      <w:pPr>
        <w:shd w:val="clear" w:color="auto" w:fill="FFFFFF"/>
        <w:spacing w:after="0" w:line="240" w:lineRule="auto"/>
        <w:textAlignment w:val="top"/>
        <w:outlineLvl w:val="1"/>
        <w:rPr>
          <w:rFonts w:ascii="Helvetica" w:eastAsia="Times New Roman" w:hAnsi="Helvetica" w:cs="Helvetica"/>
          <w:color w:val="222222"/>
          <w:sz w:val="38"/>
          <w:szCs w:val="38"/>
          <w:lang w:eastAsia="it-IT"/>
        </w:rPr>
      </w:pPr>
      <w:bookmarkStart w:id="3" w:name="etat-lieux-2018-perspectives-volutions"/>
      <w:bookmarkEnd w:id="3"/>
    </w:p>
    <w:p w:rsidR="00FA4D52" w:rsidRPr="00FA4D52" w:rsidRDefault="00FA4D52" w:rsidP="00FA4D52">
      <w:pPr>
        <w:shd w:val="clear" w:color="auto" w:fill="FFFFFF"/>
        <w:spacing w:after="0" w:line="240" w:lineRule="auto"/>
        <w:textAlignment w:val="top"/>
        <w:outlineLvl w:val="1"/>
        <w:rPr>
          <w:rFonts w:ascii="Helvetica" w:eastAsia="Times New Roman" w:hAnsi="Helvetica" w:cs="Helvetica"/>
          <w:color w:val="222222"/>
          <w:sz w:val="38"/>
          <w:szCs w:val="38"/>
          <w:lang w:eastAsia="it-IT"/>
        </w:rPr>
      </w:pPr>
      <w:proofErr w:type="spellStart"/>
      <w:r w:rsidRPr="00FA4D52">
        <w:rPr>
          <w:rFonts w:ascii="Helvetica" w:eastAsia="Times New Roman" w:hAnsi="Helvetica" w:cs="Helvetica"/>
          <w:color w:val="222222"/>
          <w:sz w:val="38"/>
          <w:szCs w:val="38"/>
          <w:lang w:eastAsia="it-IT"/>
        </w:rPr>
        <w:lastRenderedPageBreak/>
        <w:t>Etat</w:t>
      </w:r>
      <w:proofErr w:type="spellEnd"/>
      <w:r w:rsidRPr="00FA4D52">
        <w:rPr>
          <w:rFonts w:ascii="Helvetica" w:eastAsia="Times New Roman" w:hAnsi="Helvetica" w:cs="Helvetica"/>
          <w:color w:val="222222"/>
          <w:sz w:val="38"/>
          <w:szCs w:val="38"/>
          <w:lang w:eastAsia="it-IT"/>
        </w:rPr>
        <w:t xml:space="preserve"> </w:t>
      </w:r>
      <w:proofErr w:type="spellStart"/>
      <w:r w:rsidRPr="00FA4D52">
        <w:rPr>
          <w:rFonts w:ascii="Helvetica" w:eastAsia="Times New Roman" w:hAnsi="Helvetica" w:cs="Helvetica"/>
          <w:color w:val="222222"/>
          <w:sz w:val="38"/>
          <w:szCs w:val="38"/>
          <w:lang w:eastAsia="it-IT"/>
        </w:rPr>
        <w:t>des</w:t>
      </w:r>
      <w:proofErr w:type="spellEnd"/>
      <w:r w:rsidRPr="00FA4D52">
        <w:rPr>
          <w:rFonts w:ascii="Helvetica" w:eastAsia="Times New Roman" w:hAnsi="Helvetica" w:cs="Helvetica"/>
          <w:color w:val="222222"/>
          <w:sz w:val="38"/>
          <w:szCs w:val="38"/>
          <w:lang w:eastAsia="it-IT"/>
        </w:rPr>
        <w:t xml:space="preserve"> </w:t>
      </w:r>
      <w:proofErr w:type="spellStart"/>
      <w:r w:rsidRPr="00FA4D52">
        <w:rPr>
          <w:rFonts w:ascii="Helvetica" w:eastAsia="Times New Roman" w:hAnsi="Helvetica" w:cs="Helvetica"/>
          <w:color w:val="222222"/>
          <w:sz w:val="38"/>
          <w:szCs w:val="38"/>
          <w:lang w:eastAsia="it-IT"/>
        </w:rPr>
        <w:t>lieux</w:t>
      </w:r>
      <w:proofErr w:type="spellEnd"/>
      <w:r w:rsidRPr="00FA4D52">
        <w:rPr>
          <w:rFonts w:ascii="Helvetica" w:eastAsia="Times New Roman" w:hAnsi="Helvetica" w:cs="Helvetica"/>
          <w:color w:val="222222"/>
          <w:sz w:val="38"/>
          <w:szCs w:val="38"/>
          <w:lang w:eastAsia="it-IT"/>
        </w:rPr>
        <w:t xml:space="preserve"> en 2018 et </w:t>
      </w:r>
      <w:proofErr w:type="spellStart"/>
      <w:r w:rsidRPr="00FA4D52">
        <w:rPr>
          <w:rFonts w:ascii="Helvetica" w:eastAsia="Times New Roman" w:hAnsi="Helvetica" w:cs="Helvetica"/>
          <w:color w:val="222222"/>
          <w:sz w:val="38"/>
          <w:szCs w:val="38"/>
          <w:lang w:eastAsia="it-IT"/>
        </w:rPr>
        <w:t>perspectives</w:t>
      </w:r>
      <w:proofErr w:type="spellEnd"/>
      <w:r w:rsidRPr="00FA4D52">
        <w:rPr>
          <w:rFonts w:ascii="Helvetica" w:eastAsia="Times New Roman" w:hAnsi="Helvetica" w:cs="Helvetica"/>
          <w:color w:val="222222"/>
          <w:sz w:val="38"/>
          <w:szCs w:val="38"/>
          <w:lang w:eastAsia="it-IT"/>
        </w:rPr>
        <w:t xml:space="preserve"> d'</w:t>
      </w:r>
      <w:proofErr w:type="spellStart"/>
      <w:r w:rsidRPr="00FA4D52">
        <w:rPr>
          <w:rFonts w:ascii="Helvetica" w:eastAsia="Times New Roman" w:hAnsi="Helvetica" w:cs="Helvetica"/>
          <w:color w:val="222222"/>
          <w:sz w:val="38"/>
          <w:szCs w:val="38"/>
          <w:lang w:eastAsia="it-IT"/>
        </w:rPr>
        <w:t>évolutions</w:t>
      </w:r>
      <w:proofErr w:type="spellEnd"/>
    </w:p>
    <w:p w:rsidR="00FA4D52" w:rsidRPr="00FA4D52" w:rsidRDefault="00FA4D52" w:rsidP="00FA4D52">
      <w:pPr>
        <w:shd w:val="clear" w:color="auto" w:fill="FFFFFF"/>
        <w:spacing w:after="240" w:line="240" w:lineRule="auto"/>
        <w:textAlignment w:val="top"/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</w:pP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Aujourd'hui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,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qu'en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est-il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l'application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cette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proofErr w:type="gram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loi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 ?</w:t>
      </w:r>
      <w:proofErr w:type="gram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A-t-elle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vraiment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permis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supprimer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la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souffrance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patients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en fin de </w:t>
      </w:r>
      <w:proofErr w:type="gram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vie ?</w:t>
      </w:r>
      <w:proofErr w:type="gram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La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volonté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du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malade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prime-t-elle </w:t>
      </w:r>
      <w:proofErr w:type="spellStart"/>
      <w:proofErr w:type="gram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réellement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 ?</w:t>
      </w:r>
      <w:proofErr w:type="gramEnd"/>
    </w:p>
    <w:p w:rsidR="00FA4D52" w:rsidRPr="00FA4D52" w:rsidRDefault="00FA4D52" w:rsidP="00FA4D52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</w:pP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 </w:t>
      </w:r>
      <w:proofErr w:type="spellStart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manques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 se font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toujours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ressentir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. L'ouverture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états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généraux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la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bioéthique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, en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janvier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2018, en est la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preuve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.</w:t>
      </w:r>
    </w:p>
    <w:p w:rsidR="00FA4D52" w:rsidRPr="00FA4D52" w:rsidRDefault="00FA4D52" w:rsidP="00FA4D52">
      <w:pPr>
        <w:shd w:val="clear" w:color="auto" w:fill="FFFFFF"/>
        <w:spacing w:after="240" w:line="240" w:lineRule="auto"/>
        <w:textAlignment w:val="top"/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</w:pPr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En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avril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dernier, le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Conseil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Economique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Social et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Environnemental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(CESE), formule un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certain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nombre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recommandations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. Il en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ressort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proofErr w:type="gram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notamment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 :</w:t>
      </w:r>
      <w:proofErr w:type="gramEnd"/>
    </w:p>
    <w:p w:rsidR="00FA4D52" w:rsidRPr="00FA4D52" w:rsidRDefault="00FA4D52" w:rsidP="00FA4D5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top"/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</w:pPr>
      <w:proofErr w:type="gram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l'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importance</w:t>
      </w:r>
      <w:proofErr w:type="spellEnd"/>
      <w:proofErr w:type="gram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prendre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un « </w:t>
      </w:r>
      <w:proofErr w:type="spellStart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plan</w:t>
      </w:r>
      <w:proofErr w:type="spellEnd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national</w:t>
      </w:r>
      <w:proofErr w:type="spellEnd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 xml:space="preserve"> de </w:t>
      </w:r>
      <w:proofErr w:type="spellStart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développement</w:t>
      </w:r>
      <w:proofErr w:type="spellEnd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des</w:t>
      </w:r>
      <w:proofErr w:type="spellEnd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soins</w:t>
      </w:r>
      <w:proofErr w:type="spellEnd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palliatifs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 (2019-2021)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afin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d'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étendre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la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communication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sur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directives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anticipées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et la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personne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confiance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, d'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accentuer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la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place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la fin de vie et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soins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palliatifs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dans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programmes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formation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initiale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et continue et de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mobiliser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un </w:t>
      </w:r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budget</w:t>
      </w:r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 à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cet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effet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 ;  </w:t>
      </w:r>
    </w:p>
    <w:p w:rsidR="00FA4D52" w:rsidRPr="00FA4D52" w:rsidRDefault="00FA4D52" w:rsidP="00FA4D5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top"/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</w:pPr>
      <w:proofErr w:type="gram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le</w:t>
      </w:r>
      <w:proofErr w:type="gram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besoin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 de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renforcer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études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et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 </w:t>
      </w:r>
      <w:proofErr w:type="spellStart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évaluations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 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relatives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à la mise en oeuvre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du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dispositif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existant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 ;</w:t>
      </w:r>
    </w:p>
    <w:p w:rsidR="00FA4D52" w:rsidRPr="00FA4D52" w:rsidRDefault="00FA4D52" w:rsidP="00FA4D5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top"/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</w:pPr>
      <w:proofErr w:type="gram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la</w:t>
      </w:r>
      <w:proofErr w:type="gram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nécessité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prendre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décrets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d'application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afin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d'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uniformiser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pratiques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et d'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accompagner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différents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acteurs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.</w:t>
      </w:r>
    </w:p>
    <w:p w:rsidR="00FA4D52" w:rsidRPr="00FA4D52" w:rsidRDefault="00FA4D52" w:rsidP="00FA4D52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</w:pPr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Le CESE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préconise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également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d'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élargir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le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dispositif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en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donnant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la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possibilité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,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au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patient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, de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demander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à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bénéficier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d'une </w:t>
      </w:r>
      <w:proofErr w:type="spellStart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sédation</w:t>
      </w:r>
      <w:proofErr w:type="spellEnd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 xml:space="preserve"> profonde </w:t>
      </w:r>
      <w:proofErr w:type="spellStart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explicitement</w:t>
      </w:r>
      <w:proofErr w:type="spellEnd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létale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,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provoquant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ainsi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le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décès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.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Afin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ne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pas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entraver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la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liberté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personnes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habilitées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à la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mettre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en oeuvre,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elles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bénéficieraient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d'une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clause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</w:t>
      </w:r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 </w:t>
      </w:r>
      <w:proofErr w:type="spellStart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liberté</w:t>
      </w:r>
      <w:proofErr w:type="spellEnd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 xml:space="preserve"> de </w:t>
      </w:r>
      <w:proofErr w:type="spellStart"/>
      <w:r w:rsidRPr="00FA4D52">
        <w:rPr>
          <w:rFonts w:ascii="Verdana" w:eastAsia="Times New Roman" w:hAnsi="Verdana" w:cs="Times New Roman"/>
          <w:b/>
          <w:bCs/>
          <w:color w:val="222222"/>
          <w:sz w:val="21"/>
          <w:szCs w:val="21"/>
          <w:bdr w:val="none" w:sz="0" w:space="0" w:color="auto" w:frame="1"/>
          <w:lang w:eastAsia="it-IT"/>
        </w:rPr>
        <w:t>conscience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 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leur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permettant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refuser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participer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. </w:t>
      </w:r>
    </w:p>
    <w:p w:rsidR="00FA4D52" w:rsidRPr="00FA4D52" w:rsidRDefault="00FA4D52" w:rsidP="00FA4D52">
      <w:pPr>
        <w:shd w:val="clear" w:color="auto" w:fill="FFFFFF"/>
        <w:spacing w:after="240" w:line="240" w:lineRule="auto"/>
        <w:textAlignment w:val="top"/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</w:pPr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côté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du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CESE, l'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Inspection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Générale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Affaires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Sociales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(IGAS) s'est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prononcée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sur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l'application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la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loi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2016. Elle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considère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que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cette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loi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facilite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et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favorise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le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dialogue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sur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un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sujet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longtemps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tabou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. En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famille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et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avec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professionnels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santé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, la parole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semble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libérée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.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Malgré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ce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bilan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positif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, l'IGAS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soulève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limites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la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loi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et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difficultés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d'applications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.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Comme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le CESE, il constate le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manque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communication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, le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manque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d'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études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, le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manque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formations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et d'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encadrement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sur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le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sujet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.</w:t>
      </w:r>
    </w:p>
    <w:p w:rsidR="00FA4D52" w:rsidRPr="00FA4D52" w:rsidRDefault="00FA4D52" w:rsidP="00FA4D52">
      <w:pPr>
        <w:shd w:val="clear" w:color="auto" w:fill="FFFFFF"/>
        <w:spacing w:after="240" w:line="240" w:lineRule="auto"/>
        <w:textAlignment w:val="top"/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</w:pP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Aujourd'hui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, le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droit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évolué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avec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l'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introduction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du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droit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à une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sédation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profonde et continue.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Cependant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, il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ressort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un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manque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d'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homogénéisation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pratiques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dans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le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parcours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la fin de vie.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Selon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lieux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(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hôpital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, EHPAD,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domicile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, etc.),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les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régions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, la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procédure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varie. L'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importance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du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contentieux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la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responsabilité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médicale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peut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également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dissuader.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Comment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être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certain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que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telle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ou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telle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situation impose de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mettre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en oeuvre la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procédure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proofErr w:type="gram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collégiale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 ?</w:t>
      </w:r>
      <w:proofErr w:type="gram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Qu'est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-ce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qu'une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souffrance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proofErr w:type="gram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réfractaire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 ?</w:t>
      </w:r>
      <w:proofErr w:type="gramEnd"/>
    </w:p>
    <w:p w:rsidR="00FA4D52" w:rsidRPr="00FA4D52" w:rsidRDefault="00FA4D52" w:rsidP="00FA4D52">
      <w:pPr>
        <w:shd w:val="clear" w:color="auto" w:fill="FFFFFF"/>
        <w:spacing w:after="240" w:line="240" w:lineRule="auto"/>
        <w:textAlignment w:val="top"/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</w:pPr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Et, la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question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la 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légalisation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de l'</w:t>
      </w:r>
      <w:proofErr w:type="spell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euthanasie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 xml:space="preserve"> </w:t>
      </w:r>
      <w:proofErr w:type="spellStart"/>
      <w:proofErr w:type="gramStart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demeure</w:t>
      </w:r>
      <w:proofErr w:type="spellEnd"/>
      <w:r w:rsidRPr="00FA4D52">
        <w:rPr>
          <w:rFonts w:ascii="Verdana" w:eastAsia="Times New Roman" w:hAnsi="Verdana" w:cs="Times New Roman"/>
          <w:color w:val="222222"/>
          <w:sz w:val="21"/>
          <w:szCs w:val="21"/>
          <w:lang w:eastAsia="it-IT"/>
        </w:rPr>
        <w:t> !</w:t>
      </w:r>
      <w:proofErr w:type="gramEnd"/>
    </w:p>
    <w:p w:rsidR="00FA4D52" w:rsidRPr="00FA4D52" w:rsidRDefault="00FA4D52" w:rsidP="00FA4D52">
      <w:pPr>
        <w:shd w:val="clear" w:color="auto" w:fill="FFFFFF"/>
        <w:spacing w:line="240" w:lineRule="auto"/>
        <w:textAlignment w:val="top"/>
        <w:rPr>
          <w:rFonts w:ascii="Verdana" w:eastAsia="Times New Roman" w:hAnsi="Verdana" w:cs="Times New Roman"/>
          <w:color w:val="767676"/>
          <w:sz w:val="19"/>
          <w:szCs w:val="19"/>
          <w:lang w:eastAsia="it-IT"/>
        </w:rPr>
      </w:pP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Références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 :</w:t>
      </w:r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br/>
        <w:t xml:space="preserve">(1)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Loi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 xml:space="preserve"> n°</w:t>
      </w:r>
      <w:hyperlink r:id="rId8" w:tgtFrame="_blank" w:history="1">
        <w:r w:rsidRPr="00FA4D52">
          <w:rPr>
            <w:rFonts w:ascii="Verdana" w:eastAsia="Times New Roman" w:hAnsi="Verdana" w:cs="Times New Roman"/>
            <w:i/>
            <w:iCs/>
            <w:color w:val="1B619C"/>
            <w:sz w:val="19"/>
            <w:szCs w:val="19"/>
            <w:u w:val="single"/>
            <w:bdr w:val="none" w:sz="0" w:space="0" w:color="auto" w:frame="1"/>
            <w:lang w:eastAsia="it-IT"/>
          </w:rPr>
          <w:t>2005-370</w:t>
        </w:r>
      </w:hyperlink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 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du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 xml:space="preserve"> 22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avril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 xml:space="preserve"> 2005 relative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aux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droits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des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malades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 xml:space="preserve"> et à la fin de vie</w:t>
      </w:r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br/>
        <w:t xml:space="preserve">(2)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Loi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 xml:space="preserve"> n°</w:t>
      </w:r>
      <w:hyperlink r:id="rId9" w:tgtFrame="_blank" w:history="1">
        <w:r w:rsidRPr="00FA4D52">
          <w:rPr>
            <w:rFonts w:ascii="Verdana" w:eastAsia="Times New Roman" w:hAnsi="Verdana" w:cs="Times New Roman"/>
            <w:i/>
            <w:iCs/>
            <w:color w:val="1B619C"/>
            <w:sz w:val="19"/>
            <w:szCs w:val="19"/>
            <w:u w:val="single"/>
            <w:bdr w:val="none" w:sz="0" w:space="0" w:color="auto" w:frame="1"/>
            <w:lang w:eastAsia="it-IT"/>
          </w:rPr>
          <w:t>2016-87</w:t>
        </w:r>
      </w:hyperlink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 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du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 xml:space="preserve"> 2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février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 xml:space="preserve"> 2016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créant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 xml:space="preserve"> de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nouveaux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droits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 xml:space="preserve"> en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faveur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des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malades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 xml:space="preserve"> et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des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personnes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 xml:space="preserve"> en fin de vie</w:t>
      </w:r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br/>
        <w:t xml:space="preserve">(3)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Articles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 </w:t>
      </w:r>
      <w:hyperlink r:id="rId10" w:tgtFrame="_blank" w:history="1">
        <w:r w:rsidRPr="00FA4D52">
          <w:rPr>
            <w:rFonts w:ascii="Verdana" w:eastAsia="Times New Roman" w:hAnsi="Verdana" w:cs="Times New Roman"/>
            <w:i/>
            <w:iCs/>
            <w:color w:val="1B619C"/>
            <w:sz w:val="19"/>
            <w:szCs w:val="19"/>
            <w:u w:val="single"/>
            <w:bdr w:val="none" w:sz="0" w:space="0" w:color="auto" w:frame="1"/>
            <w:lang w:eastAsia="it-IT"/>
          </w:rPr>
          <w:t>L1110-5</w:t>
        </w:r>
      </w:hyperlink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 xml:space="preserve"> et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suivants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du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 xml:space="preserve"> Code de la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santé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publique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br/>
        <w:t xml:space="preserve">(4)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Article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 </w:t>
      </w:r>
      <w:hyperlink r:id="rId11" w:tgtFrame="_blank" w:history="1">
        <w:r w:rsidRPr="00FA4D52">
          <w:rPr>
            <w:rFonts w:ascii="Verdana" w:eastAsia="Times New Roman" w:hAnsi="Verdana" w:cs="Times New Roman"/>
            <w:i/>
            <w:iCs/>
            <w:color w:val="1B619C"/>
            <w:sz w:val="19"/>
            <w:szCs w:val="19"/>
            <w:u w:val="single"/>
            <w:bdr w:val="none" w:sz="0" w:space="0" w:color="auto" w:frame="1"/>
            <w:lang w:eastAsia="it-IT"/>
          </w:rPr>
          <w:t>L1111-4</w:t>
        </w:r>
      </w:hyperlink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 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du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 xml:space="preserve"> Code de la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santé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publique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br/>
        <w:t xml:space="preserve">(5)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Article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 </w:t>
      </w:r>
      <w:hyperlink r:id="rId12" w:tgtFrame="_blank" w:history="1">
        <w:r w:rsidRPr="00FA4D52">
          <w:rPr>
            <w:rFonts w:ascii="Verdana" w:eastAsia="Times New Roman" w:hAnsi="Verdana" w:cs="Times New Roman"/>
            <w:i/>
            <w:iCs/>
            <w:color w:val="1B619C"/>
            <w:sz w:val="19"/>
            <w:szCs w:val="19"/>
            <w:u w:val="single"/>
            <w:bdr w:val="none" w:sz="0" w:space="0" w:color="auto" w:frame="1"/>
            <w:lang w:eastAsia="it-IT"/>
          </w:rPr>
          <w:t>L1110-5-3</w:t>
        </w:r>
      </w:hyperlink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 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du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 xml:space="preserve"> Code de la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santé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publique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br/>
        <w:t xml:space="preserve">(6)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Article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 </w:t>
      </w:r>
      <w:hyperlink r:id="rId13" w:tgtFrame="_blank" w:history="1">
        <w:r w:rsidRPr="00FA4D52">
          <w:rPr>
            <w:rFonts w:ascii="Verdana" w:eastAsia="Times New Roman" w:hAnsi="Verdana" w:cs="Times New Roman"/>
            <w:i/>
            <w:iCs/>
            <w:color w:val="1B619C"/>
            <w:sz w:val="19"/>
            <w:szCs w:val="19"/>
            <w:u w:val="single"/>
            <w:bdr w:val="none" w:sz="0" w:space="0" w:color="auto" w:frame="1"/>
            <w:lang w:eastAsia="it-IT"/>
          </w:rPr>
          <w:t>L1111-12</w:t>
        </w:r>
      </w:hyperlink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 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du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 xml:space="preserve"> Code de la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santé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publique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br/>
        <w:t xml:space="preserve">(7)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Article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 </w:t>
      </w:r>
      <w:hyperlink r:id="rId14" w:tgtFrame="_blank" w:history="1">
        <w:r w:rsidRPr="00FA4D52">
          <w:rPr>
            <w:rFonts w:ascii="Verdana" w:eastAsia="Times New Roman" w:hAnsi="Verdana" w:cs="Times New Roman"/>
            <w:i/>
            <w:iCs/>
            <w:color w:val="1B619C"/>
            <w:sz w:val="19"/>
            <w:szCs w:val="19"/>
            <w:u w:val="single"/>
            <w:bdr w:val="none" w:sz="0" w:space="0" w:color="auto" w:frame="1"/>
            <w:lang w:eastAsia="it-IT"/>
          </w:rPr>
          <w:t>L1111-6</w:t>
        </w:r>
      </w:hyperlink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 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du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 xml:space="preserve"> Code de la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santé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publique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br/>
        <w:t xml:space="preserve">(8)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Article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 </w:t>
      </w:r>
      <w:hyperlink r:id="rId15" w:tgtFrame="_blank" w:history="1">
        <w:r w:rsidRPr="00FA4D52">
          <w:rPr>
            <w:rFonts w:ascii="Verdana" w:eastAsia="Times New Roman" w:hAnsi="Verdana" w:cs="Times New Roman"/>
            <w:i/>
            <w:iCs/>
            <w:color w:val="1B619C"/>
            <w:sz w:val="19"/>
            <w:szCs w:val="19"/>
            <w:u w:val="single"/>
            <w:bdr w:val="none" w:sz="0" w:space="0" w:color="auto" w:frame="1"/>
            <w:lang w:eastAsia="it-IT"/>
          </w:rPr>
          <w:t>L1110-5-2</w:t>
        </w:r>
      </w:hyperlink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 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du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 xml:space="preserve"> Code de la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santé</w:t>
      </w:r>
      <w:proofErr w:type="spellEnd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 xml:space="preserve"> </w:t>
      </w:r>
      <w:proofErr w:type="spellStart"/>
      <w:r w:rsidRPr="00FA4D52">
        <w:rPr>
          <w:rFonts w:ascii="Verdana" w:eastAsia="Times New Roman" w:hAnsi="Verdana" w:cs="Times New Roman"/>
          <w:i/>
          <w:iCs/>
          <w:color w:val="767676"/>
          <w:sz w:val="19"/>
          <w:szCs w:val="19"/>
          <w:bdr w:val="none" w:sz="0" w:space="0" w:color="auto" w:frame="1"/>
          <w:lang w:eastAsia="it-IT"/>
        </w:rPr>
        <w:t>publique</w:t>
      </w:r>
      <w:proofErr w:type="spellEnd"/>
    </w:p>
    <w:p w:rsidR="00765DD9" w:rsidRDefault="00765DD9"/>
    <w:sectPr w:rsidR="00765D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C7796"/>
    <w:multiLevelType w:val="multilevel"/>
    <w:tmpl w:val="15F4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0952B6"/>
    <w:multiLevelType w:val="multilevel"/>
    <w:tmpl w:val="949A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313836"/>
    <w:multiLevelType w:val="multilevel"/>
    <w:tmpl w:val="75885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52"/>
    <w:rsid w:val="00765DD9"/>
    <w:rsid w:val="00B66EAB"/>
    <w:rsid w:val="00FA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B3289-5401-4F49-ACB7-A170871F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A4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A4D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4D5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A4D5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jt-actusuptitle">
    <w:name w:val="jt-actusuptitle"/>
    <w:basedOn w:val="Normale"/>
    <w:rsid w:val="00FA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jt-actusuptitletype">
    <w:name w:val="jt-actusuptitletype"/>
    <w:basedOn w:val="Carpredefinitoparagrafo"/>
    <w:rsid w:val="00FA4D52"/>
  </w:style>
  <w:style w:type="character" w:styleId="Collegamentoipertestuale">
    <w:name w:val="Hyperlink"/>
    <w:basedOn w:val="Carpredefinitoparagrafo"/>
    <w:uiPriority w:val="99"/>
    <w:semiHidden/>
    <w:unhideWhenUsed/>
    <w:rsid w:val="00FA4D5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A4D52"/>
    <w:rPr>
      <w:b/>
      <w:bCs/>
    </w:rPr>
  </w:style>
  <w:style w:type="paragraph" w:customStyle="1" w:styleId="jt-actuimgcontainer">
    <w:name w:val="jt-actuimgcontainer"/>
    <w:basedOn w:val="Normale"/>
    <w:rsid w:val="00FA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A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A4D52"/>
    <w:rPr>
      <w:i/>
      <w:iCs/>
    </w:rPr>
  </w:style>
  <w:style w:type="paragraph" w:customStyle="1" w:styleId="jt-actusommaire-titre">
    <w:name w:val="jt-actusommaire-titre"/>
    <w:basedOn w:val="Normale"/>
    <w:rsid w:val="00FA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4198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1549539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1188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69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6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Texte.do?cidTexte=JORFTEXT000000446240&amp;dateTexte=20180727" TargetMode="External"/><Relationship Id="rId13" Type="http://schemas.openxmlformats.org/officeDocument/2006/relationships/hyperlink" Target="https://www.juritravail.com/codes/code-sante-publique/article/L1111-1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uritravail.com/Actualite/euthanasie/Id/287974" TargetMode="External"/><Relationship Id="rId12" Type="http://schemas.openxmlformats.org/officeDocument/2006/relationships/hyperlink" Target="https://www.juritravail.com/codes/code-sante-publique/article/L1110-5-3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juritravail.com/Actualite/euthanasie/Id/287974" TargetMode="External"/><Relationship Id="rId11" Type="http://schemas.openxmlformats.org/officeDocument/2006/relationships/hyperlink" Target="https://www.juritravail.com/codes/code-sante-publique/article/L1111-4.html" TargetMode="External"/><Relationship Id="rId5" Type="http://schemas.openxmlformats.org/officeDocument/2006/relationships/hyperlink" Target="https://www.juritravail.com/Actualite/euthanasie/Id/287974" TargetMode="External"/><Relationship Id="rId15" Type="http://schemas.openxmlformats.org/officeDocument/2006/relationships/hyperlink" Target="https://www.juritravail.com/codes/code-sante-publique/article/L1110-5-2.html" TargetMode="External"/><Relationship Id="rId10" Type="http://schemas.openxmlformats.org/officeDocument/2006/relationships/hyperlink" Target="https://www.juritravail.com/codes/code-sante-publique/article/L1110-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affichTexte.do?cidTexte=JORFTEXT000031970253&amp;dateTexte=20180727" TargetMode="External"/><Relationship Id="rId14" Type="http://schemas.openxmlformats.org/officeDocument/2006/relationships/hyperlink" Target="https://www.juritravail.com/codes/code-sante-publique/article/L1111-6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Favart, Francoise</dc:creator>
  <cp:keywords/>
  <dc:description/>
  <cp:lastModifiedBy>Favart, Francoise</cp:lastModifiedBy>
  <cp:revision>2</cp:revision>
  <dcterms:created xsi:type="dcterms:W3CDTF">2019-12-16T11:18:00Z</dcterms:created>
  <dcterms:modified xsi:type="dcterms:W3CDTF">2019-12-16T11:18:00Z</dcterms:modified>
</cp:coreProperties>
</file>