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88" w:type="dxa"/>
        <w:tblCellSpacing w:w="24" w:type="dxa"/>
        <w:tblCellMar>
          <w:left w:w="0" w:type="dxa"/>
          <w:right w:w="0" w:type="dxa"/>
        </w:tblCellMar>
        <w:tblLook w:val="04A0" w:firstRow="1" w:lastRow="0" w:firstColumn="1" w:lastColumn="0" w:noHBand="0" w:noVBand="1"/>
      </w:tblPr>
      <w:tblGrid>
        <w:gridCol w:w="6288"/>
      </w:tblGrid>
      <w:tr w:rsidR="00FF251C" w:rsidRPr="00506958" w14:paraId="097AA2A2" w14:textId="77777777" w:rsidTr="00FF251C">
        <w:trPr>
          <w:tblCellSpacing w:w="24"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183"/>
              <w:gridCol w:w="9"/>
            </w:tblGrid>
            <w:tr w:rsidR="00FF251C" w:rsidRPr="00506958" w14:paraId="189990E3" w14:textId="77777777">
              <w:trPr>
                <w:tblCellSpacing w:w="0" w:type="dxa"/>
              </w:trPr>
              <w:tc>
                <w:tcPr>
                  <w:tcW w:w="0" w:type="auto"/>
                  <w:vAlign w:val="center"/>
                  <w:hideMark/>
                </w:tcPr>
                <w:p w14:paraId="38047883" w14:textId="77777777" w:rsidR="00FF251C" w:rsidRPr="00FF251C" w:rsidRDefault="00FF251C" w:rsidP="00FF251C">
                  <w:pPr>
                    <w:spacing w:after="0" w:line="240" w:lineRule="auto"/>
                    <w:rPr>
                      <w:rFonts w:ascii="Times New Roman" w:eastAsia="Times New Roman" w:hAnsi="Times New Roman" w:cs="Times New Roman"/>
                      <w:b/>
                      <w:bCs/>
                      <w:color w:val="669933"/>
                      <w:sz w:val="27"/>
                      <w:szCs w:val="27"/>
                      <w:lang w:val="it-IT"/>
                    </w:rPr>
                  </w:pPr>
                  <w:r w:rsidRPr="00FF251C">
                    <w:rPr>
                      <w:rFonts w:ascii="Times New Roman" w:eastAsia="Times New Roman" w:hAnsi="Times New Roman" w:cs="Times New Roman"/>
                      <w:b/>
                      <w:bCs/>
                      <w:color w:val="669933"/>
                      <w:sz w:val="27"/>
                      <w:szCs w:val="27"/>
                      <w:lang w:val="it-IT"/>
                    </w:rPr>
                    <w:t xml:space="preserve">Statuto “De </w:t>
                  </w:r>
                  <w:proofErr w:type="spellStart"/>
                  <w:r w:rsidRPr="00FF251C">
                    <w:rPr>
                      <w:rFonts w:ascii="Times New Roman" w:eastAsia="Times New Roman" w:hAnsi="Times New Roman" w:cs="Times New Roman"/>
                      <w:b/>
                      <w:bCs/>
                      <w:color w:val="669933"/>
                      <w:sz w:val="27"/>
                      <w:szCs w:val="27"/>
                      <w:lang w:val="it-IT"/>
                    </w:rPr>
                    <w:t>tallagio</w:t>
                  </w:r>
                  <w:proofErr w:type="spellEnd"/>
                  <w:r w:rsidRPr="00FF251C">
                    <w:rPr>
                      <w:rFonts w:ascii="Times New Roman" w:eastAsia="Times New Roman" w:hAnsi="Times New Roman" w:cs="Times New Roman"/>
                      <w:b/>
                      <w:bCs/>
                      <w:color w:val="669933"/>
                      <w:sz w:val="27"/>
                      <w:szCs w:val="27"/>
                      <w:lang w:val="it-IT"/>
                    </w:rPr>
                    <w:t xml:space="preserve"> non concedendo”</w:t>
                  </w:r>
                </w:p>
              </w:tc>
              <w:tc>
                <w:tcPr>
                  <w:tcW w:w="0" w:type="auto"/>
                  <w:vAlign w:val="center"/>
                  <w:hideMark/>
                </w:tcPr>
                <w:p w14:paraId="1E90159B" w14:textId="77777777" w:rsidR="00FF251C" w:rsidRPr="00FF251C" w:rsidRDefault="00FF251C" w:rsidP="00FF251C">
                  <w:pPr>
                    <w:spacing w:after="0" w:line="240" w:lineRule="auto"/>
                    <w:jc w:val="right"/>
                    <w:rPr>
                      <w:rFonts w:ascii="Times New Roman" w:eastAsia="Times New Roman" w:hAnsi="Times New Roman" w:cs="Times New Roman"/>
                      <w:sz w:val="24"/>
                      <w:szCs w:val="24"/>
                      <w:lang w:val="it-IT"/>
                    </w:rPr>
                  </w:pPr>
                </w:p>
              </w:tc>
            </w:tr>
          </w:tbl>
          <w:p w14:paraId="56580312" w14:textId="77777777" w:rsidR="00FF251C" w:rsidRPr="00FF251C" w:rsidRDefault="00FF251C" w:rsidP="00FF251C">
            <w:pPr>
              <w:spacing w:after="0" w:line="240" w:lineRule="auto"/>
              <w:rPr>
                <w:rFonts w:ascii="Times New Roman" w:eastAsia="Times New Roman" w:hAnsi="Times New Roman" w:cs="Times New Roman"/>
                <w:sz w:val="24"/>
                <w:szCs w:val="24"/>
                <w:lang w:val="it-IT"/>
              </w:rPr>
            </w:pPr>
          </w:p>
        </w:tc>
      </w:tr>
      <w:tr w:rsidR="00FF251C" w:rsidRPr="006605B3" w14:paraId="4D5C4E20" w14:textId="77777777" w:rsidTr="00FF251C">
        <w:trPr>
          <w:tblCellSpacing w:w="24" w:type="dxa"/>
        </w:trPr>
        <w:tc>
          <w:tcPr>
            <w:tcW w:w="0" w:type="auto"/>
            <w:vAlign w:val="center"/>
            <w:hideMark/>
          </w:tcPr>
          <w:p w14:paraId="40BDD334" w14:textId="473F7477" w:rsidR="00FF251C" w:rsidRPr="00FF251C" w:rsidRDefault="006605B3" w:rsidP="00FF251C">
            <w:pPr>
              <w:spacing w:after="0" w:line="240" w:lineRule="auto"/>
              <w:jc w:val="both"/>
              <w:rPr>
                <w:rFonts w:ascii="Arial" w:eastAsia="Times New Roman" w:hAnsi="Arial" w:cs="Arial"/>
                <w:sz w:val="21"/>
                <w:szCs w:val="21"/>
                <w:lang w:val="it-IT"/>
              </w:rPr>
            </w:pPr>
            <w:r>
              <w:rPr>
                <w:rFonts w:ascii="Arial" w:eastAsia="Times New Roman" w:hAnsi="Arial" w:cs="Arial"/>
                <w:i/>
                <w:iCs/>
                <w:sz w:val="21"/>
                <w:lang w:val="it-IT"/>
              </w:rPr>
              <w:t>I</w:t>
            </w:r>
            <w:r w:rsidR="00FF251C" w:rsidRPr="00FF251C">
              <w:rPr>
                <w:rFonts w:ascii="Arial" w:eastAsia="Times New Roman" w:hAnsi="Arial" w:cs="Arial"/>
                <w:i/>
                <w:iCs/>
                <w:sz w:val="21"/>
                <w:lang w:val="it-IT"/>
              </w:rPr>
              <w:t xml:space="preserve"> primi quattro articoli del fondamentale documento, allegato alla conferma della </w:t>
            </w:r>
            <w:r w:rsidR="00FF251C" w:rsidRPr="00FF251C">
              <w:rPr>
                <w:rFonts w:ascii="Arial" w:eastAsia="Times New Roman" w:hAnsi="Arial" w:cs="Arial"/>
                <w:sz w:val="21"/>
                <w:szCs w:val="21"/>
                <w:lang w:val="it-IT"/>
              </w:rPr>
              <w:t xml:space="preserve">Magna </w:t>
            </w:r>
            <w:proofErr w:type="spellStart"/>
            <w:r w:rsidR="00FF251C" w:rsidRPr="00FF251C">
              <w:rPr>
                <w:rFonts w:ascii="Arial" w:eastAsia="Times New Roman" w:hAnsi="Arial" w:cs="Arial"/>
                <w:sz w:val="21"/>
                <w:szCs w:val="21"/>
                <w:lang w:val="it-IT"/>
              </w:rPr>
              <w:t>charta</w:t>
            </w:r>
            <w:proofErr w:type="spellEnd"/>
            <w:r w:rsidR="00FF251C" w:rsidRPr="00FF251C">
              <w:rPr>
                <w:rFonts w:ascii="Arial" w:eastAsia="Times New Roman" w:hAnsi="Arial" w:cs="Arial"/>
                <w:i/>
                <w:iCs/>
                <w:sz w:val="21"/>
                <w:lang w:val="it-IT"/>
              </w:rPr>
              <w:t> del 1297, che sancisce il diritto del Parlamento ad approvare preventivamente qualunque prelievo fiscale. Lo Statuto consta di 6 articoli</w:t>
            </w:r>
            <w:r>
              <w:rPr>
                <w:rFonts w:ascii="Arial" w:eastAsia="Times New Roman" w:hAnsi="Arial" w:cs="Arial"/>
                <w:i/>
                <w:iCs/>
                <w:sz w:val="21"/>
                <w:lang w:val="it-IT"/>
              </w:rPr>
              <w:t>.</w:t>
            </w:r>
          </w:p>
        </w:tc>
      </w:tr>
      <w:tr w:rsidR="00FF251C" w:rsidRPr="00506958" w14:paraId="1C214B2D" w14:textId="77777777" w:rsidTr="00FF251C">
        <w:trPr>
          <w:tblCellSpacing w:w="24" w:type="dxa"/>
        </w:trPr>
        <w:tc>
          <w:tcPr>
            <w:tcW w:w="0" w:type="auto"/>
            <w:vAlign w:val="center"/>
            <w:hideMark/>
          </w:tcPr>
          <w:tbl>
            <w:tblPr>
              <w:tblW w:w="3500" w:type="pct"/>
              <w:jc w:val="center"/>
              <w:tblCellSpacing w:w="0" w:type="dxa"/>
              <w:tblCellMar>
                <w:left w:w="0" w:type="dxa"/>
                <w:right w:w="0" w:type="dxa"/>
              </w:tblCellMar>
              <w:tblLook w:val="04A0" w:firstRow="1" w:lastRow="0" w:firstColumn="1" w:lastColumn="0" w:noHBand="0" w:noVBand="1"/>
            </w:tblPr>
            <w:tblGrid>
              <w:gridCol w:w="4334"/>
            </w:tblGrid>
            <w:tr w:rsidR="00FF251C" w:rsidRPr="00506958" w14:paraId="27874E33" w14:textId="77777777">
              <w:trPr>
                <w:tblCellSpacing w:w="0" w:type="dxa"/>
                <w:jc w:val="center"/>
              </w:trPr>
              <w:tc>
                <w:tcPr>
                  <w:tcW w:w="0" w:type="auto"/>
                  <w:vAlign w:val="center"/>
                  <w:hideMark/>
                </w:tcPr>
                <w:p w14:paraId="692E1277" w14:textId="77777777" w:rsidR="00FF251C" w:rsidRPr="00FF251C" w:rsidRDefault="00FF251C" w:rsidP="00FF251C">
                  <w:pPr>
                    <w:spacing w:before="100" w:beforeAutospacing="1" w:after="100" w:afterAutospacing="1" w:line="240" w:lineRule="auto"/>
                    <w:jc w:val="both"/>
                    <w:rPr>
                      <w:rFonts w:ascii="Arial" w:eastAsia="Times New Roman" w:hAnsi="Arial" w:cs="Arial"/>
                      <w:sz w:val="21"/>
                      <w:szCs w:val="21"/>
                      <w:lang w:val="it-IT"/>
                    </w:rPr>
                  </w:pPr>
                  <w:r w:rsidRPr="00FF251C">
                    <w:rPr>
                      <w:rFonts w:ascii="Arial" w:eastAsia="Times New Roman" w:hAnsi="Arial" w:cs="Arial"/>
                      <w:sz w:val="21"/>
                      <w:szCs w:val="21"/>
                      <w:lang w:val="it-IT"/>
                    </w:rPr>
                    <w:t>I. - Nessuna taglia o contributo sarà imposta o prelevata da noi e dai nostri successori, nel nostro regno, senza la volontà e il comune assenso degli arcivescovi, vescovi ed altri prelati, conti, baroni, uomini d'arme, borghesi ed altri uomini liberi del regno nostro.</w:t>
                  </w:r>
                  <w:r w:rsidRPr="00FF251C">
                    <w:rPr>
                      <w:rFonts w:ascii="Arial" w:eastAsia="Times New Roman" w:hAnsi="Arial" w:cs="Arial"/>
                      <w:sz w:val="21"/>
                      <w:szCs w:val="21"/>
                      <w:lang w:val="it-IT"/>
                    </w:rPr>
                    <w:br/>
                    <w:t>II. - Nessun ufficiale sia nostro sia dei nostri eredi potrà confiscare grano, lane, cuoi ed altri oggetti da chiunque, senza la volontà ed il consenso di colui al quale questi oggetti appartengono.</w:t>
                  </w:r>
                  <w:r w:rsidRPr="00FF251C">
                    <w:rPr>
                      <w:rFonts w:ascii="Arial" w:eastAsia="Times New Roman" w:hAnsi="Arial" w:cs="Arial"/>
                      <w:sz w:val="21"/>
                      <w:szCs w:val="21"/>
                      <w:lang w:val="it-IT"/>
                    </w:rPr>
                    <w:br/>
                    <w:t>III. - Nulla sarà prelevato sui sacchi di lana a titolo di angheria o qualsiasi altro.</w:t>
                  </w:r>
                  <w:r w:rsidRPr="00FF251C">
                    <w:rPr>
                      <w:rFonts w:ascii="Arial" w:eastAsia="Times New Roman" w:hAnsi="Arial" w:cs="Arial"/>
                      <w:sz w:val="21"/>
                      <w:szCs w:val="21"/>
                      <w:lang w:val="it-IT"/>
                    </w:rPr>
                    <w:br/>
                    <w:t>IV. - Vogliamo inoltre, ed accordiamo per noi ed i nostri successori, che tutti i chierici e i laici del nostro regno godano di tutte le loro leggi, libertà, libere consuetudini, così pienamente e interamente come hanno fatto allorquando questo godimento è stato il più pieno e il più intiero. E se noi e i nostri successori avremo a fare statuti o ad introdurre usi contrari a queste libertà, o a qualche articolo del presente statuto, noi vogliamo e decidiamo che tali statuti ed usi siano nulli e senza effetto per l'avvenire.</w:t>
                  </w:r>
                </w:p>
              </w:tc>
            </w:tr>
          </w:tbl>
          <w:p w14:paraId="0CCFD4BF" w14:textId="77777777" w:rsidR="00FF251C" w:rsidRPr="00FF251C" w:rsidRDefault="00FF251C" w:rsidP="00FF251C">
            <w:pPr>
              <w:spacing w:after="0" w:line="240" w:lineRule="auto"/>
              <w:jc w:val="center"/>
              <w:rPr>
                <w:rFonts w:ascii="Arial" w:eastAsia="Times New Roman" w:hAnsi="Arial" w:cs="Arial"/>
                <w:sz w:val="21"/>
                <w:szCs w:val="21"/>
                <w:lang w:val="it-IT"/>
              </w:rPr>
            </w:pPr>
          </w:p>
        </w:tc>
      </w:tr>
    </w:tbl>
    <w:p w14:paraId="444DC222" w14:textId="62CE71EC" w:rsidR="007E725C" w:rsidRDefault="00000000">
      <w:pPr>
        <w:rPr>
          <w:lang w:val="it-IT"/>
        </w:rPr>
      </w:pPr>
    </w:p>
    <w:p w14:paraId="24F543AD" w14:textId="3E5FFA95" w:rsidR="00506958" w:rsidRPr="00FF251C" w:rsidRDefault="00506958">
      <w:pPr>
        <w:rPr>
          <w:lang w:val="it-IT"/>
        </w:rPr>
      </w:pPr>
      <w:r w:rsidRPr="00506958">
        <w:rPr>
          <w:rFonts w:ascii="Arial" w:hAnsi="Arial" w:cs="Arial"/>
          <w:b/>
          <w:bCs/>
          <w:color w:val="202122"/>
          <w:sz w:val="21"/>
          <w:szCs w:val="21"/>
          <w:shd w:val="clear" w:color="auto" w:fill="FFFFFF"/>
          <w:lang w:val="it-IT"/>
        </w:rPr>
        <w:t>Tallage</w:t>
      </w:r>
      <w:r w:rsidRPr="00506958">
        <w:rPr>
          <w:rFonts w:ascii="Arial" w:hAnsi="Arial" w:cs="Arial"/>
          <w:color w:val="202122"/>
          <w:sz w:val="21"/>
          <w:szCs w:val="21"/>
          <w:shd w:val="clear" w:color="auto" w:fill="FFFFFF"/>
          <w:lang w:val="it-IT"/>
        </w:rPr>
        <w:t> o </w:t>
      </w:r>
      <w:r w:rsidRPr="00506958">
        <w:rPr>
          <w:rFonts w:ascii="Arial" w:hAnsi="Arial" w:cs="Arial"/>
          <w:b/>
          <w:bCs/>
          <w:color w:val="202122"/>
          <w:sz w:val="21"/>
          <w:szCs w:val="21"/>
          <w:shd w:val="clear" w:color="auto" w:fill="FFFFFF"/>
          <w:lang w:val="it-IT"/>
        </w:rPr>
        <w:t>talliage</w:t>
      </w:r>
      <w:r w:rsidRPr="00506958">
        <w:rPr>
          <w:rFonts w:ascii="Arial" w:hAnsi="Arial" w:cs="Arial"/>
          <w:color w:val="202122"/>
          <w:sz w:val="21"/>
          <w:szCs w:val="21"/>
          <w:shd w:val="clear" w:color="auto" w:fill="FFFFFF"/>
          <w:lang w:val="it-IT"/>
        </w:rPr>
        <w:t>, è un termine </w:t>
      </w:r>
      <w:proofErr w:type="spellStart"/>
      <w:r w:rsidRPr="00506958">
        <w:fldChar w:fldCharType="begin"/>
      </w:r>
      <w:proofErr w:type="spellEnd"/>
      <w:r w:rsidRPr="00506958">
        <w:rPr>
          <w:lang w:val="it-IT"/>
        </w:rPr>
        <w:instrText xml:space="preserve"> HYPERLINK "https://it.wikipedia.org/wiki/Lingua_francese" \o "Lingua francese" </w:instrText>
      </w:r>
      <w:proofErr w:type="spellStart"/>
      <w:r w:rsidRPr="00506958">
        <w:fldChar w:fldCharType="separate"/>
      </w:r>
      <w:proofErr w:type="spellEnd"/>
      <w:r w:rsidRPr="00506958">
        <w:rPr>
          <w:rFonts w:ascii="Arial" w:hAnsi="Arial" w:cs="Arial"/>
          <w:color w:val="0645AD"/>
          <w:sz w:val="21"/>
          <w:szCs w:val="21"/>
          <w:u w:val="single"/>
          <w:shd w:val="clear" w:color="auto" w:fill="FFFFFF"/>
          <w:lang w:val="it-IT"/>
        </w:rPr>
        <w:t>francese</w:t>
      </w:r>
      <w:r w:rsidRPr="00506958">
        <w:fldChar w:fldCharType="end"/>
      </w:r>
      <w:r w:rsidRPr="00506958">
        <w:rPr>
          <w:rFonts w:ascii="Arial" w:hAnsi="Arial" w:cs="Arial"/>
          <w:color w:val="202122"/>
          <w:sz w:val="21"/>
          <w:szCs w:val="21"/>
          <w:shd w:val="clear" w:color="auto" w:fill="FFFFFF"/>
          <w:lang w:val="it-IT"/>
        </w:rPr>
        <w:t> (</w:t>
      </w:r>
      <w:r w:rsidRPr="00506958">
        <w:rPr>
          <w:rFonts w:ascii="Arial" w:hAnsi="Arial" w:cs="Arial"/>
          <w:i/>
          <w:iCs/>
          <w:color w:val="202122"/>
          <w:sz w:val="21"/>
          <w:szCs w:val="21"/>
          <w:shd w:val="clear" w:color="auto" w:fill="FFFFFF"/>
          <w:lang w:val="it-IT"/>
        </w:rPr>
        <w:t>tailler</w:t>
      </w:r>
      <w:r w:rsidRPr="00506958">
        <w:rPr>
          <w:rFonts w:ascii="Arial" w:hAnsi="Arial" w:cs="Arial"/>
          <w:color w:val="202122"/>
          <w:sz w:val="21"/>
          <w:szCs w:val="21"/>
          <w:shd w:val="clear" w:color="auto" w:fill="FFFFFF"/>
          <w:lang w:val="it-IT"/>
        </w:rPr>
        <w:t>, ovvero una parte tagliata fuori dal tutto). Nel </w:t>
      </w:r>
      <w:proofErr w:type="spellStart"/>
      <w:r w:rsidRPr="00506958">
        <w:fldChar w:fldCharType="begin"/>
      </w:r>
      <w:proofErr w:type="spellEnd"/>
      <w:r w:rsidRPr="00506958">
        <w:rPr>
          <w:lang w:val="it-IT"/>
        </w:rPr>
        <w:instrText xml:space="preserve"> HYPERLINK "https://it.wikipedia.org/wiki/Medioevo" \o "Medioevo" </w:instrText>
      </w:r>
      <w:proofErr w:type="spellStart"/>
      <w:r w:rsidRPr="00506958">
        <w:fldChar w:fldCharType="separate"/>
      </w:r>
      <w:proofErr w:type="spellEnd"/>
      <w:r w:rsidRPr="00506958">
        <w:rPr>
          <w:rFonts w:ascii="Arial" w:hAnsi="Arial" w:cs="Arial"/>
          <w:color w:val="0645AD"/>
          <w:sz w:val="21"/>
          <w:szCs w:val="21"/>
          <w:u w:val="single"/>
          <w:shd w:val="clear" w:color="auto" w:fill="FFFFFF"/>
          <w:lang w:val="it-IT"/>
        </w:rPr>
        <w:t>Medioevo</w:t>
      </w:r>
      <w:r w:rsidRPr="00506958">
        <w:fldChar w:fldCharType="end"/>
      </w:r>
      <w:r w:rsidRPr="00506958">
        <w:rPr>
          <w:rFonts w:ascii="Arial" w:hAnsi="Arial" w:cs="Arial"/>
          <w:color w:val="202122"/>
          <w:sz w:val="21"/>
          <w:szCs w:val="21"/>
          <w:shd w:val="clear" w:color="auto" w:fill="FFFFFF"/>
          <w:lang w:val="it-IT"/>
        </w:rPr>
        <w:t> esso identificava qualsiasi </w:t>
      </w:r>
      <w:proofErr w:type="spellStart"/>
      <w:r w:rsidRPr="00506958">
        <w:fldChar w:fldCharType="begin"/>
      </w:r>
      <w:proofErr w:type="spellEnd"/>
      <w:r w:rsidRPr="00506958">
        <w:rPr>
          <w:lang w:val="it-IT"/>
        </w:rPr>
        <w:instrText xml:space="preserve"> HYPERLINK "https://it.wikipedia.org/wiki/Tassa" \o "Tassa" </w:instrText>
      </w:r>
      <w:proofErr w:type="spellStart"/>
      <w:r w:rsidRPr="00506958">
        <w:fldChar w:fldCharType="separate"/>
      </w:r>
      <w:proofErr w:type="spellEnd"/>
      <w:r w:rsidRPr="00506958">
        <w:rPr>
          <w:rFonts w:ascii="Arial" w:hAnsi="Arial" w:cs="Arial"/>
          <w:color w:val="0645AD"/>
          <w:sz w:val="21"/>
          <w:szCs w:val="21"/>
          <w:u w:val="single"/>
          <w:shd w:val="clear" w:color="auto" w:fill="FFFFFF"/>
          <w:lang w:val="it-IT"/>
        </w:rPr>
        <w:t>tassa</w:t>
      </w:r>
      <w:r w:rsidRPr="00506958">
        <w:fldChar w:fldCharType="end"/>
      </w:r>
      <w:r w:rsidRPr="00506958">
        <w:rPr>
          <w:rFonts w:ascii="Arial" w:hAnsi="Arial" w:cs="Arial"/>
          <w:color w:val="202122"/>
          <w:sz w:val="21"/>
          <w:szCs w:val="21"/>
          <w:shd w:val="clear" w:color="auto" w:fill="FFFFFF"/>
          <w:lang w:val="it-IT"/>
        </w:rPr>
        <w:t>, ma il termine, prima in </w:t>
      </w:r>
      <w:proofErr w:type="spellStart"/>
      <w:r w:rsidRPr="00506958">
        <w:fldChar w:fldCharType="begin"/>
      </w:r>
      <w:proofErr w:type="spellEnd"/>
      <w:r w:rsidRPr="00506958">
        <w:rPr>
          <w:lang w:val="it-IT"/>
        </w:rPr>
        <w:instrText xml:space="preserve"> HYPERLINK "https://it.wikipedia.org/wiki/Inghilterra" \o "Inghilterra" </w:instrText>
      </w:r>
      <w:proofErr w:type="spellStart"/>
      <w:r w:rsidRPr="00506958">
        <w:fldChar w:fldCharType="separate"/>
      </w:r>
      <w:proofErr w:type="spellEnd"/>
      <w:r w:rsidRPr="00506958">
        <w:rPr>
          <w:rFonts w:ascii="Arial" w:hAnsi="Arial" w:cs="Arial"/>
          <w:color w:val="0645AD"/>
          <w:sz w:val="21"/>
          <w:szCs w:val="21"/>
          <w:u w:val="single"/>
          <w:shd w:val="clear" w:color="auto" w:fill="FFFFFF"/>
          <w:lang w:val="it-IT"/>
        </w:rPr>
        <w:t>Inghilterra</w:t>
      </w:r>
      <w:r w:rsidRPr="00506958">
        <w:fldChar w:fldCharType="end"/>
      </w:r>
      <w:r w:rsidRPr="00506958">
        <w:rPr>
          <w:rFonts w:ascii="Arial" w:hAnsi="Arial" w:cs="Arial"/>
          <w:color w:val="202122"/>
          <w:sz w:val="21"/>
          <w:szCs w:val="21"/>
          <w:shd w:val="clear" w:color="auto" w:fill="FFFFFF"/>
          <w:lang w:val="it-IT"/>
        </w:rPr>
        <w:t> e poi in </w:t>
      </w:r>
      <w:r w:rsidRPr="00506958">
        <w:fldChar w:fldCharType="begin"/>
      </w:r>
      <w:r w:rsidRPr="00506958">
        <w:rPr>
          <w:lang w:val="it-IT"/>
        </w:rPr>
        <w:instrText xml:space="preserve"> HYPERLINK "https://it.wikipedia.org/wiki/Francia" \o "Francia" </w:instrText>
      </w:r>
      <w:r w:rsidRPr="00506958">
        <w:fldChar w:fldCharType="separate"/>
      </w:r>
      <w:r w:rsidRPr="00506958">
        <w:rPr>
          <w:rFonts w:ascii="Arial" w:hAnsi="Arial" w:cs="Arial"/>
          <w:color w:val="0645AD"/>
          <w:sz w:val="21"/>
          <w:szCs w:val="21"/>
          <w:u w:val="single"/>
          <w:shd w:val="clear" w:color="auto" w:fill="FFFFFF"/>
          <w:lang w:val="it-IT"/>
        </w:rPr>
        <w:t>Francia</w:t>
      </w:r>
      <w:r w:rsidRPr="00506958">
        <w:fldChar w:fldCharType="end"/>
      </w:r>
      <w:r w:rsidRPr="00506958">
        <w:rPr>
          <w:rFonts w:ascii="Arial" w:hAnsi="Arial" w:cs="Arial"/>
          <w:color w:val="202122"/>
          <w:sz w:val="21"/>
          <w:szCs w:val="21"/>
          <w:shd w:val="clear" w:color="auto" w:fill="FFFFFF"/>
          <w:lang w:val="it-IT"/>
        </w:rPr>
        <w:t>, andò a indicare una specifica tassa sull'utilizzo della terra o una tassa sul possesso del fondo. Successivamente, in Inghilterra, il significato è stato ulteriormente limitato a valutazioni stimate della </w:t>
      </w:r>
      <w:r w:rsidRPr="00506958">
        <w:fldChar w:fldCharType="begin"/>
      </w:r>
      <w:r w:rsidRPr="00506958">
        <w:rPr>
          <w:lang w:val="it-IT"/>
        </w:rPr>
        <w:instrText xml:space="preserve"> HYPERLINK "https://it.wikipedia.org/wiki/Corona_d%27Inghilterra" \o "Corona d'Inghilterra" </w:instrText>
      </w:r>
      <w:r w:rsidRPr="00506958">
        <w:fldChar w:fldCharType="separate"/>
      </w:r>
      <w:r w:rsidRPr="00506958">
        <w:rPr>
          <w:rFonts w:ascii="Arial" w:hAnsi="Arial" w:cs="Arial"/>
          <w:color w:val="0645AD"/>
          <w:sz w:val="21"/>
          <w:szCs w:val="21"/>
          <w:u w:val="single"/>
          <w:shd w:val="clear" w:color="auto" w:fill="FFFFFF"/>
          <w:lang w:val="it-IT"/>
        </w:rPr>
        <w:t>corona reale</w:t>
      </w:r>
      <w:r w:rsidRPr="00506958">
        <w:fldChar w:fldCharType="end"/>
      </w:r>
      <w:r w:rsidRPr="00506958">
        <w:rPr>
          <w:rFonts w:ascii="Arial" w:hAnsi="Arial" w:cs="Arial"/>
          <w:color w:val="202122"/>
          <w:sz w:val="21"/>
          <w:szCs w:val="21"/>
          <w:shd w:val="clear" w:color="auto" w:fill="FFFFFF"/>
          <w:lang w:val="it-IT"/>
        </w:rPr>
        <w:t> su città, </w:t>
      </w:r>
      <w:proofErr w:type="spellStart"/>
      <w:r w:rsidRPr="00506958">
        <w:fldChar w:fldCharType="begin"/>
      </w:r>
      <w:proofErr w:type="spellEnd"/>
      <w:r w:rsidRPr="00506958">
        <w:rPr>
          <w:lang w:val="it-IT"/>
        </w:rPr>
        <w:instrText xml:space="preserve"> HYPERLINK "https://it.wikipedia.org/wiki/Borough" \o "Borough" </w:instrText>
      </w:r>
      <w:proofErr w:type="spellStart"/>
      <w:r w:rsidRPr="00506958">
        <w:fldChar w:fldCharType="separate"/>
      </w:r>
      <w:proofErr w:type="spellEnd"/>
      <w:r w:rsidRPr="00506958">
        <w:rPr>
          <w:rFonts w:ascii="Arial" w:hAnsi="Arial" w:cs="Arial"/>
          <w:color w:val="0645AD"/>
          <w:sz w:val="21"/>
          <w:szCs w:val="21"/>
          <w:u w:val="single"/>
          <w:shd w:val="clear" w:color="auto" w:fill="FFFFFF"/>
          <w:lang w:val="it-IT"/>
        </w:rPr>
        <w:t>borghi</w:t>
      </w:r>
      <w:r w:rsidRPr="00506958">
        <w:fldChar w:fldCharType="end"/>
      </w:r>
      <w:r w:rsidRPr="00506958">
        <w:rPr>
          <w:rFonts w:ascii="Arial" w:hAnsi="Arial" w:cs="Arial"/>
          <w:color w:val="202122"/>
          <w:sz w:val="21"/>
          <w:szCs w:val="21"/>
          <w:shd w:val="clear" w:color="auto" w:fill="FFFFFF"/>
          <w:lang w:val="it-IT"/>
        </w:rPr>
        <w:t xml:space="preserve"> e domini reali. </w:t>
      </w:r>
      <w:r w:rsidRPr="00506958">
        <w:rPr>
          <w:rFonts w:ascii="Arial" w:hAnsi="Arial" w:cs="Arial"/>
          <w:color w:val="202122"/>
          <w:sz w:val="21"/>
          <w:szCs w:val="21"/>
          <w:shd w:val="clear" w:color="auto" w:fill="FFFFFF"/>
        </w:rPr>
        <w:t xml:space="preserve">In </w:t>
      </w:r>
      <w:proofErr w:type="spellStart"/>
      <w:r w:rsidRPr="00506958">
        <w:rPr>
          <w:rFonts w:ascii="Arial" w:hAnsi="Arial" w:cs="Arial"/>
          <w:color w:val="202122"/>
          <w:sz w:val="21"/>
          <w:szCs w:val="21"/>
          <w:shd w:val="clear" w:color="auto" w:fill="FFFFFF"/>
        </w:rPr>
        <w:t>effetti</w:t>
      </w:r>
      <w:proofErr w:type="spellEnd"/>
      <w:r w:rsidRPr="00506958">
        <w:rPr>
          <w:rFonts w:ascii="Arial" w:hAnsi="Arial" w:cs="Arial"/>
          <w:color w:val="202122"/>
          <w:sz w:val="21"/>
          <w:szCs w:val="21"/>
          <w:shd w:val="clear" w:color="auto" w:fill="FFFFFF"/>
        </w:rPr>
        <w:t>, il </w:t>
      </w:r>
      <w:proofErr w:type="spellStart"/>
      <w:r w:rsidRPr="00506958">
        <w:rPr>
          <w:rFonts w:ascii="Arial" w:hAnsi="Arial" w:cs="Arial"/>
          <w:i/>
          <w:iCs/>
          <w:color w:val="202122"/>
          <w:sz w:val="21"/>
          <w:szCs w:val="21"/>
          <w:shd w:val="clear" w:color="auto" w:fill="FFFFFF"/>
        </w:rPr>
        <w:t>tallage</w:t>
      </w:r>
      <w:proofErr w:type="spellEnd"/>
      <w:r w:rsidRPr="00506958">
        <w:rPr>
          <w:rFonts w:ascii="Arial" w:hAnsi="Arial" w:cs="Arial"/>
          <w:color w:val="202122"/>
          <w:sz w:val="21"/>
          <w:szCs w:val="21"/>
          <w:shd w:val="clear" w:color="auto" w:fill="FFFFFF"/>
        </w:rPr>
        <w:t xml:space="preserve"> era </w:t>
      </w:r>
      <w:proofErr w:type="spellStart"/>
      <w:r w:rsidRPr="00506958">
        <w:rPr>
          <w:rFonts w:ascii="Arial" w:hAnsi="Arial" w:cs="Arial"/>
          <w:color w:val="202122"/>
          <w:sz w:val="21"/>
          <w:szCs w:val="21"/>
          <w:shd w:val="clear" w:color="auto" w:fill="FFFFFF"/>
        </w:rPr>
        <w:t>una</w:t>
      </w:r>
      <w:proofErr w:type="spellEnd"/>
      <w:r w:rsidRPr="00506958">
        <w:rPr>
          <w:rFonts w:ascii="Arial" w:hAnsi="Arial" w:cs="Arial"/>
          <w:color w:val="202122"/>
          <w:sz w:val="21"/>
          <w:szCs w:val="21"/>
          <w:shd w:val="clear" w:color="auto" w:fill="FFFFFF"/>
        </w:rPr>
        <w:t xml:space="preserve"> "</w:t>
      </w:r>
      <w:proofErr w:type="spellStart"/>
      <w:r w:rsidRPr="00506958">
        <w:rPr>
          <w:rFonts w:ascii="Arial" w:hAnsi="Arial" w:cs="Arial"/>
          <w:color w:val="202122"/>
          <w:sz w:val="21"/>
          <w:szCs w:val="21"/>
          <w:shd w:val="clear" w:color="auto" w:fill="FFFFFF"/>
        </w:rPr>
        <w:t>imposta</w:t>
      </w:r>
      <w:proofErr w:type="spellEnd"/>
      <w:r w:rsidRPr="00506958">
        <w:rPr>
          <w:rFonts w:ascii="Arial" w:hAnsi="Arial" w:cs="Arial"/>
          <w:color w:val="202122"/>
          <w:sz w:val="21"/>
          <w:szCs w:val="21"/>
          <w:shd w:val="clear" w:color="auto" w:fill="FFFFFF"/>
        </w:rPr>
        <w:t xml:space="preserve"> </w:t>
      </w:r>
      <w:proofErr w:type="spellStart"/>
      <w:r w:rsidRPr="00506958">
        <w:rPr>
          <w:rFonts w:ascii="Arial" w:hAnsi="Arial" w:cs="Arial"/>
          <w:color w:val="202122"/>
          <w:sz w:val="21"/>
          <w:szCs w:val="21"/>
          <w:shd w:val="clear" w:color="auto" w:fill="FFFFFF"/>
        </w:rPr>
        <w:t>fondiaria</w:t>
      </w:r>
      <w:proofErr w:type="spellEnd"/>
      <w:r w:rsidRPr="00506958">
        <w:rPr>
          <w:rFonts w:ascii="Arial" w:hAnsi="Arial" w:cs="Arial"/>
          <w:color w:val="202122"/>
          <w:sz w:val="21"/>
          <w:szCs w:val="21"/>
          <w:shd w:val="clear" w:color="auto" w:fill="FFFFFF"/>
        </w:rPr>
        <w:t>"</w:t>
      </w:r>
    </w:p>
    <w:sectPr w:rsidR="00506958" w:rsidRPr="00FF251C" w:rsidSect="00C65A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1C"/>
    <w:rsid w:val="001A6198"/>
    <w:rsid w:val="004A3AA6"/>
    <w:rsid w:val="00506958"/>
    <w:rsid w:val="005731CA"/>
    <w:rsid w:val="006605B3"/>
    <w:rsid w:val="007C7397"/>
    <w:rsid w:val="009100C7"/>
    <w:rsid w:val="00AD16E3"/>
    <w:rsid w:val="00C65AC3"/>
    <w:rsid w:val="00FF25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B649"/>
  <w15:docId w15:val="{EAC6A61D-028C-4BB2-BF5E-7C5DD20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AC3"/>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F251C"/>
    <w:rPr>
      <w:color w:val="0000FF"/>
      <w:u w:val="single"/>
    </w:rPr>
  </w:style>
  <w:style w:type="character" w:styleId="Enfasicorsivo">
    <w:name w:val="Emphasis"/>
    <w:basedOn w:val="Carpredefinitoparagrafo"/>
    <w:uiPriority w:val="20"/>
    <w:qFormat/>
    <w:rsid w:val="00FF251C"/>
    <w:rPr>
      <w:i/>
      <w:iCs/>
    </w:rPr>
  </w:style>
  <w:style w:type="character" w:customStyle="1" w:styleId="apple-converted-space">
    <w:name w:val="apple-converted-space"/>
    <w:basedOn w:val="Carpredefinitoparagrafo"/>
    <w:rsid w:val="00FF251C"/>
  </w:style>
  <w:style w:type="paragraph" w:customStyle="1" w:styleId="corponero">
    <w:name w:val="corpo_nero"/>
    <w:basedOn w:val="Normale"/>
    <w:rsid w:val="00FF251C"/>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LONGATO FULVIO</cp:lastModifiedBy>
  <cp:revision>3</cp:revision>
  <dcterms:created xsi:type="dcterms:W3CDTF">2022-10-12T06:37:00Z</dcterms:created>
  <dcterms:modified xsi:type="dcterms:W3CDTF">2022-10-12T09:19:00Z</dcterms:modified>
</cp:coreProperties>
</file>