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588" w:rsidRPr="00C37588" w:rsidRDefault="00C37588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proofErr w:type="spellStart"/>
      <w:r w:rsidRPr="00C37588">
        <w:rPr>
          <w:rFonts w:eastAsia="Times New Roman" w:cstheme="minorHAnsi"/>
          <w:color w:val="3E3E3E"/>
          <w:sz w:val="28"/>
          <w:szCs w:val="28"/>
          <w:lang w:eastAsia="it-IT"/>
        </w:rPr>
        <w:t>Tackett</w:t>
      </w:r>
      <w:proofErr w:type="spellEnd"/>
      <w:r w:rsidRPr="00C37588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e </w:t>
      </w:r>
      <w:r>
        <w:rPr>
          <w:rFonts w:eastAsia="Times New Roman" w:cstheme="minorHAnsi"/>
          <w:color w:val="3E3E3E"/>
          <w:sz w:val="28"/>
          <w:szCs w:val="28"/>
          <w:lang w:eastAsia="it-IT"/>
        </w:rPr>
        <w:t>l’idea di complotto nella rivoluzione francese.</w:t>
      </w:r>
    </w:p>
    <w:p w:rsidR="00C37588" w:rsidRPr="00C37588" w:rsidRDefault="00C37588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</w:p>
    <w:p w:rsid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val="fr-FR" w:eastAsia="it-IT"/>
        </w:rPr>
      </w:pPr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 xml:space="preserve">T. </w:t>
      </w:r>
      <w:proofErr w:type="spellStart"/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>Tackett</w:t>
      </w:r>
      <w:proofErr w:type="spellEnd"/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>, « </w:t>
      </w:r>
      <w:r w:rsidRPr="00FD2587">
        <w:rPr>
          <w:rFonts w:eastAsia="Times New Roman" w:cstheme="minorHAnsi"/>
          <w:color w:val="3E3E3E"/>
          <w:sz w:val="28"/>
          <w:szCs w:val="28"/>
          <w:lang w:val="fr-FR" w:eastAsia="it-IT"/>
        </w:rPr>
        <w:t>La révolution et la violence</w:t>
      </w:r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 xml:space="preserve"> », in </w:t>
      </w:r>
      <w:r w:rsidRPr="00FD2587">
        <w:rPr>
          <w:rFonts w:eastAsia="Times New Roman" w:cstheme="minorHAnsi"/>
          <w:i/>
          <w:iCs/>
          <w:color w:val="3E3E3E"/>
          <w:sz w:val="28"/>
          <w:szCs w:val="28"/>
          <w:lang w:val="fr-FR" w:eastAsia="it-IT"/>
        </w:rPr>
        <w:t xml:space="preserve">La Révolution à </w:t>
      </w:r>
      <w:r w:rsidRPr="00FD2587">
        <w:rPr>
          <w:rFonts w:eastAsia="Times New Roman" w:cstheme="minorHAnsi"/>
          <w:i/>
          <w:iCs/>
          <w:color w:val="3E3E3E"/>
          <w:sz w:val="28"/>
          <w:szCs w:val="28"/>
          <w:lang w:val="fr-FR" w:eastAsia="it-IT"/>
        </w:rPr>
        <w:t>l’œuvre :</w:t>
      </w:r>
      <w:r w:rsidRPr="00FD2587">
        <w:rPr>
          <w:rFonts w:eastAsia="Times New Roman" w:cstheme="minorHAnsi"/>
          <w:i/>
          <w:iCs/>
          <w:color w:val="3E3E3E"/>
          <w:sz w:val="28"/>
          <w:szCs w:val="28"/>
          <w:lang w:val="fr-FR" w:eastAsia="it-IT"/>
        </w:rPr>
        <w:t xml:space="preserve"> Perspectives actuelles dans l'histoire de la Révolution </w:t>
      </w:r>
      <w:r w:rsidRPr="00FD2587">
        <w:rPr>
          <w:rFonts w:eastAsia="Times New Roman" w:cstheme="minorHAnsi"/>
          <w:i/>
          <w:iCs/>
          <w:color w:val="3E3E3E"/>
          <w:sz w:val="28"/>
          <w:szCs w:val="28"/>
          <w:lang w:val="fr-FR" w:eastAsia="it-IT"/>
        </w:rPr>
        <w:t>française</w:t>
      </w:r>
      <w:r w:rsidRPr="00FD2587">
        <w:rPr>
          <w:rFonts w:eastAsia="Times New Roman" w:cstheme="minorHAnsi"/>
          <w:color w:val="3E3E3E"/>
          <w:sz w:val="28"/>
          <w:szCs w:val="28"/>
          <w:lang w:val="fr-FR" w:eastAsia="it-IT"/>
        </w:rPr>
        <w:t>,</w:t>
      </w:r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 xml:space="preserve"> sous la direction de J.- Cl. Martin, Rennes, </w:t>
      </w:r>
      <w:r w:rsidRPr="00FD2587">
        <w:rPr>
          <w:rFonts w:eastAsia="Times New Roman" w:cstheme="minorHAnsi"/>
          <w:color w:val="3E3E3E"/>
          <w:sz w:val="28"/>
          <w:szCs w:val="28"/>
          <w:lang w:val="fr-FR" w:eastAsia="it-IT"/>
        </w:rPr>
        <w:t>Presses universitaires de Rennes, 2005</w:t>
      </w:r>
      <w:r>
        <w:rPr>
          <w:rFonts w:eastAsia="Times New Roman" w:cstheme="minorHAnsi"/>
          <w:color w:val="3E3E3E"/>
          <w:sz w:val="28"/>
          <w:szCs w:val="28"/>
          <w:lang w:val="fr-FR" w:eastAsia="it-IT"/>
        </w:rPr>
        <w:t>, pp. 207 – 216.</w:t>
      </w:r>
    </w:p>
    <w:p w:rsid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val="fr-FR" w:eastAsia="it-IT"/>
        </w:rPr>
      </w:pPr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proofErr w:type="spellStart"/>
      <w:r w:rsidRPr="00FD2587">
        <w:rPr>
          <w:rFonts w:eastAsia="Times New Roman" w:cstheme="minorHAnsi"/>
          <w:color w:val="3E3E3E"/>
          <w:sz w:val="28"/>
          <w:szCs w:val="28"/>
          <w:lang w:eastAsia="it-IT"/>
        </w:rPr>
        <w:t>Tackett</w:t>
      </w:r>
      <w:proofErr w:type="spellEnd"/>
      <w:r w:rsidRPr="00FD2587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afferma che l’idea d</w:t>
      </w:r>
      <w:r>
        <w:rPr>
          <w:rFonts w:eastAsia="Times New Roman" w:cstheme="minorHAnsi"/>
          <w:color w:val="3E3E3E"/>
          <w:sz w:val="28"/>
          <w:szCs w:val="28"/>
          <w:lang w:eastAsia="it-IT"/>
        </w:rPr>
        <w:t xml:space="preserve">el complotto diventa un’ossessione per le élites dopo la fuga </w:t>
      </w:r>
      <w:r w:rsidR="00C37588">
        <w:rPr>
          <w:rFonts w:eastAsia="Times New Roman" w:cstheme="minorHAnsi"/>
          <w:color w:val="3E3E3E"/>
          <w:sz w:val="28"/>
          <w:szCs w:val="28"/>
          <w:lang w:eastAsia="it-IT"/>
        </w:rPr>
        <w:t xml:space="preserve">di </w:t>
      </w:r>
      <w:proofErr w:type="spellStart"/>
      <w:r w:rsidR="00C37588">
        <w:rPr>
          <w:rFonts w:eastAsia="Times New Roman" w:cstheme="minorHAnsi"/>
          <w:color w:val="3E3E3E"/>
          <w:sz w:val="28"/>
          <w:szCs w:val="28"/>
          <w:lang w:eastAsia="it-IT"/>
        </w:rPr>
        <w:t>Varennes</w:t>
      </w:r>
      <w:proofErr w:type="spellEnd"/>
      <w:r w:rsidR="00C37588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</w:t>
      </w:r>
      <w:proofErr w:type="gramStart"/>
      <w:r w:rsidR="00C37588">
        <w:rPr>
          <w:rFonts w:eastAsia="Times New Roman" w:cstheme="minorHAnsi"/>
          <w:color w:val="3E3E3E"/>
          <w:sz w:val="28"/>
          <w:szCs w:val="28"/>
          <w:lang w:eastAsia="it-IT"/>
        </w:rPr>
        <w:t>( 20</w:t>
      </w:r>
      <w:proofErr w:type="gramEnd"/>
      <w:r w:rsidR="00C37588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giugno 1791).</w:t>
      </w:r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r w:rsidRPr="00FD2587">
        <w:rPr>
          <w:rFonts w:eastAsia="Times New Roman" w:cstheme="minorHAnsi"/>
          <w:color w:val="3E3E3E"/>
          <w:sz w:val="28"/>
          <w:szCs w:val="28"/>
          <w:lang w:eastAsia="it-IT"/>
        </w:rPr>
        <w:t>Disponibile in rete:</w:t>
      </w:r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hyperlink r:id="rId4" w:history="1">
        <w:r w:rsidRPr="00FD2587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http://books.openedition.org/pur/16042</w:t>
        </w:r>
      </w:hyperlink>
    </w:p>
    <w:p w:rsidR="00FD2587" w:rsidRPr="00FD2587" w:rsidRDefault="00FD2587" w:rsidP="00FD2587">
      <w:pPr>
        <w:spacing w:line="340" w:lineRule="atLeast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D2587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</w:t>
      </w:r>
    </w:p>
    <w:p w:rsidR="00D06B5D" w:rsidRPr="00FD2587" w:rsidRDefault="00D06B5D" w:rsidP="00FD2587">
      <w:pPr>
        <w:jc w:val="both"/>
        <w:rPr>
          <w:rFonts w:cstheme="minorHAnsi"/>
          <w:sz w:val="28"/>
          <w:szCs w:val="28"/>
        </w:rPr>
      </w:pPr>
    </w:p>
    <w:sectPr w:rsidR="00D06B5D" w:rsidRPr="00FD2587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87"/>
    <w:rsid w:val="00C37588"/>
    <w:rsid w:val="00D06B5D"/>
    <w:rsid w:val="00F50DEC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87C10"/>
  <w15:chartTrackingRefBased/>
  <w15:docId w15:val="{B88EA622-DCF8-4F47-AA12-B0BDF9B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D258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2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1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7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.openedition.org/pur/160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2020-11-28T12:17:00Z</dcterms:created>
  <dcterms:modified xsi:type="dcterms:W3CDTF">2020-11-28T12:32:00Z</dcterms:modified>
</cp:coreProperties>
</file>