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B1" w:rsidRDefault="005906B1" w:rsidP="005906B1">
      <w:pPr>
        <w:jc w:val="center"/>
        <w:rPr>
          <w:b/>
          <w:lang w:val="fr-FR"/>
        </w:rPr>
      </w:pPr>
      <w:r w:rsidRPr="005906B1">
        <w:rPr>
          <w:b/>
          <w:lang w:val="fr-FR"/>
        </w:rPr>
        <w:t xml:space="preserve">STRATEGIES DE TRADUCTION </w:t>
      </w:r>
    </w:p>
    <w:p w:rsidR="00BE5359" w:rsidRDefault="005906B1" w:rsidP="005906B1">
      <w:pPr>
        <w:jc w:val="center"/>
        <w:rPr>
          <w:b/>
          <w:lang w:val="fr-FR"/>
        </w:rPr>
      </w:pPr>
      <w:r w:rsidRPr="005906B1">
        <w:rPr>
          <w:b/>
          <w:lang w:val="fr-FR"/>
        </w:rPr>
        <w:t>DES REALIA DU GUIDE TOURISTIQUE</w:t>
      </w:r>
    </w:p>
    <w:p w:rsidR="00853440" w:rsidRPr="005906B1" w:rsidRDefault="00853440" w:rsidP="005906B1">
      <w:pPr>
        <w:jc w:val="center"/>
        <w:rPr>
          <w:b/>
          <w:lang w:val="fr-FR"/>
        </w:rPr>
      </w:pPr>
    </w:p>
    <w:p w:rsidR="005906B1" w:rsidRDefault="005906B1">
      <w:pPr>
        <w:rPr>
          <w:lang w:val="fr-FR"/>
        </w:rPr>
      </w:pPr>
    </w:p>
    <w:p w:rsidR="005906B1" w:rsidRPr="005906B1" w:rsidRDefault="005906B1">
      <w:pPr>
        <w:rPr>
          <w:lang w:val="fr-FR"/>
        </w:rPr>
      </w:pPr>
    </w:p>
    <w:tbl>
      <w:tblPr>
        <w:tblW w:w="8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45"/>
      </w:tblGrid>
      <w:tr w:rsidR="005906B1" w:rsidRPr="00853440" w:rsidTr="005906B1">
        <w:trPr>
          <w:trHeight w:val="341"/>
          <w:jc w:val="center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B1" w:rsidRPr="00AE08DB" w:rsidRDefault="005906B1" w:rsidP="005906B1">
            <w:pPr>
              <w:keepNext/>
              <w:ind w:left="-20"/>
              <w:jc w:val="center"/>
              <w:rPr>
                <w:rFonts w:ascii="Arial" w:hAnsi="Arial" w:cs="Arial"/>
                <w:sz w:val="22"/>
                <w:szCs w:val="36"/>
                <w:lang w:val="fr-FR"/>
              </w:rPr>
            </w:pPr>
            <w:r w:rsidRPr="00AE08DB">
              <w:rPr>
                <w:rFonts w:ascii="Arial" w:hAnsi="Arial" w:cs="Arial"/>
                <w:sz w:val="22"/>
                <w:szCs w:val="36"/>
                <w:lang w:val="fr-FR"/>
              </w:rPr>
              <w:t xml:space="preserve">Classement des procédés de traduction des </w:t>
            </w:r>
            <w:proofErr w:type="spellStart"/>
            <w:r w:rsidRPr="00AE08DB">
              <w:rPr>
                <w:rFonts w:ascii="Arial" w:hAnsi="Arial" w:cs="Arial"/>
                <w:i/>
                <w:iCs/>
                <w:sz w:val="22"/>
                <w:szCs w:val="36"/>
                <w:lang w:val="fr-FR"/>
              </w:rPr>
              <w:t>realia</w:t>
            </w:r>
            <w:proofErr w:type="spellEnd"/>
          </w:p>
        </w:tc>
      </w:tr>
      <w:tr w:rsidR="005906B1" w:rsidTr="005906B1">
        <w:trPr>
          <w:trHeight w:val="310"/>
          <w:jc w:val="center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B1" w:rsidRDefault="005906B1" w:rsidP="00735B8B">
            <w:pPr>
              <w:keepNext/>
              <w:jc w:val="center"/>
              <w:rPr>
                <w:rFonts w:ascii="Calibri" w:eastAsia="Calibri" w:hAnsi="Calibri"/>
                <w:b/>
                <w:color w:val="000000"/>
                <w:kern w:val="24"/>
                <w:sz w:val="22"/>
                <w:szCs w:val="16"/>
              </w:rPr>
            </w:pPr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szCs w:val="16"/>
              </w:rPr>
              <w:t>EXOTISATION</w:t>
            </w:r>
          </w:p>
        </w:tc>
      </w:tr>
      <w:tr w:rsidR="005906B1" w:rsidTr="005906B1">
        <w:trPr>
          <w:trHeight w:val="310"/>
          <w:jc w:val="center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B1" w:rsidRDefault="005906B1" w:rsidP="00735B8B">
            <w:pPr>
              <w:keepNext/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36"/>
              </w:rPr>
              <w:t>Stratégies</w:t>
            </w:r>
            <w:proofErr w:type="spellEnd"/>
            <w:r>
              <w:rPr>
                <w:rFonts w:ascii="Arial" w:hAnsi="Arial" w:cs="Arial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36"/>
              </w:rPr>
              <w:t>traductives</w:t>
            </w:r>
            <w:proofErr w:type="spellEnd"/>
          </w:p>
        </w:tc>
      </w:tr>
      <w:tr w:rsidR="005906B1" w:rsidTr="005906B1">
        <w:trPr>
          <w:trHeight w:val="3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  <w:t>MAINTIEN</w:t>
            </w:r>
            <w:r>
              <w:rPr>
                <w:rFonts w:ascii="Calibri" w:eastAsia="Calibri" w:hAnsi="Calibri"/>
                <w:color w:val="000000"/>
                <w:kern w:val="24"/>
                <w:sz w:val="22"/>
                <w:szCs w:val="16"/>
                <w:lang w:val="fr-FR"/>
              </w:rPr>
              <w:t xml:space="preserve"> </w:t>
            </w:r>
          </w:p>
        </w:tc>
      </w:tr>
      <w:tr w:rsidR="005906B1" w:rsidTr="005906B1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76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>Emprunt strict</w:t>
            </w:r>
          </w:p>
          <w:p w:rsidR="005906B1" w:rsidRDefault="005906B1" w:rsidP="005906B1">
            <w:pPr>
              <w:keepNext/>
              <w:numPr>
                <w:ilvl w:val="0"/>
                <w:numId w:val="2"/>
              </w:numPr>
              <w:ind w:left="1267"/>
              <w:contextualSpacing/>
              <w:jc w:val="both"/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Emprunt modifié </w:t>
            </w:r>
          </w:p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>(Noms propres : Réduction / Expansion-spécification)</w:t>
            </w:r>
          </w:p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>Emprunt adapté</w:t>
            </w:r>
          </w:p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 xml:space="preserve">Emprunt +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>Reformulateur</w:t>
            </w:r>
            <w:proofErr w:type="spellEnd"/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 :</w:t>
            </w:r>
          </w:p>
          <w:p w:rsidR="005906B1" w:rsidRDefault="005906B1" w:rsidP="005906B1">
            <w:pPr>
              <w:keepNext/>
              <w:numPr>
                <w:ilvl w:val="0"/>
                <w:numId w:val="2"/>
              </w:numPr>
              <w:ind w:left="1267"/>
              <w:contextualSpacing/>
              <w:jc w:val="both"/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+ calque </w:t>
            </w:r>
          </w:p>
          <w:p w:rsidR="005906B1" w:rsidRDefault="005906B1" w:rsidP="005906B1">
            <w:pPr>
              <w:keepNext/>
              <w:numPr>
                <w:ilvl w:val="0"/>
                <w:numId w:val="2"/>
              </w:numPr>
              <w:ind w:left="1267"/>
              <w:contextualSpacing/>
              <w:jc w:val="both"/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+ glose </w:t>
            </w:r>
          </w:p>
          <w:p w:rsidR="005906B1" w:rsidRDefault="005906B1" w:rsidP="005906B1">
            <w:pPr>
              <w:keepNext/>
              <w:numPr>
                <w:ilvl w:val="0"/>
                <w:numId w:val="2"/>
              </w:numPr>
              <w:ind w:left="1267"/>
              <w:contextualSpacing/>
              <w:jc w:val="both"/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>+ hyperonyme</w:t>
            </w:r>
          </w:p>
          <w:p w:rsidR="005906B1" w:rsidRDefault="005906B1" w:rsidP="005906B1">
            <w:pPr>
              <w:keepNext/>
              <w:numPr>
                <w:ilvl w:val="0"/>
                <w:numId w:val="2"/>
              </w:numPr>
              <w:ind w:left="1267"/>
              <w:contextualSpacing/>
              <w:jc w:val="both"/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>+ équivalent traductif</w:t>
            </w:r>
          </w:p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 xml:space="preserve">Calque </w:t>
            </w:r>
          </w:p>
        </w:tc>
      </w:tr>
      <w:tr w:rsidR="005906B1" w:rsidTr="005906B1">
        <w:trPr>
          <w:trHeight w:val="335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</w:p>
        </w:tc>
        <w:tc>
          <w:tcPr>
            <w:tcW w:w="76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06B1" w:rsidRDefault="005906B1" w:rsidP="00735B8B">
            <w:pPr>
              <w:keepNext/>
              <w:rPr>
                <w:rFonts w:ascii="Arial" w:hAnsi="Arial" w:cs="Arial"/>
                <w:sz w:val="22"/>
                <w:szCs w:val="36"/>
                <w:lang w:val="fr-FR"/>
              </w:rPr>
            </w:pPr>
          </w:p>
        </w:tc>
      </w:tr>
      <w:tr w:rsidR="005906B1" w:rsidTr="005906B1">
        <w:trPr>
          <w:trHeight w:val="1154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FD38A3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szCs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6A041" wp14:editId="693EA69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-442595</wp:posOffset>
                      </wp:positionV>
                      <wp:extent cx="57785" cy="2374900"/>
                      <wp:effectExtent l="19050" t="19050" r="37465" b="25400"/>
                      <wp:wrapNone/>
                      <wp:docPr id="1" name="Freccia in 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785" cy="23749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6387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reccia in su 1" o:spid="_x0000_s1026" type="#_x0000_t68" style="position:absolute;margin-left:13.65pt;margin-top:-34.85pt;width:4.55pt;height:1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" adj="26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6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06B1" w:rsidRDefault="005906B1" w:rsidP="00735B8B">
            <w:pPr>
              <w:keepNext/>
              <w:rPr>
                <w:rFonts w:ascii="Arial" w:hAnsi="Arial" w:cs="Arial"/>
                <w:sz w:val="22"/>
                <w:szCs w:val="36"/>
                <w:lang w:val="fr-FR"/>
              </w:rPr>
            </w:pPr>
          </w:p>
        </w:tc>
      </w:tr>
      <w:tr w:rsidR="005906B1" w:rsidTr="005906B1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</w:p>
        </w:tc>
        <w:tc>
          <w:tcPr>
            <w:tcW w:w="76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06B1" w:rsidRDefault="005906B1" w:rsidP="00735B8B">
            <w:pPr>
              <w:keepNext/>
              <w:rPr>
                <w:rFonts w:ascii="Arial" w:hAnsi="Arial" w:cs="Arial"/>
                <w:sz w:val="22"/>
                <w:szCs w:val="36"/>
                <w:lang w:val="fr-FR"/>
              </w:rPr>
            </w:pPr>
          </w:p>
        </w:tc>
      </w:tr>
      <w:tr w:rsidR="005906B1" w:rsidTr="005906B1">
        <w:trPr>
          <w:trHeight w:val="335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  <w:t xml:space="preserve">SUBSTITUTION </w:t>
            </w:r>
          </w:p>
        </w:tc>
      </w:tr>
      <w:tr w:rsidR="005906B1" w:rsidTr="005906B1">
        <w:trPr>
          <w:trHeight w:val="1474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 xml:space="preserve">Glose </w:t>
            </w:r>
          </w:p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</w:pPr>
            <w:r w:rsidRPr="00B10E5D"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>Correspondance analogique </w:t>
            </w: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: </w:t>
            </w:r>
          </w:p>
          <w:p w:rsidR="005906B1" w:rsidRPr="00655940" w:rsidRDefault="005906B1" w:rsidP="005906B1">
            <w:pPr>
              <w:keepNext/>
              <w:numPr>
                <w:ilvl w:val="0"/>
                <w:numId w:val="1"/>
              </w:numPr>
              <w:ind w:left="1267"/>
              <w:contextualSpacing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 w:rsidRPr="008D5FCC"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>Allusion métaphorique</w:t>
            </w:r>
          </w:p>
          <w:p w:rsidR="005906B1" w:rsidRPr="00B021D1" w:rsidRDefault="005906B1" w:rsidP="005906B1">
            <w:pPr>
              <w:keepNext/>
              <w:numPr>
                <w:ilvl w:val="0"/>
                <w:numId w:val="1"/>
              </w:numPr>
              <w:ind w:left="1267"/>
              <w:contextualSpacing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 w:rsidRPr="0048204B"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>Hyperonyme</w:t>
            </w:r>
          </w:p>
          <w:p w:rsidR="005906B1" w:rsidRDefault="005906B1" w:rsidP="00735B8B">
            <w:pPr>
              <w:keepNext/>
              <w:jc w:val="both"/>
              <w:rPr>
                <w:rFonts w:ascii="Arial" w:hAnsi="Arial" w:cs="Arial"/>
                <w:b/>
                <w:sz w:val="22"/>
                <w:szCs w:val="36"/>
              </w:rPr>
            </w:pPr>
            <w:r>
              <w:rPr>
                <w:rFonts w:ascii="Calibri" w:eastAsia="Calibri" w:hAnsi="Calibri"/>
                <w:b/>
                <w:color w:val="000000"/>
                <w:kern w:val="24"/>
                <w:sz w:val="22"/>
                <w:lang w:val="fr-FR"/>
              </w:rPr>
              <w:t>Equivalent traductif</w:t>
            </w:r>
          </w:p>
        </w:tc>
      </w:tr>
      <w:tr w:rsidR="005906B1" w:rsidTr="005906B1">
        <w:trPr>
          <w:trHeight w:val="335"/>
          <w:jc w:val="center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proofErr w:type="spellStart"/>
            <w:r>
              <w:rPr>
                <w:rFonts w:ascii="Arial" w:hAnsi="Arial" w:cs="Arial"/>
                <w:sz w:val="22"/>
                <w:szCs w:val="36"/>
              </w:rPr>
              <w:t>Stratégies</w:t>
            </w:r>
            <w:proofErr w:type="spellEnd"/>
            <w:r>
              <w:rPr>
                <w:rFonts w:ascii="Arial" w:hAnsi="Arial" w:cs="Arial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36"/>
              </w:rPr>
              <w:t>fonctionnelles</w:t>
            </w:r>
            <w:proofErr w:type="spellEnd"/>
            <w:r>
              <w:rPr>
                <w:rFonts w:ascii="Arial" w:hAnsi="Arial" w:cs="Arial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36"/>
              </w:rPr>
              <w:t>d’adaptation</w:t>
            </w:r>
            <w:proofErr w:type="spellEnd"/>
          </w:p>
        </w:tc>
      </w:tr>
      <w:tr w:rsidR="005906B1" w:rsidTr="005906B1">
        <w:trPr>
          <w:trHeight w:val="33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  <w:t>AJOUT</w:t>
            </w:r>
          </w:p>
        </w:tc>
      </w:tr>
      <w:tr w:rsidR="005906B1" w:rsidTr="005906B1">
        <w:trPr>
          <w:trHeight w:val="335"/>
          <w:jc w:val="center"/>
        </w:trPr>
        <w:tc>
          <w:tcPr>
            <w:tcW w:w="5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Pr="001625A3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bCs/>
                <w:kern w:val="24"/>
                <w:sz w:val="22"/>
                <w:lang w:val="fr-FR"/>
              </w:rPr>
            </w:pPr>
            <w:proofErr w:type="spellStart"/>
            <w:r w:rsidRPr="001625A3">
              <w:rPr>
                <w:rFonts w:ascii="Calibri" w:eastAsia="Calibri" w:hAnsi="Calibri"/>
                <w:bCs/>
                <w:kern w:val="24"/>
                <w:sz w:val="22"/>
              </w:rPr>
              <w:t>Indicateur</w:t>
            </w:r>
            <w:proofErr w:type="spellEnd"/>
            <w:r w:rsidRPr="001625A3">
              <w:rPr>
                <w:rFonts w:ascii="Calibri" w:eastAsia="Calibri" w:hAnsi="Calibri"/>
                <w:bCs/>
                <w:kern w:val="24"/>
                <w:sz w:val="22"/>
              </w:rPr>
              <w:t xml:space="preserve"> de </w:t>
            </w:r>
            <w:proofErr w:type="spellStart"/>
            <w:r w:rsidRPr="001625A3">
              <w:rPr>
                <w:rFonts w:ascii="Calibri" w:eastAsia="Calibri" w:hAnsi="Calibri"/>
                <w:bCs/>
                <w:i/>
                <w:iCs/>
                <w:kern w:val="24"/>
                <w:sz w:val="22"/>
              </w:rPr>
              <w:t>realia</w:t>
            </w:r>
            <w:proofErr w:type="spellEnd"/>
          </w:p>
        </w:tc>
      </w:tr>
      <w:tr w:rsidR="005906B1" w:rsidRPr="00FD38A3" w:rsidTr="005906B1">
        <w:trPr>
          <w:trHeight w:val="116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06B1" w:rsidRDefault="00FD38A3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eastAsia="Calibri" w:hAnsi="Calibri"/>
                <w:b/>
                <w:bCs/>
                <w:noProof/>
                <w:color w:val="000000"/>
                <w:kern w:val="24"/>
                <w:sz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BCC4B" wp14:editId="019917E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-415290</wp:posOffset>
                      </wp:positionV>
                      <wp:extent cx="45719" cy="1930400"/>
                      <wp:effectExtent l="19050" t="0" r="31115" b="31750"/>
                      <wp:wrapNone/>
                      <wp:docPr id="8" name="Freccia in gi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30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3F80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8" o:spid="_x0000_s1026" type="#_x0000_t67" style="position:absolute;margin-left:10.15pt;margin-top:-32.7pt;width:3.6pt;height:1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" adj="2134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Pr="00655940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Ajout catégoriel </w:t>
            </w:r>
          </w:p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Ajout culturel </w:t>
            </w:r>
          </w:p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Ajout pragmatique </w:t>
            </w:r>
          </w:p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  <w:lang w:val="fr-FR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>Ajout improvisé</w:t>
            </w:r>
          </w:p>
        </w:tc>
      </w:tr>
      <w:tr w:rsidR="005906B1" w:rsidTr="005906B1">
        <w:trPr>
          <w:trHeight w:val="3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06B1" w:rsidRPr="00FD38A3" w:rsidRDefault="005906B1" w:rsidP="00735B8B">
            <w:pPr>
              <w:keepNext/>
              <w:rPr>
                <w:rFonts w:ascii="Arial" w:hAnsi="Arial" w:cs="Arial"/>
                <w:sz w:val="22"/>
                <w:szCs w:val="36"/>
                <w:lang w:val="fr-FR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lang w:val="fr-FR"/>
              </w:rPr>
              <w:t>SUPPRESSION</w:t>
            </w:r>
          </w:p>
        </w:tc>
      </w:tr>
      <w:tr w:rsidR="005906B1" w:rsidTr="005906B1">
        <w:trPr>
          <w:trHeight w:val="3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906B1" w:rsidRDefault="005906B1" w:rsidP="00735B8B">
            <w:pPr>
              <w:keepNext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Idiolectes </w:t>
            </w:r>
          </w:p>
        </w:tc>
      </w:tr>
      <w:tr w:rsidR="005906B1" w:rsidTr="005906B1">
        <w:trPr>
          <w:trHeight w:val="341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Calibri" w:eastAsia="Calibri" w:hAnsi="Calibri"/>
                <w:color w:val="000000"/>
                <w:kern w:val="24"/>
                <w:sz w:val="22"/>
                <w:lang w:val="fr-FR"/>
              </w:rPr>
              <w:t xml:space="preserve">Suppression culturelle </w:t>
            </w:r>
          </w:p>
        </w:tc>
      </w:tr>
      <w:tr w:rsidR="005906B1" w:rsidTr="005906B1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B1" w:rsidRPr="004E63EA" w:rsidRDefault="005906B1" w:rsidP="00735B8B">
            <w:pPr>
              <w:keepNext/>
              <w:jc w:val="both"/>
              <w:rPr>
                <w:rFonts w:ascii="Calibri" w:eastAsia="Calibri" w:hAnsi="Calibri"/>
                <w:b/>
                <w:bCs/>
                <w:kern w:val="24"/>
                <w:sz w:val="22"/>
              </w:rPr>
            </w:pP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65" w:type="dxa"/>
              <w:bottom w:w="0" w:type="dxa"/>
              <w:right w:w="65" w:type="dxa"/>
            </w:tcMar>
          </w:tcPr>
          <w:p w:rsidR="005906B1" w:rsidRPr="004E63EA" w:rsidRDefault="005906B1" w:rsidP="00735B8B">
            <w:pPr>
              <w:keepNext/>
              <w:jc w:val="both"/>
              <w:rPr>
                <w:rFonts w:ascii="Arial" w:hAnsi="Arial" w:cs="Arial"/>
                <w:sz w:val="22"/>
                <w:szCs w:val="36"/>
              </w:rPr>
            </w:pPr>
            <w:r w:rsidRPr="004E63EA">
              <w:rPr>
                <w:rFonts w:ascii="Calibri" w:eastAsia="Calibri" w:hAnsi="Calibri"/>
                <w:kern w:val="24"/>
                <w:sz w:val="22"/>
                <w:lang w:val="fr-FR"/>
              </w:rPr>
              <w:t>Suppression pragmatique</w:t>
            </w:r>
          </w:p>
        </w:tc>
      </w:tr>
      <w:tr w:rsidR="005906B1" w:rsidTr="005906B1">
        <w:trPr>
          <w:trHeight w:val="283"/>
          <w:jc w:val="center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B1" w:rsidRPr="004E63EA" w:rsidRDefault="005906B1" w:rsidP="00735B8B">
            <w:pPr>
              <w:keepNext/>
              <w:jc w:val="center"/>
              <w:rPr>
                <w:rFonts w:ascii="Calibri" w:eastAsia="Calibri" w:hAnsi="Calibri"/>
                <w:b/>
                <w:bCs/>
                <w:kern w:val="24"/>
                <w:sz w:val="22"/>
              </w:rPr>
            </w:pPr>
            <w:r w:rsidRPr="004E63EA">
              <w:rPr>
                <w:rFonts w:ascii="Calibri" w:eastAsia="Calibri" w:hAnsi="Calibri"/>
                <w:b/>
                <w:bCs/>
                <w:kern w:val="24"/>
                <w:sz w:val="22"/>
              </w:rPr>
              <w:t>NATURALISATION</w:t>
            </w:r>
          </w:p>
        </w:tc>
      </w:tr>
    </w:tbl>
    <w:p w:rsidR="005906B1" w:rsidRDefault="005906B1"/>
    <w:p w:rsidR="005906B1" w:rsidRDefault="005906B1"/>
    <w:p w:rsidR="005906B1" w:rsidRPr="00853440" w:rsidRDefault="00853440" w:rsidP="00853440">
      <w:pPr>
        <w:jc w:val="both"/>
        <w:rPr>
          <w:lang w:val="fr-FR"/>
        </w:rPr>
      </w:pPr>
      <w:r w:rsidRPr="007F4E01">
        <w:rPr>
          <w:lang w:val="fr-FR"/>
        </w:rPr>
        <w:t xml:space="preserve">Castellani Cristina &amp; </w:t>
      </w:r>
      <w:r>
        <w:rPr>
          <w:lang w:val="fr-FR"/>
        </w:rPr>
        <w:t>al</w:t>
      </w:r>
      <w:r w:rsidRPr="007F4E01">
        <w:rPr>
          <w:lang w:val="fr-FR"/>
        </w:rPr>
        <w:t>, 2013 « </w:t>
      </w:r>
      <w:r w:rsidRPr="007F4E01">
        <w:rPr>
          <w:b/>
          <w:lang w:val="fr-FR"/>
        </w:rPr>
        <w:t xml:space="preserve">Les enjeux traductifs dans les guides touristiques : le cas des </w:t>
      </w:r>
      <w:proofErr w:type="spellStart"/>
      <w:r w:rsidRPr="007F4E01">
        <w:rPr>
          <w:b/>
          <w:i/>
          <w:lang w:val="fr-FR"/>
        </w:rPr>
        <w:t>realia</w:t>
      </w:r>
      <w:proofErr w:type="spellEnd"/>
      <w:r w:rsidRPr="007F4E01">
        <w:rPr>
          <w:lang w:val="fr-FR"/>
        </w:rPr>
        <w:t xml:space="preserve"> », in : </w:t>
      </w:r>
      <w:r w:rsidRPr="007F4E01">
        <w:rPr>
          <w:i/>
          <w:lang w:val="fr-FR"/>
        </w:rPr>
        <w:t>Le traducteur et son texte : Relations dialectiques, difficultés linguistiques et contexte socioculturel</w:t>
      </w:r>
      <w:r w:rsidRPr="007F4E01">
        <w:rPr>
          <w:lang w:val="fr-FR"/>
        </w:rPr>
        <w:t>, Actes du 1er Colloque international organisé par le MUST - Université Misr pour les Sciences et la Technologie (Le Caire, les 8-9 avril 2013), Le Caire-Egypte, Presses universitaires du MUS</w:t>
      </w:r>
      <w:r>
        <w:rPr>
          <w:lang w:val="fr-FR"/>
        </w:rPr>
        <w:t>T, pp. 279-314</w:t>
      </w:r>
      <w:bookmarkStart w:id="0" w:name="_GoBack"/>
      <w:bookmarkEnd w:id="0"/>
    </w:p>
    <w:sectPr w:rsidR="005906B1" w:rsidRPr="00853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7E6A"/>
    <w:multiLevelType w:val="hybridMultilevel"/>
    <w:tmpl w:val="E7647B54"/>
    <w:lvl w:ilvl="0" w:tplc="C35C3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AB029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4349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FEC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6875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EE9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5DAD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4BE4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32AD3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B1"/>
    <w:rsid w:val="00162E7A"/>
    <w:rsid w:val="00214CAC"/>
    <w:rsid w:val="00294D74"/>
    <w:rsid w:val="002E6FED"/>
    <w:rsid w:val="0054483B"/>
    <w:rsid w:val="005906B1"/>
    <w:rsid w:val="006A060E"/>
    <w:rsid w:val="007B4911"/>
    <w:rsid w:val="00853440"/>
    <w:rsid w:val="00922ED1"/>
    <w:rsid w:val="00C26F83"/>
    <w:rsid w:val="00C6741F"/>
    <w:rsid w:val="00DB44AB"/>
    <w:rsid w:val="00DC7562"/>
    <w:rsid w:val="00F400A1"/>
    <w:rsid w:val="00F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1671"/>
  <w15:chartTrackingRefBased/>
  <w15:docId w15:val="{73FC0CB4-E61D-418D-B0CC-42458CF2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2023-03-05T08:36:00Z</dcterms:created>
  <dcterms:modified xsi:type="dcterms:W3CDTF">2023-03-05T08:55:00Z</dcterms:modified>
</cp:coreProperties>
</file>