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8B" w:rsidRPr="00594838" w:rsidRDefault="00F1478B" w:rsidP="00F1478B">
      <w:pPr>
        <w:pStyle w:val="Titolo1"/>
        <w:rPr>
          <w:b/>
          <w:sz w:val="28"/>
          <w:szCs w:val="28"/>
        </w:rPr>
      </w:pPr>
      <w:proofErr w:type="spellStart"/>
      <w:r w:rsidRPr="00594838">
        <w:rPr>
          <w:b/>
          <w:sz w:val="28"/>
          <w:szCs w:val="28"/>
        </w:rPr>
        <w:t>Vor</w:t>
      </w:r>
      <w:proofErr w:type="spellEnd"/>
      <w:r w:rsidRPr="00594838">
        <w:rPr>
          <w:b/>
          <w:sz w:val="28"/>
          <w:szCs w:val="28"/>
        </w:rPr>
        <w:t xml:space="preserve"> 65 </w:t>
      </w:r>
      <w:proofErr w:type="spellStart"/>
      <w:r w:rsidRPr="00594838">
        <w:rPr>
          <w:b/>
          <w:sz w:val="28"/>
          <w:szCs w:val="28"/>
        </w:rPr>
        <w:t>Jahren</w:t>
      </w:r>
      <w:proofErr w:type="spellEnd"/>
      <w:r w:rsidRPr="00594838">
        <w:rPr>
          <w:b/>
          <w:sz w:val="28"/>
          <w:szCs w:val="28"/>
        </w:rPr>
        <w:t xml:space="preserve">: Bundestag </w:t>
      </w:r>
      <w:proofErr w:type="spellStart"/>
      <w:r w:rsidRPr="00594838">
        <w:rPr>
          <w:b/>
          <w:sz w:val="28"/>
          <w:szCs w:val="28"/>
        </w:rPr>
        <w:t>beschließt</w:t>
      </w:r>
      <w:proofErr w:type="spellEnd"/>
      <w:r w:rsidRPr="00594838">
        <w:rPr>
          <w:b/>
          <w:sz w:val="28"/>
          <w:szCs w:val="28"/>
        </w:rPr>
        <w:t xml:space="preserve"> </w:t>
      </w:r>
      <w:proofErr w:type="spellStart"/>
      <w:r w:rsidRPr="00594838">
        <w:rPr>
          <w:b/>
          <w:sz w:val="28"/>
          <w:szCs w:val="28"/>
        </w:rPr>
        <w:t>Gleich</w:t>
      </w:r>
      <w:r w:rsidRPr="00594838">
        <w:rPr>
          <w:b/>
          <w:sz w:val="28"/>
          <w:szCs w:val="28"/>
        </w:rPr>
        <w:softHyphen/>
        <w:t>berechti</w:t>
      </w:r>
      <w:r w:rsidRPr="00594838">
        <w:rPr>
          <w:b/>
          <w:sz w:val="28"/>
          <w:szCs w:val="28"/>
        </w:rPr>
        <w:softHyphen/>
        <w:t>gungs</w:t>
      </w:r>
      <w:r w:rsidRPr="00594838">
        <w:rPr>
          <w:b/>
          <w:sz w:val="28"/>
          <w:szCs w:val="28"/>
        </w:rPr>
        <w:softHyphen/>
        <w:t>gesetz</w:t>
      </w:r>
      <w:proofErr w:type="spellEnd"/>
      <w:r w:rsidRPr="00594838">
        <w:rPr>
          <w:b/>
          <w:sz w:val="28"/>
          <w:szCs w:val="28"/>
        </w:rPr>
        <w:t xml:space="preserve"> </w:t>
      </w:r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proofErr w:type="spellStart"/>
      <w:r w:rsidRPr="00B93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Männer</w:t>
      </w:r>
      <w:proofErr w:type="spellEnd"/>
      <w:r w:rsidRPr="00B93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und Frauen </w:t>
      </w:r>
      <w:proofErr w:type="spellStart"/>
      <w:r w:rsidRPr="00B93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sind</w:t>
      </w:r>
      <w:proofErr w:type="spellEnd"/>
      <w:r w:rsidRPr="00B93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proofErr w:type="gramStart"/>
      <w:r w:rsidRPr="00B93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gleichberechtigt</w:t>
      </w:r>
      <w:proofErr w:type="spellEnd"/>
      <w:r w:rsidRPr="00B93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“ –</w:t>
      </w:r>
      <w:proofErr w:type="gramEnd"/>
      <w:r w:rsidRPr="00B93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so </w:t>
      </w:r>
      <w:proofErr w:type="spellStart"/>
      <w:r w:rsidRPr="00B93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sagt</w:t>
      </w:r>
      <w:proofErr w:type="spellEnd"/>
      <w:r w:rsidRPr="00B93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es das </w:t>
      </w:r>
      <w:proofErr w:type="spellStart"/>
      <w:r w:rsidRPr="00B93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Grundgesetz</w:t>
      </w:r>
      <w:proofErr w:type="spellEnd"/>
      <w:r w:rsidRPr="00B9326A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Doch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was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heute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selbstverständlich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erscheint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begann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politischen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Prozess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versäumten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Fristen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stundenlangen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Debatten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Vor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65 Jahren, am 3. Mai 1957</w:t>
      </w: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beschloss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Deutsche Bundestag das </w:t>
      </w:r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„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Gesetz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über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Gleichberechtigung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von Mann und Frau auf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dem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Gebiet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des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bürgerlichen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Rechts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“</w:t>
      </w:r>
      <w:proofErr w:type="gram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sogenannte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 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Gleichberechtigungsgesetz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neuen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Regelungen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hatten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Ziel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die in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Artikel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3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Absatz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2 des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Grundgesetzes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festgeschriebene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Gleichberechtigung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Mann und Frau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Bundesrecht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umzusetzen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Die Frist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läuft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ab</w:t>
      </w:r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„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Männer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Frauen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sind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gleichberechtigt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“ –</w:t>
      </w:r>
      <w:proofErr w:type="gram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darauf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hatten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vier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Mütter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61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Väter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Grundgesetzes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1949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geeinigt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Bestimmt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wurde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Realität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jungen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deutschen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Bundesrepublik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jedoch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noch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patriarchalischen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-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Familienverständnis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auf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Regeln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Bürgerlichen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Gesetzbuches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(BGB) von 1896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stützte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: der Mann war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Oberhaupt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Familie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der in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allen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ehelichen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Angelegenheiten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letzter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Instanz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entschied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Ehefrau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war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dagegen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verpflichtet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Haushalt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führen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noch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geltende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bürgerliche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insbesondere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auf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Gebiet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Familie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stand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Zielen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Gleichberechtigung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neuen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Grundgesetz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entgegen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 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Doch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daran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hatte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man 1949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gedacht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Artikel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117 des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Grundgesetzes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sollte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rechtlichen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Übergang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regeln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: Bis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Gesetzgeber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neue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Lösung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findet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bleibt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Gesetz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Kraft. Eine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beachtliche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Aufgabe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für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erste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Parlament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denn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Grundgesetz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schrieb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Frist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– bis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31.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März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1953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galt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es,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neues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Gesetz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auszuarbeiten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abzustimmen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Dies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sollte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Vorgaben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BGB an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Grundsatz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Gleichberechtigung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anpassen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Zweite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dritte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Lesung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1957</w:t>
      </w:r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Doch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kam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anders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: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Erst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1954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waren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Entwurf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Regierung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(</w:t>
      </w:r>
      <w:hyperlink r:id="rId4" w:tgtFrame="_blank" w:tooltip="Die PDF-Datei Drucksache 2/224 öffnet sich in einem neuen Fenster" w:history="1">
        <w:r w:rsidRPr="005948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it-IT"/>
          </w:rPr>
          <w:t>2/224</w:t>
        </w:r>
      </w:hyperlink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)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Anträge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FDP-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Fraktion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(</w:t>
      </w:r>
      <w:hyperlink r:id="rId5" w:tgtFrame="_blank" w:tooltip="Die PDF-Datei Drucksache 2/112 öffnet sich in einem neuen Fenster" w:history="1">
        <w:r w:rsidRPr="005948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it-IT"/>
          </w:rPr>
          <w:t>2/112</w:t>
        </w:r>
      </w:hyperlink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) und der SPD-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Fraktion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(</w:t>
      </w:r>
      <w:hyperlink r:id="rId6" w:tgtFrame="_blank" w:tooltip="Die PDF-Datei Drucksache 2/178 öffnet sich in einem neuen Fenster" w:history="1">
        <w:r w:rsidRPr="005948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it-IT"/>
          </w:rPr>
          <w:t>2/178</w:t>
        </w:r>
      </w:hyperlink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)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Gleichberechtigungsgesetz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an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Ausschuss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für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Rechtswesen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Verfassungsrecht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übermittelt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worden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Unter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Leitung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Dr.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Karl Weber (CDU/CSU)</w:t>
      </w: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beschäftigte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schließlich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neu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gegründeter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Unterausschuss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„</w:t>
      </w:r>
      <w:proofErr w:type="spellStart"/>
      <w:proofErr w:type="gram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Familienrechtsgesetz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“ von</w:t>
      </w:r>
      <w:proofErr w:type="gram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1955 bis 1957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ausstehenden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Fragen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Änderungen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 </w:t>
      </w:r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In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abschließenden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zweiten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dritten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Lesung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am 3. Mai 1957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diskutieren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Abgeordneten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lange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hitzig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: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über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Möglichkeiten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Frauen,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erwerbstätig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sein,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Güterausgleich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bei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Trennung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 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Wiedereinführung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Letztentscheids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der 1956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knapper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Mehrheit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abgeschafft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worden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war.</w:t>
      </w:r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Gesetzeslage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Paragrafen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1354 des BGB 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ermöglichte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Mann,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bei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ungleichen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Meinungen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abschließende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Entscheidung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für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gesamte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Familie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treffen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 Dieser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Letztentscheid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oder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Stichentscheid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war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nach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heftigen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Debatte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Unterausschuss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„</w:t>
      </w:r>
      <w:proofErr w:type="spellStart"/>
      <w:proofErr w:type="gram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Familienrechtsgesetz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“ 1956</w:t>
      </w:r>
      <w:proofErr w:type="gram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knapp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sieben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Stimmen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abgelehnt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worden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CDU/CSU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fordert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Wiedereinführung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des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Stichentscheides</w:t>
      </w:r>
      <w:proofErr w:type="spellEnd"/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Debatte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1957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begann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Antrag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CDU/CSU-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Fraktion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- man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wollte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Letztentscheidungsrecht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Mannes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wieder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aufnehmen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Karl Weber (CDU/CSU)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argumentierte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für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seine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Fraktion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dass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Paragraf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1354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notwendig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sei, da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„die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äußere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Gestaltung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</w:t>
      </w:r>
      <w:proofErr w:type="spellStart"/>
      <w:proofErr w:type="gram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Ehelebens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“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regele</w:t>
      </w:r>
      <w:proofErr w:type="spellEnd"/>
      <w:proofErr w:type="gram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dafür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Ordnungsvorschrift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gebe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Zudem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sei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Entscheidung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Mannes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mehr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„</w:t>
      </w:r>
      <w:proofErr w:type="spellStart"/>
      <w:proofErr w:type="gram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Pflicht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“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als</w:t>
      </w:r>
      <w:proofErr w:type="spellEnd"/>
      <w:proofErr w:type="gram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Privileg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besonders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sinnvoll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Sinne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Artikel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6 des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Grundgesetzes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der den Schutz von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Familie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durch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Staat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gewährleistet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Gemeinsame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Verantwortung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statt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Letztentscheid</w:t>
      </w:r>
      <w:proofErr w:type="spellEnd"/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Vertreter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SPD und FDP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sprachen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hingegen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Stichentscheid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aus.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Karl Wittrock (SPD)</w:t>
      </w: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betonte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gemeinschaftliche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Verantwortung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Ehepartner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gegenüber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„</w:t>
      </w:r>
      <w:proofErr w:type="spellStart"/>
      <w:proofErr w:type="gram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Letztverantwortlichkeit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“ in</w:t>
      </w:r>
      <w:proofErr w:type="gram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Eine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psychologische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Ebene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bei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Entscheidung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durch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nur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Ehepartner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hoben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Marie Elisabeth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Lüders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(FDP)</w:t>
      </w: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Ludwig Metzger (SPD)</w:t>
      </w: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hervor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kann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„gar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kein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Zweifel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daran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sein,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dass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Autorität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Mutter in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Kinder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erheblichen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Schaden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leiden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gram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muss“</w:t>
      </w:r>
      <w:proofErr w:type="gram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argumentierte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langjährige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Abgeordnete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 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lastRenderedPageBreak/>
        <w:t>Alterspräsidentin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Ihr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Kollege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Metzger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betonte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hingegen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Gefahr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überhaupt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nicht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einigen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wollen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oder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müssen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weil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schließlich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immer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Mann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entscheide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Christliche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Ethik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Ehe</w:t>
      </w:r>
      <w:proofErr w:type="spellEnd"/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Wie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gespalten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Meinungen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nicht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nur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Debatte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waren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zeigte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weiteren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Verlauf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Dr.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Elisabeth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Schwarzhaupt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(CDU/CSU)</w:t>
      </w: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votierte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entgegen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mehrheitlichen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Meinung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ihrer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Fraktion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für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Streichung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Paragrafen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1354.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Jedoch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argumentierte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geschickt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Sinne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christlichen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Ethik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: Sie sei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generell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zwar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für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vorgeordnete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Stellung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Mannes „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weil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Ordnung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kommt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tiefer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begründet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ist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staatliche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“</w:t>
      </w:r>
      <w:proofErr w:type="gram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Trotzdem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sei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Bestimmung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Paragrafen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1354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damit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Letztentscheid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entbehrlich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Denn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schließlich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verpflichteten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beide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Ehepartner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Lebensgemeinschaft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Darin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regele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dann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Zusammenleben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–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bräuchte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keine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gesonderte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Entscheidung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Mannes.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Nach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langer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Debatte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kam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endlich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namentlichen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Abstimmung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: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186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172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Stimmen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bei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sechs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Enthaltungen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wurde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Antrag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Wiedereinführung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Stichentscheides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abgelehnt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Keine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Einigung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in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Sicht</w:t>
      </w:r>
      <w:proofErr w:type="spellEnd"/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Reihen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Plenarsaal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waren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diesem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Zeitpunkt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Debatte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immerhin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schon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dichter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gefüllt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Beginn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Wie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Plenarprotokoll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berichtet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verschob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amtierende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Präsident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</w:t>
      </w:r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 Prof.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Dr.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Carlo Schmid (SPD)</w:t>
      </w: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auf Wunsch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einiger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anwesender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Abgeordneten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zuerst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auf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Vormittag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angesetzte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Sitzung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aufgrund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Abwesenheit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zahlreicher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Abgeordneter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Minister.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Grund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dafür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waren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einerseits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vier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zeitgleich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tagende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Ausschüsse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in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denen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viele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Volksvertreter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anwesend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sein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mussten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Andererseits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wohl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Tatsache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dass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meisten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schon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wussten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abstimmen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würden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;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schließlich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diskutierte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man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seit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einiger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Zeit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kontrovers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Thema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Gleichberechtigung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Regierung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Adenauer und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zuständige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Justizminister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Thomas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Dehler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(FDP)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hatten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Thematik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am 27. November 1952,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vier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Monate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Ablauf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Frist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Grundgesetz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erste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Mal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Beratung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den Bundestag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eingebracht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Stimmung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war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aufgeladen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Oppositionsfraktion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SPD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befürwortete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mehrheitlich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Änderungen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Gleichberechtigung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Kanzler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Adenauer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hatte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seine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Fraktion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seinen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Justizminister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auf den Contra-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Kurs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eingeschworen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Debatte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ging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nach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Plenum in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Ausschüssen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weiter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ohne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dass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man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einigen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konnte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„Ich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beuge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mich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dem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Stichentscheid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meines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gram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Mannes“</w:t>
      </w:r>
      <w:proofErr w:type="gram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 </w:t>
      </w:r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Schon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Vorfeld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Debatte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1957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hatten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Parteien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versucht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ihre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Mitglieder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einzustimmen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besonders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nach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knappen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Verlust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Abstimmung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über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Stichentscheid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Unterausschuss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Jahr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zuvor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Schon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damals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wurden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Fronten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deutlich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: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Journalistin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 </w:t>
      </w:r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Marianne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Feuersenger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 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berichtete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Beispiel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Vorfall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einige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CDU-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Abgeordnete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bemühten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ihre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Fraktionskollegin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 Ingeborg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Geisendörfer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für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Abstimmung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zugunsten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Paragrafen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1354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gewinnen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Sie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entschloss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ihren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Ehemann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um Rat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fragen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worauf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dieser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geantwortet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haben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soll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: „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Dass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du dich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unterstehst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für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männliche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Entscheidungsrecht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bei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1354 </w:t>
      </w:r>
      <w:proofErr w:type="spellStart"/>
      <w:proofErr w:type="gram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einzutreten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!“</w:t>
      </w:r>
      <w:proofErr w:type="gram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Geisendörfer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darauf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: „[…] ich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beuge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Stichentscheid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meines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Mannes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stimme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Stichentscheid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1354.“</w:t>
      </w:r>
    </w:p>
    <w:p w:rsidR="00F1478B" w:rsidRPr="00594838" w:rsidRDefault="00F1478B" w:rsidP="00F147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Anerkennung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veränderter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Strukturen</w:t>
      </w:r>
      <w:proofErr w:type="spellEnd"/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Doch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wenn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Letztentscheidung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Mannes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Entscheidungen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1956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schließlich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1957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abgeschafft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wurde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- in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Fragen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Erziehung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blieb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Vorrecht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Mannes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neuen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Gleichberechtigungsgesetz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bestehen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Modifizierung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Paragrafen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1628 und 1629 des BGB, die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Letztentscheidungsrecht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Alleinvertretungsanspruch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Vaters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für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Kinder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regeln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wurde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abgelehnt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-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trotz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Änderungsanträgen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SPD, FDP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Teilen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CDU. 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Änderungen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betrafen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allem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Idee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Vormundschaft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auf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beide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Eltern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übertragen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in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kritischen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Fällen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Vormundschaftsgericht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entscheiden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lassen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In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Debatte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standen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theoretische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realpolitische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Argumente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gegenüber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Frieda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Nadig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Abgeordnete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der SPD-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Fraktion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führte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an,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dass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Letztentscheidung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Vaters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neue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Rolle der Mutter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stehe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: „Aber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ist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denn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praktischen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Leben? Da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übt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Mutter fast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täglich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lastRenderedPageBreak/>
        <w:t xml:space="preserve">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Vertretung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Kindes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aus.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“</w:t>
      </w:r>
      <w:proofErr w:type="gram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Für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mutigen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Schritt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patriarchalische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Rechte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Anerkennung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veränderten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Gesellschaftsstruktur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votierte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Margot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Kalinke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der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Deutschen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Partei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(DP)</w:t>
      </w: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Kompromisse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Zugewinne</w:t>
      </w:r>
      <w:proofErr w:type="spellEnd"/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Besonders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kritisch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wurde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Vorschlag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SPD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Einführung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Vormundschaftsgerichtes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aufgenommen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„Der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Staat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hat in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Frage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Erziehung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Pflege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Kinder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nur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überwachen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nicht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ersetzen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[</w:t>
      </w:r>
      <w:proofErr w:type="gram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…]“</w:t>
      </w:r>
      <w:proofErr w:type="gram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argumentierte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Eduard Wahl (CDU/CSU)</w:t>
      </w: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Entscheidung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Richters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sei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zudem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immer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Entscheidung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für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Position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damit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für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Elternteil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sagte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Hanns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Seidl</w:t>
      </w:r>
      <w:proofErr w:type="spellEnd"/>
      <w:r w:rsidRPr="0059483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(CDU/CSU)</w:t>
      </w: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weiteren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Verlauf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Debatte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bestimmten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allem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verfassungsrechtliche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Argumente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Frage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ob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Gleichberechtigung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Artikel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3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oder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Schutz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Artikel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6 des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Grundgesetzes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überwögen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Umstritten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war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zudem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Thema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Erwerbstätigkeit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Bisher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konnte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Ehemann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seiner Frau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verbieten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Beruf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auszuüben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Plenum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einigte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man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nun auf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Kompromiss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: Eine Frau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durfte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Willen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ihres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Mannes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arbeiten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solange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Mann und Kinder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nicht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vernachlässigte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Ein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großer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Schritt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Sinne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Gleichberechtigung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war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jedoch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Regelung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sogenannten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Zugewinngemeinschaft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Alles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was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beide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Ehepartner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zusammen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erwirtschaftetet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hatten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wurde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nun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Teilen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unter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Partnern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aufgeteilt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;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das von der Frau in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eingebrachte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Vermögen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gehörte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nicht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mehr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automatisch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Mann.</w:t>
      </w:r>
    </w:p>
    <w:p w:rsidR="00F1478B" w:rsidRPr="00F1478B" w:rsidRDefault="00F1478B" w:rsidP="00F1478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proofErr w:type="spellStart"/>
      <w:r w:rsidRPr="00F1478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Keine</w:t>
      </w:r>
      <w:proofErr w:type="spellEnd"/>
      <w:r w:rsidRPr="00F1478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F1478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vollständige</w:t>
      </w:r>
      <w:proofErr w:type="spellEnd"/>
      <w:r w:rsidRPr="00F1478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proofErr w:type="spellStart"/>
      <w:r w:rsidRPr="00F1478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Emanzipation</w:t>
      </w:r>
      <w:proofErr w:type="spellEnd"/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Die </w:t>
      </w:r>
      <w:proofErr w:type="spellStart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Emanzipation</w:t>
      </w:r>
      <w:proofErr w:type="spellEnd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Frau, die </w:t>
      </w:r>
      <w:proofErr w:type="spellStart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schon</w:t>
      </w:r>
      <w:proofErr w:type="spellEnd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F1478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Elisabeth </w:t>
      </w:r>
      <w:proofErr w:type="spellStart"/>
      <w:r w:rsidRPr="00F1478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>Selbert</w:t>
      </w:r>
      <w:proofErr w:type="spellEnd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</w:t>
      </w:r>
      <w:proofErr w:type="spellEnd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Mütter</w:t>
      </w:r>
      <w:proofErr w:type="spellEnd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des </w:t>
      </w:r>
      <w:proofErr w:type="spellStart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Grundgesetzes</w:t>
      </w:r>
      <w:proofErr w:type="spellEnd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gefordert</w:t>
      </w:r>
      <w:proofErr w:type="spellEnd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hatte</w:t>
      </w:r>
      <w:proofErr w:type="spellEnd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konnte</w:t>
      </w:r>
      <w:proofErr w:type="spellEnd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das </w:t>
      </w:r>
      <w:proofErr w:type="spellStart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erste</w:t>
      </w:r>
      <w:proofErr w:type="spellEnd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Gleichberechtigungsgesetz</w:t>
      </w:r>
      <w:proofErr w:type="spellEnd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nicht</w:t>
      </w:r>
      <w:proofErr w:type="spellEnd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vollständig</w:t>
      </w:r>
      <w:proofErr w:type="spellEnd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umsetzen</w:t>
      </w:r>
      <w:proofErr w:type="spellEnd"/>
      <w:r w:rsidRPr="00F1478B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Gleichberechtigung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Überwindung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klassischen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Rollenverständnisses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Mann und Frau war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neuen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Regelungen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schließlich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am 1.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Juli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1958 in Kraft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traten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nicht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erreicht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worden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:rsidR="00F1478B" w:rsidRPr="00594838" w:rsidRDefault="00F1478B" w:rsidP="00F14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Jedoch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war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Gesetz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bedeutender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Schritt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Gleichberechtigung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wandelnden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Nachkriegsgesellschaft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1958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wurde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Letztentscheidungsrecht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Fragen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Erziehung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Bundesverfassungsgericht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aufgehoben. Neue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Regelungen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Mutterschutz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oder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über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Rechte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nichtehelicher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Kinder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folgten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wenige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Jahre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später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ersten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Gesetz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zur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Reform des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-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Familienrechts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wurde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schließlich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1977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eine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vorgeschriebene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Aufgabenteilung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abgeschafft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1994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wurde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dann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Artikel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3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Absatz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2 des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Grundgesetzes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um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folgenden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Passus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ergänzt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: „Der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Staat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fördert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tatsächliche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Durchsetzung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der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Gleichberechtigung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Frauen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Männern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wirkt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auf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Beseitigung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bestehender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Nachteile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proofErr w:type="gram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hin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“</w:t>
      </w:r>
      <w:proofErr w:type="gram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gleichen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Jahr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trat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 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zweite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Gleichberechtigungsgesetz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in Kraft, das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unter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anderem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die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Vereinbarkeit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von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Familie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und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Beruf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fördern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sollte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.  </w:t>
      </w:r>
      <w:r w:rsidRPr="00594838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spellStart"/>
      <w:r w:rsidRPr="00594838">
        <w:rPr>
          <w:rFonts w:ascii="Times New Roman" w:eastAsia="Times New Roman" w:hAnsi="Times New Roman" w:cs="Times New Roman"/>
          <w:sz w:val="24"/>
          <w:szCs w:val="24"/>
          <w:lang w:eastAsia="it-IT"/>
        </w:rPr>
        <w:t>lau</w:t>
      </w:r>
      <w:proofErr w:type="spellEnd"/>
      <w:r w:rsidRPr="00594838">
        <w:rPr>
          <w:rFonts w:ascii="Times New Roman" w:eastAsia="Times New Roman" w:hAnsi="Times New Roman" w:cs="Times New Roman"/>
          <w:sz w:val="24"/>
          <w:szCs w:val="24"/>
          <w:lang w:eastAsia="it-IT"/>
        </w:rPr>
        <w:t>/27.04.2022)</w:t>
      </w:r>
    </w:p>
    <w:p w:rsidR="004D1C1E" w:rsidRDefault="004D1C1E" w:rsidP="00F1478B">
      <w:pPr>
        <w:spacing w:after="0" w:line="240" w:lineRule="auto"/>
      </w:pPr>
      <w:bookmarkStart w:id="0" w:name="_GoBack"/>
      <w:bookmarkEnd w:id="0"/>
    </w:p>
    <w:sectPr w:rsidR="004D1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8B"/>
    <w:rsid w:val="004D1C1E"/>
    <w:rsid w:val="00F1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1464"/>
  <w15:chartTrackingRefBased/>
  <w15:docId w15:val="{27332F66-FECE-4472-B822-6AA1582B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478B"/>
  </w:style>
  <w:style w:type="paragraph" w:styleId="Titolo1">
    <w:name w:val="heading 1"/>
    <w:basedOn w:val="Normale"/>
    <w:next w:val="Normale"/>
    <w:link w:val="Titolo1Carattere"/>
    <w:uiPriority w:val="9"/>
    <w:qFormat/>
    <w:rsid w:val="00F14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4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erver.bundestag.de/btd/02/001/0200178.pdf" TargetMode="External"/><Relationship Id="rId5" Type="http://schemas.openxmlformats.org/officeDocument/2006/relationships/hyperlink" Target="https://dserver.bundestag.de/btd/02/001/0200112.pdf" TargetMode="External"/><Relationship Id="rId4" Type="http://schemas.openxmlformats.org/officeDocument/2006/relationships/hyperlink" Target="https://dserver.bundestag.de/btd/02/002/0200224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RICCARDI ALESSANDRA</dc:creator>
  <cp:keywords/>
  <dc:description/>
  <cp:lastModifiedBy>RICCARDI ALESSANDRA</cp:lastModifiedBy>
  <cp:revision>1</cp:revision>
  <dcterms:created xsi:type="dcterms:W3CDTF">2024-02-20T08:42:00Z</dcterms:created>
  <dcterms:modified xsi:type="dcterms:W3CDTF">2024-02-20T08:43:00Z</dcterms:modified>
</cp:coreProperties>
</file>