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9D66B" w14:textId="77777777" w:rsidR="00B01809" w:rsidRP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0E0E"/>
          <w:sz w:val="55"/>
          <w:szCs w:val="55"/>
          <w:lang w:val="en-US"/>
        </w:rPr>
      </w:pP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Tenemos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más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recursos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renovables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(sol y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viento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)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que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mayoría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países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nuestro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entorno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, y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además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disponemos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terreno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suficiente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su</w:t>
      </w:r>
      <w:proofErr w:type="spellEnd"/>
      <w:r>
        <w:rPr>
          <w:rFonts w:ascii="Helvetica" w:hAnsi="Helvetica" w:cs="Helvetica"/>
          <w:color w:val="0E0E0E"/>
          <w:sz w:val="55"/>
          <w:szCs w:val="5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E0E0E"/>
          <w:sz w:val="55"/>
          <w:szCs w:val="55"/>
          <w:lang w:val="en-US"/>
        </w:rPr>
        <w:t>desarrollo</w:t>
      </w:r>
      <w:bookmarkStart w:id="0" w:name="_GoBack"/>
      <w:bookmarkEnd w:id="0"/>
      <w:proofErr w:type="spellEnd"/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60"/>
      </w:tblGrid>
      <w:tr w:rsidR="00B01809" w14:paraId="5FEEB737" w14:textId="77777777">
        <w:tblPrEx>
          <w:tblCellMar>
            <w:top w:w="0" w:type="dxa"/>
            <w:bottom w:w="0" w:type="dxa"/>
          </w:tblCellMar>
        </w:tblPrEx>
        <w:tc>
          <w:tcPr>
            <w:tcW w:w="5360" w:type="dxa"/>
            <w:tcMar>
              <w:top w:w="320" w:type="nil"/>
              <w:left w:w="360" w:type="nil"/>
              <w:bottom w:w="240" w:type="nil"/>
              <w:right w:w="320" w:type="nil"/>
            </w:tcMar>
            <w:vAlign w:val="center"/>
          </w:tcPr>
          <w:p w14:paraId="07338E82" w14:textId="77777777" w:rsidR="00B01809" w:rsidRDefault="00B01809" w:rsidP="00B0180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</w:p>
        </w:tc>
      </w:tr>
    </w:tbl>
    <w:p w14:paraId="63F79657" w14:textId="77777777" w:rsidR="00B01809" w:rsidRP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646464"/>
          <w:lang w:val="en-US"/>
        </w:rPr>
      </w:pPr>
    </w:p>
    <w:p w14:paraId="2C4F6DE2" w14:textId="77777777" w:rsidR="00B01809" w:rsidRDefault="00B01809" w:rsidP="00B018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  <w:lang w:val="en-US"/>
        </w:rPr>
      </w:pPr>
    </w:p>
    <w:p w14:paraId="7E374E9D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2ACFE33C" w14:textId="77777777" w:rsidR="00B01809" w:rsidRPr="00B01809" w:rsidRDefault="00B01809" w:rsidP="00B018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FFFF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FFFFFF"/>
          <w:sz w:val="28"/>
          <w:szCs w:val="28"/>
          <w:lang w:val="en-US"/>
        </w:rPr>
        <w:t>De</w:t>
      </w:r>
      <w:r>
        <w:rPr>
          <w:rFonts w:ascii="Helvetica" w:hAnsi="Helvetica" w:cs="Helvetica"/>
          <w:color w:val="343434"/>
          <w:sz w:val="44"/>
          <w:szCs w:val="44"/>
          <w:lang w:val="en-US"/>
        </w:rPr>
        <w:t>En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últimos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años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y con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carácter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urgencia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etapa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recuperación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poscovid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afrontamos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Gobiernos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empresas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expertos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debatido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planteado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propuestas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sobre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dónde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dirigir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inversión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acelerar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economías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crear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empleo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función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un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nuevo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modelo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productivo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promueva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sostenible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resiliente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044D3491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debate, la Unión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Europea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Gobiernos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nacionales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identificado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transición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verde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digitalización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ejes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clave del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relanzamiento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modernización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nuestras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economías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hecho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respaldando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con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mecanismos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estímulo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recursos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decisión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alinear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con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rotundidad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nunca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crecimiento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lastRenderedPageBreak/>
        <w:t>países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con </w:t>
      </w:r>
      <w:hyperlink r:id="rId4" w:history="1"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una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estrategia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para la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descarbonización</w:t>
        </w:r>
        <w:proofErr w:type="spellEnd"/>
      </w:hyperlink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base para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diseño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programas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recuperación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20E641E5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Uno de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impactos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importantes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nuestro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comportamiento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sociedad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provocado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situación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sanitaria actual, ha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sido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toma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consciencia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hyperlink r:id="rId5" w:history="1"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la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vulnerabilidad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de un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mundo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globalizado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frente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a crisis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inesperadas</w:t>
        </w:r>
        <w:proofErr w:type="spellEnd"/>
      </w:hyperlink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desencadenas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i/>
          <w:iCs/>
          <w:color w:val="343434"/>
          <w:sz w:val="44"/>
          <w:szCs w:val="44"/>
          <w:lang w:val="en-US"/>
        </w:rPr>
        <w:t>naturaleza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ejemplo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recientes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incendios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devastadores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California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Oregón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recurrentes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cada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año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difíciles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controlar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3C7AAFE7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Lejos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relegar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luchar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contra la crisis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climática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se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puesto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valor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cuestiones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mejora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calidad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aire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ciudades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—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atraerán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al 70% de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población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media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mundial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2050—,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revertir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frecuencia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creciente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fenómenos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meteorológicos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severos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oportunidad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promover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activamente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políticas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sobre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clima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con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objetivo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transformar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preocupación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social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comprensión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comprensión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acción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Atajar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cambio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climático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transformar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economía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son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demandas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sociales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crecientes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urgentes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y no solo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consecuencia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revolución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tecnológica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mejor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garantía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transformación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inevitable.</w:t>
      </w:r>
    </w:p>
    <w:p w14:paraId="49BB1639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otra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parte,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hecho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mitad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del PIB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mundial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se produce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países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con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compromisos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neutralidad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emisiones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2050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parece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confirmar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primeras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economías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planeta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confían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un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crecimiento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indisociable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sostenibilidad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tanto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momento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sentar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bases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economía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descarbonizada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respuesta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desafíos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climáticos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productivos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sociales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demandan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ciudadanos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además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labor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urgente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prioritaria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2950525D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electricidad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forma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energía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renovables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ha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conseguido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incorporar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España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ejemplo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renovables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superan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ya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potencia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instalada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resto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fuentes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energía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Península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su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producción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—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según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datos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Red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Eléctrica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Española (REE)—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representa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torno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un 40% del </w:t>
      </w:r>
      <w:r>
        <w:rPr>
          <w:rFonts w:ascii="Helvetica" w:hAnsi="Helvetica" w:cs="Helvetica"/>
          <w:i/>
          <w:iCs/>
          <w:color w:val="343434"/>
          <w:sz w:val="44"/>
          <w:szCs w:val="44"/>
          <w:lang w:val="en-US"/>
        </w:rPr>
        <w:t>mix</w:t>
      </w:r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generación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total.</w:t>
      </w:r>
    </w:p>
    <w:p w14:paraId="09748278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Hoy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hoy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capaces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producir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electricidad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renovable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a un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coste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competitivo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Según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Agencia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Internacional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Energías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Renovables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(IRENA),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precio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del panel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fotovoltaico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ha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caído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un 80%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desde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2009 y entre un 30%-40% el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turbinas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eólicas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y se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esperan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descensos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costes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hasta un 30%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2030.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circunstancia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ha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permitido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hyperlink r:id="rId6" w:history="1"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en los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últimos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5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años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se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haya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instalado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en el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mundo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la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misma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capacidad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renovable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—solar y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eólica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—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que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en los 15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anteriores</w:t>
        </w:r>
        <w:proofErr w:type="spellEnd"/>
      </w:hyperlink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aunque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tendencia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se ha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estabilizado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lo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cierto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desde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2017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ya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instala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capacidad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solar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cualquier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otra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tecnología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mundo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tanto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electricidad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verde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contiene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gran parte de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respuesta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forma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eficiente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reducir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emisiones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mejorar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calidad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aire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55BDF069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En Europa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emisiones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asociadas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generación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electricidad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no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parado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disminuir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últimos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años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un -36%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desde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1990 (un -4,3% en 2019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frente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2018), y 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nivel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mundial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estabilizado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(el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aumento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consumo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eléctrico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global se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compensa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con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auge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renovables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). Sin embargo, </w:t>
      </w:r>
      <w:hyperlink r:id="rId7" w:history="1"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las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emisiones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totales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de CO2, con el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transporte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a la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cabeza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,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parecen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no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tener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freno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y,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según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algunos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estudios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(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como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el Global Carbon Project),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alcanzaron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un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nuevo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récord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mundial</w:t>
        </w:r>
        <w:proofErr w:type="spellEnd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 xml:space="preserve"> en 2019</w:t>
        </w:r>
      </w:hyperlink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debido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en la mayor parte de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países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industrializados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el peso de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electricidad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consumo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total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energía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final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relativamente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reducido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torno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al 25%.</w:t>
      </w:r>
    </w:p>
    <w:p w14:paraId="72BCDC89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ello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descarbonizar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economía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implica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actuar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sobre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totalidad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nuestras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necesidades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energéticas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y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alcanzar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neutralidad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carbono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2050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debemos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transformar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todos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cada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sectores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: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transporte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climatización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…</w:t>
      </w:r>
    </w:p>
    <w:p w14:paraId="52655F4A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Y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contexto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primera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vez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siglos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España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encuentra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posición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ventaja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16058CE7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Tenemos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recursos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renovables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(sol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viento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)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mayoría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países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nuestro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entorno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además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disponemos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terreno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idóneo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cantidad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suficiente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su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desarrollo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Así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futura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economía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descarbonizada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través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electrificación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coste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suministro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energético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España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será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inferior al de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países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nuestro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entorno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mejorando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no solo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medio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ambiente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sino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también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nuestra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competitividad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económica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6DFB266C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Contamos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con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nacional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referencia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mundial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está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preparada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descarbonizar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el sector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energético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aceleradamente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verá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reforzada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su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posición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solvencia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sirviendo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arrastre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economía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española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Destaca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su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relevancia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eólica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la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fabricación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bienes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equipo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eléctrico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no solo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capaz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proveer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necesidades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país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sino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ya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exportadora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un 50%.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aceleración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transición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energética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con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fomento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energías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renovables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con un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fortalecimiento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digitalización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la red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eléctrica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generará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empleo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fortalecerá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desarrollo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tecnológico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consolidará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aún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mercado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internacional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56FDF964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Pero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oportunidades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desarrollo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industrial,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trasformación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económica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social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tenemos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momentos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obligación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aprovechar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van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allá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fortalecer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asociadas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descarbonización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ya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existentes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España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descarbonizar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economía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necesario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sustituir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equipamientos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actuales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producción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calor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edificios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(calderas de gas y calderas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diésel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) y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medios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transporte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terrestre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privados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públicos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(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coches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taxis y autobuses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combustión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),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tarea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también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oportunidad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transformar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el sector de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automoción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existente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España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desarrollar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cadena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valor industrial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asociada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calefacción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cero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emisiones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(</w:t>
      </w:r>
      <w:hyperlink r:id="rId8" w:history="1">
        <w:proofErr w:type="spellStart"/>
        <w:r>
          <w:rPr>
            <w:rFonts w:ascii="Helvetica" w:hAnsi="Helvetica" w:cs="Helvetica"/>
            <w:color w:val="343434"/>
            <w:sz w:val="44"/>
            <w:szCs w:val="44"/>
            <w:lang w:val="en-US"/>
          </w:rPr>
          <w:t>aerotermia</w:t>
        </w:r>
        <w:proofErr w:type="spellEnd"/>
      </w:hyperlink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), al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autoconsumo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doméstico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al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desarrollo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baterías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a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producción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hidrógeno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verde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uso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industrial.</w:t>
      </w:r>
    </w:p>
    <w:p w14:paraId="68554A6A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transición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hará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todos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países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mundo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Si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hacemos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antes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bien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exportaremos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equipamientos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necesarios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dichos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países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generando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riqueza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empleo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nuestra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;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pero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si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hacemos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tarde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mal,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seremos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importadores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equipos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fabricados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aquellos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países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hayan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realizado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transición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forma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anticipada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2B14C396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Hacerlo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bien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no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fácil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requiere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trabajo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todos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atraer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ingente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inversión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necesaria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requiere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un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marco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regulatorio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estable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aceleración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tramitaciones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administrativas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quizás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desarrollando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un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nuevo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régimen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transitorio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tramitaciones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acorde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con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momento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extraordinario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vivimos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Además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provocar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sustitución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equipamientos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calefacción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transporte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basados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energías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fósiles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hay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enviar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señal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ciudadanos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lo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limpio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hoy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ya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barato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lo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que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contamina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caro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mediante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reforma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fiscal.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También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necesario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un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comportamiento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ejemplarizante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Administración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pública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descarbonizando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flotas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mantenimiento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los taxis y autobuses y los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edificios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públicos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56A02DBA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Finalmente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desarrollar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nuevas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asociadas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transición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necesita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implementación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proyectos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emblemáticos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I+D,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permitiendo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creación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un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embrión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conocimiento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escalable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posteriormente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ámbito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industrial.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modernización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formación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del capital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humano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adaptándola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nuevas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necesidades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otra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palancas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movilizar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tener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éxito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en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creación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una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industria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competitiva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futuro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5A072969" w14:textId="77777777" w:rsidR="00B01809" w:rsidRDefault="00B01809" w:rsidP="00B0180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en-US"/>
        </w:rPr>
      </w:pPr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tarea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ardua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pero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potencial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mejora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económica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calidad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vida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cohesión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social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también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enorme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El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Gobierno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Administración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pública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deben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liderar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pero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las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empresas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tenemos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obligación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acompañar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y de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apostar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con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inversiones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por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este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cambio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necesario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nuestra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responsabilidad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 xml:space="preserve"> con la </w:t>
      </w:r>
      <w:proofErr w:type="spellStart"/>
      <w:r>
        <w:rPr>
          <w:rFonts w:ascii="Helvetica" w:hAnsi="Helvetica" w:cs="Helvetica"/>
          <w:color w:val="343434"/>
          <w:sz w:val="44"/>
          <w:szCs w:val="44"/>
          <w:lang w:val="en-US"/>
        </w:rPr>
        <w:t>sociedad</w:t>
      </w:r>
      <w:proofErr w:type="spellEnd"/>
      <w:r>
        <w:rPr>
          <w:rFonts w:ascii="Helvetica" w:hAnsi="Helvetica" w:cs="Helvetica"/>
          <w:color w:val="343434"/>
          <w:sz w:val="44"/>
          <w:szCs w:val="44"/>
          <w:lang w:val="en-US"/>
        </w:rPr>
        <w:t>.</w:t>
      </w:r>
    </w:p>
    <w:p w14:paraId="5FCC901D" w14:textId="77777777" w:rsidR="006C0571" w:rsidRDefault="00B01809" w:rsidP="00B01809">
      <w:proofErr w:type="spellStart"/>
      <w:r>
        <w:rPr>
          <w:rFonts w:ascii="Helvetica" w:hAnsi="Helvetica" w:cs="Helvetica"/>
          <w:color w:val="343434"/>
          <w:sz w:val="34"/>
          <w:szCs w:val="34"/>
          <w:lang w:val="en-US"/>
        </w:rPr>
        <w:t>Ángeles</w:t>
      </w:r>
      <w:proofErr w:type="spellEnd"/>
      <w:r>
        <w:rPr>
          <w:rFonts w:ascii="Helvetica" w:hAnsi="Helvetica" w:cs="Helvetica"/>
          <w:color w:val="343434"/>
          <w:sz w:val="34"/>
          <w:szCs w:val="3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34"/>
          <w:szCs w:val="34"/>
          <w:lang w:val="en-US"/>
        </w:rPr>
        <w:t>Santamaría</w:t>
      </w:r>
      <w:proofErr w:type="spellEnd"/>
      <w:r>
        <w:rPr>
          <w:rFonts w:ascii="Helvetica" w:hAnsi="Helvetica" w:cs="Helvetica"/>
          <w:color w:val="343434"/>
          <w:sz w:val="34"/>
          <w:szCs w:val="3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34"/>
          <w:szCs w:val="34"/>
          <w:lang w:val="en-US"/>
        </w:rPr>
        <w:t>es</w:t>
      </w:r>
      <w:proofErr w:type="spellEnd"/>
      <w:r>
        <w:rPr>
          <w:rFonts w:ascii="Helvetica" w:hAnsi="Helvetica" w:cs="Helvetica"/>
          <w:color w:val="343434"/>
          <w:sz w:val="34"/>
          <w:szCs w:val="34"/>
          <w:lang w:val="en-US"/>
        </w:rPr>
        <w:t xml:space="preserve"> CEO de </w:t>
      </w:r>
      <w:proofErr w:type="spellStart"/>
      <w:r>
        <w:rPr>
          <w:rFonts w:ascii="Helvetica" w:hAnsi="Helvetica" w:cs="Helvetica"/>
          <w:color w:val="343434"/>
          <w:sz w:val="34"/>
          <w:szCs w:val="34"/>
          <w:lang w:val="en-US"/>
        </w:rPr>
        <w:t>Iberdrola</w:t>
      </w:r>
      <w:proofErr w:type="spellEnd"/>
      <w:r>
        <w:rPr>
          <w:rFonts w:ascii="Helvetica" w:hAnsi="Helvetica" w:cs="Helvetica"/>
          <w:color w:val="343434"/>
          <w:sz w:val="34"/>
          <w:szCs w:val="34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43434"/>
          <w:sz w:val="34"/>
          <w:szCs w:val="34"/>
          <w:lang w:val="en-US"/>
        </w:rPr>
        <w:t>España</w:t>
      </w:r>
      <w:proofErr w:type="spellEnd"/>
      <w:r>
        <w:rPr>
          <w:rFonts w:ascii="Helvetica" w:hAnsi="Helvetica" w:cs="Helvetica"/>
          <w:color w:val="343434"/>
          <w:sz w:val="34"/>
          <w:szCs w:val="34"/>
          <w:lang w:val="en-US"/>
        </w:rPr>
        <w:t>.</w:t>
      </w:r>
    </w:p>
    <w:sectPr w:rsidR="006C0571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09"/>
    <w:rsid w:val="006C0571"/>
    <w:rsid w:val="0088138A"/>
    <w:rsid w:val="00B0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3CC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cincodias.elpais.com/cincodias/2020/07/05/companias/1593970822_671423.html" TargetMode="External"/><Relationship Id="rId5" Type="http://schemas.openxmlformats.org/officeDocument/2006/relationships/hyperlink" Target="https://elpais.com/economia/2020-08-08/la-globalizacion-cojea-y-el-mundo-se-hace-mas-pequeno.html" TargetMode="External"/><Relationship Id="rId6" Type="http://schemas.openxmlformats.org/officeDocument/2006/relationships/hyperlink" Target="https://elpais.com/economia/2020-09-02/el-75-de-la-nueva-capacidad-electrica-instalada-en-el-mundo-ya-es-renovable.html" TargetMode="External"/><Relationship Id="rId7" Type="http://schemas.openxmlformats.org/officeDocument/2006/relationships/hyperlink" Target="https://elpais.com/sociedad/2019/12/03/actualidad/1575400446_816435.html" TargetMode="External"/><Relationship Id="rId8" Type="http://schemas.openxmlformats.org/officeDocument/2006/relationships/hyperlink" Target="https://elpais.com/economia/2017/02/17/actualidad/1487346136_895968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1347</Words>
  <Characters>7678</Characters>
  <Application>Microsoft Macintosh Word</Application>
  <DocSecurity>0</DocSecurity>
  <Lines>63</Lines>
  <Paragraphs>18</Paragraphs>
  <ScaleCrop>false</ScaleCrop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2020-10-02T07:12:00Z</dcterms:created>
  <dcterms:modified xsi:type="dcterms:W3CDTF">2020-10-02T07:14:00Z</dcterms:modified>
</cp:coreProperties>
</file>