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79C0E" w14:textId="77777777" w:rsidR="00DA65B6" w:rsidRPr="00D160D5" w:rsidRDefault="00C65C06">
      <w:pPr>
        <w:rPr>
          <w:rFonts w:ascii="Times New Roman" w:hAnsi="Times New Roman" w:cs="Times New Roman"/>
          <w:b/>
          <w:sz w:val="24"/>
          <w:szCs w:val="24"/>
        </w:rPr>
      </w:pPr>
      <w:r w:rsidRPr="00D160D5">
        <w:rPr>
          <w:rFonts w:ascii="Times New Roman" w:hAnsi="Times New Roman" w:cs="Times New Roman"/>
          <w:b/>
          <w:sz w:val="24"/>
          <w:szCs w:val="24"/>
        </w:rPr>
        <w:t xml:space="preserve">Traumatologie </w:t>
      </w:r>
      <w:proofErr w:type="spellStart"/>
      <w:r w:rsidRPr="00D160D5"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 w:rsidRPr="00D160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60D5">
        <w:rPr>
          <w:rFonts w:ascii="Times New Roman" w:hAnsi="Times New Roman" w:cs="Times New Roman"/>
          <w:b/>
          <w:sz w:val="24"/>
          <w:szCs w:val="24"/>
        </w:rPr>
        <w:t>Mund</w:t>
      </w:r>
      <w:proofErr w:type="spellEnd"/>
      <w:r w:rsidRPr="00D160D5">
        <w:rPr>
          <w:rFonts w:ascii="Times New Roman" w:hAnsi="Times New Roman" w:cs="Times New Roman"/>
          <w:b/>
          <w:sz w:val="24"/>
          <w:szCs w:val="24"/>
        </w:rPr>
        <w:t>-Kiefer-</w:t>
      </w:r>
      <w:proofErr w:type="spellStart"/>
      <w:r w:rsidRPr="00D160D5">
        <w:rPr>
          <w:rFonts w:ascii="Times New Roman" w:hAnsi="Times New Roman" w:cs="Times New Roman"/>
          <w:b/>
          <w:sz w:val="24"/>
          <w:szCs w:val="24"/>
        </w:rPr>
        <w:t>Gesichtsbereich</w:t>
      </w:r>
      <w:proofErr w:type="spellEnd"/>
    </w:p>
    <w:p w14:paraId="143AAB5E" w14:textId="77777777" w:rsidR="00C65C06" w:rsidRPr="00D160D5" w:rsidRDefault="00C65C06">
      <w:pPr>
        <w:rPr>
          <w:rFonts w:ascii="Times New Roman" w:hAnsi="Times New Roman" w:cs="Times New Roman"/>
          <w:b/>
          <w:sz w:val="24"/>
          <w:szCs w:val="24"/>
        </w:rPr>
      </w:pPr>
    </w:p>
    <w:p w14:paraId="29CCE64E" w14:textId="77777777" w:rsidR="00C65C06" w:rsidRPr="00D160D5" w:rsidRDefault="00C65C0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60D5">
        <w:rPr>
          <w:rFonts w:ascii="Times New Roman" w:hAnsi="Times New Roman" w:cs="Times New Roman"/>
          <w:b/>
          <w:sz w:val="24"/>
          <w:szCs w:val="24"/>
        </w:rPr>
        <w:t>Einleitung</w:t>
      </w:r>
      <w:proofErr w:type="spellEnd"/>
    </w:p>
    <w:p w14:paraId="444E7FE3" w14:textId="77777777" w:rsidR="00C65C06" w:rsidRDefault="00C65C0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Die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Behandlung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Verletzungen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Mund-Kiefer-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Gesichtsbereich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erschöpft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keinesfalls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in der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chirurgischen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Versorgung von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Weichteil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- und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Knochenverletzungen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. Selbst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isolierten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scheinbar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problemlosen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Kiefer-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Gesichtsverletzungen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können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andere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Organe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das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Zentralnervensystem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, die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Augen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, die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Halswirbelsäule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oder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Halsweichteile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mitbetroffen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sein. Daher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diesen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Patienten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ebenso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der Versorgung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Polytraumatisierter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berücksichtigen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dass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Behandlung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Rahmen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einer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Gesamtbehandlung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durchzuführen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in den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allgemeinen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Therapieplan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einfügt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. Eine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enge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Zusammenarbeit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den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Fachgebieten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Anästhesie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Chirurgie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Neurochirurgie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Neurologie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Augen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>- und Hals-Nasen-Ohren-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Heilkunde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daher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angezeigt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, um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nach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Möglichkeit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alle operative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Maßnahmen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entweder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einer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oder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zwei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Sitzungen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durchführen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können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77B9459" w14:textId="77777777" w:rsidR="00F75F6C" w:rsidRPr="00D160D5" w:rsidRDefault="00F75F6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28D1071" w14:textId="77777777" w:rsidR="00C65C06" w:rsidRPr="00D160D5" w:rsidRDefault="00C65C0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60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Allgemeine </w:t>
      </w:r>
      <w:proofErr w:type="spellStart"/>
      <w:r w:rsidRPr="00D160D5">
        <w:rPr>
          <w:rFonts w:ascii="Times New Roman" w:hAnsi="Times New Roman" w:cs="Times New Roman"/>
          <w:b/>
          <w:sz w:val="24"/>
          <w:szCs w:val="24"/>
          <w:lang w:val="en-US"/>
        </w:rPr>
        <w:t>Traumatologie</w:t>
      </w:r>
      <w:proofErr w:type="spellEnd"/>
    </w:p>
    <w:p w14:paraId="0342B709" w14:textId="0AF70628" w:rsidR="00C65C06" w:rsidRPr="00D160D5" w:rsidRDefault="00C65C06" w:rsidP="00C65C06">
      <w:pPr>
        <w:pStyle w:val="Puntoelenco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Verletzungen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entstehen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erster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Linie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durch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Gewalteinwirkung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mechanische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Verletzung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gramStart"/>
      <w:r w:rsidRPr="00D160D5">
        <w:rPr>
          <w:rFonts w:ascii="Times New Roman" w:hAnsi="Times New Roman" w:cs="Times New Roman"/>
          <w:sz w:val="24"/>
          <w:szCs w:val="24"/>
          <w:lang w:val="en-US"/>
        </w:rPr>
        <w:t>Man</w:t>
      </w:r>
      <w:proofErr w:type="gram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unterscheidet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i/>
          <w:sz w:val="24"/>
          <w:szCs w:val="24"/>
          <w:lang w:val="en-US"/>
        </w:rPr>
        <w:t>stumpfe</w:t>
      </w:r>
      <w:proofErr w:type="spellEnd"/>
      <w:r w:rsidRPr="00D160D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i/>
          <w:sz w:val="24"/>
          <w:szCs w:val="24"/>
          <w:lang w:val="en-US"/>
        </w:rPr>
        <w:t>Verletzungen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denen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Knochenbrüche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Zerreißungen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Geweben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inneren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Organen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auftreten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, die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Körperoberfläche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jedoch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intakt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bleibt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, und </w:t>
      </w:r>
      <w:proofErr w:type="spellStart"/>
      <w:r w:rsidRPr="00D160D5">
        <w:rPr>
          <w:rFonts w:ascii="Times New Roman" w:hAnsi="Times New Roman" w:cs="Times New Roman"/>
          <w:i/>
          <w:sz w:val="24"/>
          <w:szCs w:val="24"/>
          <w:lang w:val="en-US"/>
        </w:rPr>
        <w:t>perforierende</w:t>
      </w:r>
      <w:proofErr w:type="spellEnd"/>
      <w:r w:rsidRPr="00D160D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i/>
          <w:sz w:val="24"/>
          <w:szCs w:val="24"/>
          <w:lang w:val="en-US"/>
        </w:rPr>
        <w:t>Verletzungen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, die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einer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Zerstörung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äußerer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innerer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Körperoberflächen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einhergehen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daher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hohem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Maße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infektionsgefährdet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. Weiter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können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Verletzungen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durch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i/>
          <w:sz w:val="24"/>
          <w:szCs w:val="24"/>
          <w:lang w:val="en-US"/>
        </w:rPr>
        <w:t>thermische</w:t>
      </w:r>
      <w:proofErr w:type="spellEnd"/>
      <w:r w:rsidRPr="00D160D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i/>
          <w:sz w:val="24"/>
          <w:szCs w:val="24"/>
          <w:lang w:val="en-US"/>
        </w:rPr>
        <w:t>Schäden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Erfrierungen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Verbrennungen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durch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i/>
          <w:sz w:val="24"/>
          <w:szCs w:val="24"/>
          <w:lang w:val="en-US"/>
        </w:rPr>
        <w:t>Chemikalien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oder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i/>
          <w:sz w:val="24"/>
          <w:szCs w:val="24"/>
          <w:lang w:val="en-US"/>
        </w:rPr>
        <w:t>elektrischen</w:t>
      </w:r>
      <w:proofErr w:type="spellEnd"/>
      <w:r w:rsidRPr="00D160D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Strom</w:t>
      </w:r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entstehen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. Bei </w:t>
      </w:r>
      <w:proofErr w:type="spellStart"/>
      <w:r w:rsidRPr="00D160D5">
        <w:rPr>
          <w:rFonts w:ascii="Times New Roman" w:hAnsi="Times New Roman" w:cs="Times New Roman"/>
          <w:i/>
          <w:sz w:val="24"/>
          <w:szCs w:val="24"/>
          <w:lang w:val="en-US"/>
        </w:rPr>
        <w:t>Kombinationsverletzungen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polytraumatisierte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Patienten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regelmäßig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mehrere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Körperabschnitte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gleichzeitig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betroffen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Schädel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-Hirn-Trauma,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Lungenkontusion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Ektremitätenverletzungen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>, Rippen-</w:t>
      </w:r>
      <w:r w:rsidR="00BD497B" w:rsidRPr="00D160D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Wirbelsäulen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-,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Beckenfrakturen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Organzerreißungen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31747B15" w14:textId="77777777" w:rsidR="00C65C06" w:rsidRPr="00D160D5" w:rsidRDefault="00C65C06" w:rsidP="00C65C06">
      <w:pPr>
        <w:pStyle w:val="Puntoelenco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val="en-US"/>
        </w:rPr>
      </w:pPr>
    </w:p>
    <w:p w14:paraId="5CA2B1EA" w14:textId="77777777" w:rsidR="00C65C06" w:rsidRPr="00D160D5" w:rsidRDefault="00C65C06" w:rsidP="00C65C06">
      <w:pPr>
        <w:pStyle w:val="Puntoelenco"/>
        <w:numPr>
          <w:ilvl w:val="0"/>
          <w:numId w:val="0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160D5">
        <w:rPr>
          <w:rFonts w:ascii="Times New Roman" w:hAnsi="Times New Roman" w:cs="Times New Roman"/>
          <w:b/>
          <w:sz w:val="24"/>
          <w:szCs w:val="24"/>
          <w:lang w:val="en-US"/>
        </w:rPr>
        <w:t>Tetanusprophylaxe</w:t>
      </w:r>
      <w:proofErr w:type="spellEnd"/>
    </w:p>
    <w:p w14:paraId="03FFA05D" w14:textId="77777777" w:rsidR="00C65C06" w:rsidRPr="00D160D5" w:rsidRDefault="00C65C06" w:rsidP="00C65C06">
      <w:pPr>
        <w:pStyle w:val="Puntoelenco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Da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Tetanuserkrankung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prinzipiell</w:t>
      </w:r>
      <w:proofErr w:type="spellEnd"/>
      <w:r w:rsidR="00745CB7"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5CB7" w:rsidRPr="00D160D5">
        <w:rPr>
          <w:rFonts w:ascii="Times New Roman" w:hAnsi="Times New Roman" w:cs="Times New Roman"/>
          <w:sz w:val="24"/>
          <w:szCs w:val="24"/>
          <w:lang w:val="en-US"/>
        </w:rPr>
        <w:t>auch</w:t>
      </w:r>
      <w:proofErr w:type="spellEnd"/>
      <w:r w:rsidR="00745CB7"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5CB7" w:rsidRPr="00D160D5"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 w:rsidR="00745CB7"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5CB7" w:rsidRPr="00D160D5">
        <w:rPr>
          <w:rFonts w:ascii="Times New Roman" w:hAnsi="Times New Roman" w:cs="Times New Roman"/>
          <w:sz w:val="24"/>
          <w:szCs w:val="24"/>
          <w:lang w:val="en-US"/>
        </w:rPr>
        <w:t>einer</w:t>
      </w:r>
      <w:proofErr w:type="spellEnd"/>
      <w:r w:rsidR="00745CB7"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5CB7" w:rsidRPr="00D160D5">
        <w:rPr>
          <w:rFonts w:ascii="Times New Roman" w:hAnsi="Times New Roman" w:cs="Times New Roman"/>
          <w:sz w:val="24"/>
          <w:szCs w:val="24"/>
          <w:lang w:val="en-US"/>
        </w:rPr>
        <w:t>banalen</w:t>
      </w:r>
      <w:proofErr w:type="spellEnd"/>
      <w:r w:rsidR="00745CB7"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5CB7" w:rsidRPr="00D160D5">
        <w:rPr>
          <w:rFonts w:ascii="Times New Roman" w:hAnsi="Times New Roman" w:cs="Times New Roman"/>
          <w:sz w:val="24"/>
          <w:szCs w:val="24"/>
          <w:lang w:val="en-US"/>
        </w:rPr>
        <w:t>Wunde</w:t>
      </w:r>
      <w:proofErr w:type="spellEnd"/>
      <w:r w:rsidR="00745CB7"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5CB7" w:rsidRPr="00D160D5">
        <w:rPr>
          <w:rFonts w:ascii="Times New Roman" w:hAnsi="Times New Roman" w:cs="Times New Roman"/>
          <w:sz w:val="24"/>
          <w:szCs w:val="24"/>
          <w:lang w:val="en-US"/>
        </w:rPr>
        <w:t>möglich</w:t>
      </w:r>
      <w:proofErr w:type="spellEnd"/>
      <w:r w:rsidR="00745CB7"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="00745CB7" w:rsidRPr="00D160D5">
        <w:rPr>
          <w:rFonts w:ascii="Times New Roman" w:hAnsi="Times New Roman" w:cs="Times New Roman"/>
          <w:sz w:val="24"/>
          <w:szCs w:val="24"/>
          <w:lang w:val="en-US"/>
        </w:rPr>
        <w:t>immer</w:t>
      </w:r>
      <w:proofErr w:type="spellEnd"/>
      <w:r w:rsidR="00745CB7"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5CB7" w:rsidRPr="00D160D5">
        <w:rPr>
          <w:rFonts w:ascii="Times New Roman" w:hAnsi="Times New Roman" w:cs="Times New Roman"/>
          <w:sz w:val="24"/>
          <w:szCs w:val="24"/>
          <w:lang w:val="en-US"/>
        </w:rPr>
        <w:t>lebensbedrohend</w:t>
      </w:r>
      <w:proofErr w:type="spellEnd"/>
      <w:r w:rsidR="00745CB7"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5CB7" w:rsidRPr="00D160D5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="00745CB7"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, muss der </w:t>
      </w:r>
      <w:proofErr w:type="spellStart"/>
      <w:r w:rsidR="00745CB7" w:rsidRPr="00D160D5">
        <w:rPr>
          <w:rFonts w:ascii="Times New Roman" w:hAnsi="Times New Roman" w:cs="Times New Roman"/>
          <w:sz w:val="24"/>
          <w:szCs w:val="24"/>
          <w:lang w:val="en-US"/>
        </w:rPr>
        <w:t>Tetanusschutz</w:t>
      </w:r>
      <w:proofErr w:type="spellEnd"/>
      <w:r w:rsidR="00745CB7"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="00745CB7" w:rsidRPr="00D160D5">
        <w:rPr>
          <w:rFonts w:ascii="Times New Roman" w:hAnsi="Times New Roman" w:cs="Times New Roman"/>
          <w:sz w:val="24"/>
          <w:szCs w:val="24"/>
          <w:lang w:val="en-US"/>
        </w:rPr>
        <w:t>Patienten</w:t>
      </w:r>
      <w:proofErr w:type="spellEnd"/>
      <w:r w:rsidR="00745CB7"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stets </w:t>
      </w:r>
      <w:proofErr w:type="spellStart"/>
      <w:r w:rsidR="00745CB7" w:rsidRPr="00D160D5">
        <w:rPr>
          <w:rFonts w:ascii="Times New Roman" w:hAnsi="Times New Roman" w:cs="Times New Roman"/>
          <w:sz w:val="24"/>
          <w:szCs w:val="24"/>
          <w:lang w:val="en-US"/>
        </w:rPr>
        <w:t>überprüft</w:t>
      </w:r>
      <w:proofErr w:type="spellEnd"/>
      <w:r w:rsidR="00745CB7"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5CB7" w:rsidRPr="00D160D5">
        <w:rPr>
          <w:rFonts w:ascii="Times New Roman" w:hAnsi="Times New Roman" w:cs="Times New Roman"/>
          <w:sz w:val="24"/>
          <w:szCs w:val="24"/>
          <w:lang w:val="en-US"/>
        </w:rPr>
        <w:t>werden</w:t>
      </w:r>
      <w:proofErr w:type="spellEnd"/>
      <w:r w:rsidR="00745CB7"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45CB7" w:rsidRPr="00D160D5">
        <w:rPr>
          <w:rFonts w:ascii="Times New Roman" w:hAnsi="Times New Roman" w:cs="Times New Roman"/>
          <w:sz w:val="24"/>
          <w:szCs w:val="24"/>
          <w:lang w:val="en-US"/>
        </w:rPr>
        <w:t>Grundvoraussetzung</w:t>
      </w:r>
      <w:proofErr w:type="spellEnd"/>
      <w:r w:rsidR="00745CB7"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5CB7" w:rsidRPr="00D160D5">
        <w:rPr>
          <w:rFonts w:ascii="Times New Roman" w:hAnsi="Times New Roman" w:cs="Times New Roman"/>
          <w:sz w:val="24"/>
          <w:szCs w:val="24"/>
          <w:lang w:val="en-US"/>
        </w:rPr>
        <w:t>zur</w:t>
      </w:r>
      <w:proofErr w:type="spellEnd"/>
      <w:r w:rsidR="00745CB7"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5CB7" w:rsidRPr="00D160D5">
        <w:rPr>
          <w:rFonts w:ascii="Times New Roman" w:hAnsi="Times New Roman" w:cs="Times New Roman"/>
          <w:sz w:val="24"/>
          <w:szCs w:val="24"/>
          <w:lang w:val="en-US"/>
        </w:rPr>
        <w:t>Tetanusprophylaxe</w:t>
      </w:r>
      <w:proofErr w:type="spellEnd"/>
      <w:r w:rsidR="00745CB7"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5CB7" w:rsidRPr="00D160D5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="00745CB7"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="00745CB7" w:rsidRPr="00D160D5">
        <w:rPr>
          <w:rFonts w:ascii="Times New Roman" w:hAnsi="Times New Roman" w:cs="Times New Roman"/>
          <w:sz w:val="24"/>
          <w:szCs w:val="24"/>
          <w:lang w:val="en-US"/>
        </w:rPr>
        <w:t>sofortige</w:t>
      </w:r>
      <w:proofErr w:type="spellEnd"/>
      <w:r w:rsidR="00745CB7"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5CB7" w:rsidRPr="00D160D5">
        <w:rPr>
          <w:rFonts w:ascii="Times New Roman" w:hAnsi="Times New Roman" w:cs="Times New Roman"/>
          <w:sz w:val="24"/>
          <w:szCs w:val="24"/>
          <w:lang w:val="en-US"/>
        </w:rPr>
        <w:t>chirurgische</w:t>
      </w:r>
      <w:proofErr w:type="spellEnd"/>
      <w:r w:rsidR="00745CB7"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5CB7" w:rsidRPr="00D160D5">
        <w:rPr>
          <w:rFonts w:ascii="Times New Roman" w:hAnsi="Times New Roman" w:cs="Times New Roman"/>
          <w:sz w:val="24"/>
          <w:szCs w:val="24"/>
          <w:lang w:val="en-US"/>
        </w:rPr>
        <w:t>Wundversorgung</w:t>
      </w:r>
      <w:proofErr w:type="spellEnd"/>
      <w:r w:rsidR="00745CB7"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5CB7" w:rsidRPr="00D160D5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="00745CB7"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5CB7" w:rsidRPr="00D160D5">
        <w:rPr>
          <w:rFonts w:ascii="Times New Roman" w:hAnsi="Times New Roman" w:cs="Times New Roman"/>
          <w:sz w:val="24"/>
          <w:szCs w:val="24"/>
          <w:lang w:val="en-US"/>
        </w:rPr>
        <w:t>gründlicher</w:t>
      </w:r>
      <w:proofErr w:type="spellEnd"/>
      <w:r w:rsidR="00745CB7"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5CB7" w:rsidRPr="00D160D5">
        <w:rPr>
          <w:rFonts w:ascii="Times New Roman" w:hAnsi="Times New Roman" w:cs="Times New Roman"/>
          <w:sz w:val="24"/>
          <w:szCs w:val="24"/>
          <w:lang w:val="en-US"/>
        </w:rPr>
        <w:t>Reinigung</w:t>
      </w:r>
      <w:proofErr w:type="spellEnd"/>
      <w:r w:rsidR="00745CB7"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="00745CB7" w:rsidRPr="00D160D5">
        <w:rPr>
          <w:rFonts w:ascii="Times New Roman" w:hAnsi="Times New Roman" w:cs="Times New Roman"/>
          <w:sz w:val="24"/>
          <w:szCs w:val="24"/>
          <w:lang w:val="en-US"/>
        </w:rPr>
        <w:t>sorgfältigem</w:t>
      </w:r>
      <w:proofErr w:type="spellEnd"/>
      <w:r w:rsidR="00745CB7"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5CB7" w:rsidRPr="00D160D5">
        <w:rPr>
          <w:rFonts w:ascii="Times New Roman" w:hAnsi="Times New Roman" w:cs="Times New Roman"/>
          <w:sz w:val="24"/>
          <w:szCs w:val="24"/>
          <w:lang w:val="en-US"/>
        </w:rPr>
        <w:t>Débridement</w:t>
      </w:r>
      <w:proofErr w:type="spellEnd"/>
      <w:r w:rsidR="00745CB7" w:rsidRPr="00D160D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0B7C9B5" w14:textId="1264B73B" w:rsidR="00745CB7" w:rsidRPr="00D160D5" w:rsidRDefault="003900DB" w:rsidP="00C65C06">
      <w:pPr>
        <w:pStyle w:val="Puntoelenco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Eine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besondere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Gefahr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geht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kontaminierten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Wunden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aus.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Aber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auch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ausgedehnte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tiefe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Verletzungen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insbesondere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schlecht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durchblutetem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Gewebe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veraltete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sowie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infizierte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Wunden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gefährdet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. Von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jeder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Bi</w:t>
      </w:r>
      <w:r w:rsidR="00F75F6C">
        <w:rPr>
          <w:rFonts w:ascii="Times New Roman" w:hAnsi="Times New Roman" w:cs="Times New Roman"/>
          <w:sz w:val="24"/>
          <w:szCs w:val="24"/>
          <w:lang w:val="en-US"/>
        </w:rPr>
        <w:t>ss</w:t>
      </w:r>
      <w:r w:rsidRPr="00D160D5">
        <w:rPr>
          <w:rFonts w:ascii="Times New Roman" w:hAnsi="Times New Roman" w:cs="Times New Roman"/>
          <w:sz w:val="24"/>
          <w:szCs w:val="24"/>
          <w:lang w:val="en-US"/>
        </w:rPr>
        <w:t>verletzung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kann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Tetanusinfektion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ausgehen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Gleiches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gilt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auch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Entfernung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bislang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reizlos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eingeheilten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Fremdkörpern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5C1E7E4" w14:textId="14F43EB4" w:rsidR="003900DB" w:rsidRPr="00D160D5" w:rsidRDefault="003900DB" w:rsidP="00C65C06">
      <w:pPr>
        <w:pStyle w:val="Puntoelenco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Um das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Risiko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einer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Tetanusinfektion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gering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halten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75F6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D160D5">
        <w:rPr>
          <w:rFonts w:ascii="Times New Roman" w:hAnsi="Times New Roman" w:cs="Times New Roman"/>
          <w:sz w:val="24"/>
          <w:szCs w:val="24"/>
          <w:lang w:val="en-US"/>
        </w:rPr>
        <w:t>tive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Grundimmunisierung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gesamten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Bevölkerung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drei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Tetanustoxoidinjektionen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anzustreben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. Das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Intervall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zwischen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erster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zweiter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Impfung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sollte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vier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Wochen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und das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zwischen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zweiter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dritter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Impfung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6-12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Monate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betragen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. Um die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Boosterung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sicherzustellen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sollten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Intervalle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verkürzt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werden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. Nach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korrekt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abgeschlossener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vollständiger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Grundimmunisierung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alle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zehn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Jahre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Auffrischimpfung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Tetanustoxoid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zum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Erhalt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Immunität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notwendig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. Eine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überlebte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Tetanuserkrankung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hinterlä</w:t>
      </w:r>
      <w:r w:rsidR="00F75F6C">
        <w:rPr>
          <w:rFonts w:ascii="Times New Roman" w:hAnsi="Times New Roman" w:cs="Times New Roman"/>
          <w:sz w:val="24"/>
          <w:szCs w:val="24"/>
          <w:lang w:val="en-US"/>
        </w:rPr>
        <w:t>ss</w:t>
      </w:r>
      <w:r w:rsidRPr="00D160D5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keine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Immunität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Schwangere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können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jederzeit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geimpft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werden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AE9E615" w14:textId="7C2E8041" w:rsidR="003900DB" w:rsidRPr="00D160D5" w:rsidRDefault="003900DB" w:rsidP="00C65C06">
      <w:pPr>
        <w:pStyle w:val="Puntoelenco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lastRenderedPageBreak/>
        <w:t>Im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Verletzungsfall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wird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bewu</w:t>
      </w:r>
      <w:r w:rsidR="00F75F6C">
        <w:rPr>
          <w:rFonts w:ascii="Times New Roman" w:hAnsi="Times New Roman" w:cs="Times New Roman"/>
          <w:sz w:val="24"/>
          <w:szCs w:val="24"/>
          <w:lang w:val="en-US"/>
        </w:rPr>
        <w:t>ss</w:t>
      </w:r>
      <w:r w:rsidRPr="00D160D5">
        <w:rPr>
          <w:rFonts w:ascii="Times New Roman" w:hAnsi="Times New Roman" w:cs="Times New Roman"/>
          <w:sz w:val="24"/>
          <w:szCs w:val="24"/>
          <w:lang w:val="en-US"/>
        </w:rPr>
        <w:t>tlosen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vollständig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oder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zeitgerecht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immunisierten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Patienten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oder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auch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lückenhafter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Impfdokumentation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Simultanprophylaxe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0,5 ml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Tetanustoxoid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und 250 IE Tetanus-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Immunglobulin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Tetanusantitoxin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notwendig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. Die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intramuskulären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Injektionen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erfolgen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kontralaterale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Körperstellen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. Bei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ausgedehnten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veralteten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Wunden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sowie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großfläc</w:t>
      </w:r>
      <w:r w:rsidR="00BD497B" w:rsidRPr="00D160D5">
        <w:rPr>
          <w:rFonts w:ascii="Times New Roman" w:hAnsi="Times New Roman" w:cs="Times New Roman"/>
          <w:sz w:val="24"/>
          <w:szCs w:val="24"/>
          <w:lang w:val="en-US"/>
        </w:rPr>
        <w:t>higen</w:t>
      </w:r>
      <w:proofErr w:type="spellEnd"/>
      <w:r w:rsidR="00BD497B"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497B" w:rsidRPr="00D160D5">
        <w:rPr>
          <w:rFonts w:ascii="Times New Roman" w:hAnsi="Times New Roman" w:cs="Times New Roman"/>
          <w:sz w:val="24"/>
          <w:szCs w:val="24"/>
          <w:lang w:val="en-US"/>
        </w:rPr>
        <w:t>Verbrennungen</w:t>
      </w:r>
      <w:proofErr w:type="spellEnd"/>
      <w:r w:rsidR="00BD497B"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497B" w:rsidRPr="00D160D5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="00BD497B"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497B" w:rsidRPr="00D160D5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="00BD497B"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497B" w:rsidRPr="00D160D5">
        <w:rPr>
          <w:rFonts w:ascii="Times New Roman" w:hAnsi="Times New Roman" w:cs="Times New Roman"/>
          <w:sz w:val="24"/>
          <w:szCs w:val="24"/>
          <w:lang w:val="en-US"/>
        </w:rPr>
        <w:t>Dos</w:t>
      </w:r>
      <w:r w:rsidRPr="00D160D5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von 500 IE Tetanus-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Immunglobulin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angezeigt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. Bei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dieser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Dosierung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trotz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gleichzeitiger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Gabe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weder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Antitoxinwirkung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noch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Antitoxinbildung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nach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Toxoidgabe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behindert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A2C60DA" w14:textId="77777777" w:rsidR="003900DB" w:rsidRPr="00D160D5" w:rsidRDefault="003900DB" w:rsidP="00C65C06">
      <w:pPr>
        <w:pStyle w:val="Puntoelenco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Korrekt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grundimmunisierte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Patienten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gefährdeten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oder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veralteten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Wunden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erhalten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Tetanustoxoid-Auffrischinjektion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wenn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zwischen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letzter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Injektion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Verletzungsfall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mehr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fünf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Jahre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vergangen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38C4348" w14:textId="77777777" w:rsidR="003900DB" w:rsidRPr="00D160D5" w:rsidRDefault="003900DB" w:rsidP="00C65C06">
      <w:pPr>
        <w:pStyle w:val="Puntoelenco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Jede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Art der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Tetanusprophylaxe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muss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dokumentiert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werden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Impfausweis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). Der Patient muss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über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gegebenenfalls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erforderliche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Komplettierung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Immunisierung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aufgeklärt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werden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6FDE634" w14:textId="77777777" w:rsidR="003900DB" w:rsidRPr="00D160D5" w:rsidRDefault="003900DB" w:rsidP="00C65C06">
      <w:pPr>
        <w:pStyle w:val="Puntoelenco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val="en-US"/>
        </w:rPr>
      </w:pPr>
    </w:p>
    <w:p w14:paraId="75752E32" w14:textId="77777777" w:rsidR="003900DB" w:rsidRPr="00D160D5" w:rsidRDefault="003900DB" w:rsidP="00C65C06">
      <w:pPr>
        <w:pStyle w:val="Puntoelenco"/>
        <w:numPr>
          <w:ilvl w:val="0"/>
          <w:numId w:val="0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160D5">
        <w:rPr>
          <w:rFonts w:ascii="Times New Roman" w:hAnsi="Times New Roman" w:cs="Times New Roman"/>
          <w:b/>
          <w:sz w:val="24"/>
          <w:szCs w:val="24"/>
          <w:lang w:val="en-US"/>
        </w:rPr>
        <w:t>Antibiotikaprophylaxe</w:t>
      </w:r>
      <w:proofErr w:type="spellEnd"/>
    </w:p>
    <w:p w14:paraId="062E6A5B" w14:textId="6279432D" w:rsidR="003900DB" w:rsidRDefault="003900DB" w:rsidP="00C65C06">
      <w:pPr>
        <w:pStyle w:val="Puntoelenco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Jede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Wunde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Eröffnung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oro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bzw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nasopharyngealen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Raumes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wird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durch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Wundsetzung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selbst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oder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durch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sekundäre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Keimeinwanderung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60D5">
        <w:rPr>
          <w:rFonts w:ascii="Times New Roman" w:hAnsi="Times New Roman" w:cs="Times New Roman"/>
          <w:sz w:val="24"/>
          <w:szCs w:val="24"/>
          <w:lang w:val="en-US"/>
        </w:rPr>
        <w:t>kontaminiert</w:t>
      </w:r>
      <w:proofErr w:type="spellEnd"/>
      <w:r w:rsidRPr="00D160D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46888">
        <w:rPr>
          <w:rFonts w:ascii="Times New Roman" w:hAnsi="Times New Roman" w:cs="Times New Roman"/>
          <w:sz w:val="24"/>
          <w:szCs w:val="24"/>
          <w:lang w:val="en-US"/>
        </w:rPr>
        <w:t xml:space="preserve"> Es </w:t>
      </w:r>
      <w:proofErr w:type="spellStart"/>
      <w:r w:rsidR="00846888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="00846888">
        <w:rPr>
          <w:rFonts w:ascii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 w:rsidR="00846888">
        <w:rPr>
          <w:rFonts w:ascii="Times New Roman" w:hAnsi="Times New Roman" w:cs="Times New Roman"/>
          <w:sz w:val="24"/>
          <w:szCs w:val="24"/>
          <w:lang w:val="en-US"/>
        </w:rPr>
        <w:t>verschiedenen</w:t>
      </w:r>
      <w:proofErr w:type="spellEnd"/>
      <w:r w:rsidR="00846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6888">
        <w:rPr>
          <w:rFonts w:ascii="Times New Roman" w:hAnsi="Times New Roman" w:cs="Times New Roman"/>
          <w:sz w:val="24"/>
          <w:szCs w:val="24"/>
          <w:lang w:val="en-US"/>
        </w:rPr>
        <w:t>Faktoren</w:t>
      </w:r>
      <w:proofErr w:type="spellEnd"/>
      <w:r w:rsidR="00846888">
        <w:rPr>
          <w:rFonts w:ascii="Times New Roman" w:hAnsi="Times New Roman" w:cs="Times New Roman"/>
          <w:sz w:val="24"/>
          <w:szCs w:val="24"/>
          <w:lang w:val="en-US"/>
        </w:rPr>
        <w:t xml:space="preserve"> und den </w:t>
      </w:r>
      <w:proofErr w:type="spellStart"/>
      <w:r w:rsidR="00846888">
        <w:rPr>
          <w:rFonts w:ascii="Times New Roman" w:hAnsi="Times New Roman" w:cs="Times New Roman"/>
          <w:sz w:val="24"/>
          <w:szCs w:val="24"/>
          <w:lang w:val="en-US"/>
        </w:rPr>
        <w:t>therapeuthischen</w:t>
      </w:r>
      <w:proofErr w:type="spellEnd"/>
      <w:r w:rsidR="00846888">
        <w:rPr>
          <w:rFonts w:ascii="Times New Roman" w:hAnsi="Times New Roman" w:cs="Times New Roman"/>
          <w:sz w:val="24"/>
          <w:szCs w:val="24"/>
          <w:lang w:val="en-US"/>
        </w:rPr>
        <w:t xml:space="preserve"> Maβ</w:t>
      </w:r>
      <w:proofErr w:type="spellStart"/>
      <w:r w:rsidR="00846888">
        <w:rPr>
          <w:rFonts w:ascii="Times New Roman" w:hAnsi="Times New Roman" w:cs="Times New Roman"/>
          <w:sz w:val="24"/>
          <w:szCs w:val="24"/>
          <w:lang w:val="en-US"/>
        </w:rPr>
        <w:t>nahmen</w:t>
      </w:r>
      <w:proofErr w:type="spellEnd"/>
      <w:r w:rsidR="00846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6888">
        <w:rPr>
          <w:rFonts w:ascii="Times New Roman" w:hAnsi="Times New Roman" w:cs="Times New Roman"/>
          <w:sz w:val="24"/>
          <w:szCs w:val="24"/>
          <w:lang w:val="en-US"/>
        </w:rPr>
        <w:t>abhängig</w:t>
      </w:r>
      <w:proofErr w:type="spellEnd"/>
      <w:r w:rsidR="0084688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46888">
        <w:rPr>
          <w:rFonts w:ascii="Times New Roman" w:hAnsi="Times New Roman" w:cs="Times New Roman"/>
          <w:sz w:val="24"/>
          <w:szCs w:val="24"/>
          <w:lang w:val="en-US"/>
        </w:rPr>
        <w:t>ob</w:t>
      </w:r>
      <w:proofErr w:type="spellEnd"/>
      <w:r w:rsidR="00846888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="00846888">
        <w:rPr>
          <w:rFonts w:ascii="Times New Roman" w:hAnsi="Times New Roman" w:cs="Times New Roman"/>
          <w:sz w:val="24"/>
          <w:szCs w:val="24"/>
          <w:lang w:val="en-US"/>
        </w:rPr>
        <w:t>Organismus</w:t>
      </w:r>
      <w:proofErr w:type="spellEnd"/>
      <w:r w:rsidR="00846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6888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="00846888">
        <w:rPr>
          <w:rFonts w:ascii="Times New Roman" w:hAnsi="Times New Roman" w:cs="Times New Roman"/>
          <w:sz w:val="24"/>
          <w:szCs w:val="24"/>
          <w:lang w:val="en-US"/>
        </w:rPr>
        <w:t xml:space="preserve"> den </w:t>
      </w:r>
      <w:proofErr w:type="spellStart"/>
      <w:r w:rsidR="00846888">
        <w:rPr>
          <w:rFonts w:ascii="Times New Roman" w:hAnsi="Times New Roman" w:cs="Times New Roman"/>
          <w:sz w:val="24"/>
          <w:szCs w:val="24"/>
          <w:lang w:val="en-US"/>
        </w:rPr>
        <w:t>eingedrungenen</w:t>
      </w:r>
      <w:proofErr w:type="spellEnd"/>
      <w:r w:rsidR="00846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6888">
        <w:rPr>
          <w:rFonts w:ascii="Times New Roman" w:hAnsi="Times New Roman" w:cs="Times New Roman"/>
          <w:sz w:val="24"/>
          <w:szCs w:val="24"/>
          <w:lang w:val="en-US"/>
        </w:rPr>
        <w:t>Keimen</w:t>
      </w:r>
      <w:proofErr w:type="spellEnd"/>
      <w:r w:rsidR="00846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6888">
        <w:rPr>
          <w:rFonts w:ascii="Times New Roman" w:hAnsi="Times New Roman" w:cs="Times New Roman"/>
          <w:sz w:val="24"/>
          <w:szCs w:val="24"/>
          <w:lang w:val="en-US"/>
        </w:rPr>
        <w:t>fertig</w:t>
      </w:r>
      <w:proofErr w:type="spellEnd"/>
      <w:r w:rsidR="00846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6888">
        <w:rPr>
          <w:rFonts w:ascii="Times New Roman" w:hAnsi="Times New Roman" w:cs="Times New Roman"/>
          <w:sz w:val="24"/>
          <w:szCs w:val="24"/>
          <w:lang w:val="en-US"/>
        </w:rPr>
        <w:t>wird</w:t>
      </w:r>
      <w:proofErr w:type="spellEnd"/>
      <w:r w:rsidR="00846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6888">
        <w:rPr>
          <w:rFonts w:ascii="Times New Roman" w:hAnsi="Times New Roman" w:cs="Times New Roman"/>
          <w:sz w:val="24"/>
          <w:szCs w:val="24"/>
          <w:lang w:val="en-US"/>
        </w:rPr>
        <w:t>oder</w:t>
      </w:r>
      <w:proofErr w:type="spellEnd"/>
      <w:r w:rsidR="00F75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6888">
        <w:rPr>
          <w:rFonts w:ascii="Times New Roman" w:hAnsi="Times New Roman" w:cs="Times New Roman"/>
          <w:sz w:val="24"/>
          <w:szCs w:val="24"/>
          <w:lang w:val="en-US"/>
        </w:rPr>
        <w:t>ob</w:t>
      </w:r>
      <w:proofErr w:type="spellEnd"/>
      <w:r w:rsidR="00846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6888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="00846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6888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="00846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6888">
        <w:rPr>
          <w:rFonts w:ascii="Times New Roman" w:hAnsi="Times New Roman" w:cs="Times New Roman"/>
          <w:sz w:val="24"/>
          <w:szCs w:val="24"/>
          <w:lang w:val="en-US"/>
        </w:rPr>
        <w:t>Infektion</w:t>
      </w:r>
      <w:proofErr w:type="spellEnd"/>
      <w:r w:rsidR="00846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6888">
        <w:rPr>
          <w:rFonts w:ascii="Times New Roman" w:hAnsi="Times New Roman" w:cs="Times New Roman"/>
          <w:sz w:val="24"/>
          <w:szCs w:val="24"/>
          <w:lang w:val="en-US"/>
        </w:rPr>
        <w:t>manifestierti</w:t>
      </w:r>
      <w:proofErr w:type="spellEnd"/>
      <w:r w:rsidR="00846888">
        <w:rPr>
          <w:rFonts w:ascii="Times New Roman" w:hAnsi="Times New Roman" w:cs="Times New Roman"/>
          <w:sz w:val="24"/>
          <w:szCs w:val="24"/>
          <w:lang w:val="en-US"/>
        </w:rPr>
        <w:t xml:space="preserve">. Die </w:t>
      </w:r>
      <w:proofErr w:type="spellStart"/>
      <w:r w:rsidR="00846888">
        <w:rPr>
          <w:rFonts w:ascii="Times New Roman" w:hAnsi="Times New Roman" w:cs="Times New Roman"/>
          <w:sz w:val="24"/>
          <w:szCs w:val="24"/>
          <w:lang w:val="en-US"/>
        </w:rPr>
        <w:t>Wundinfektion</w:t>
      </w:r>
      <w:proofErr w:type="spellEnd"/>
      <w:r w:rsidR="00846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6888">
        <w:rPr>
          <w:rFonts w:ascii="Times New Roman" w:hAnsi="Times New Roman" w:cs="Times New Roman"/>
          <w:sz w:val="24"/>
          <w:szCs w:val="24"/>
          <w:lang w:val="en-US"/>
        </w:rPr>
        <w:t>wird</w:t>
      </w:r>
      <w:proofErr w:type="spellEnd"/>
      <w:r w:rsidR="00846888">
        <w:rPr>
          <w:rFonts w:ascii="Times New Roman" w:hAnsi="Times New Roman" w:cs="Times New Roman"/>
          <w:sz w:val="24"/>
          <w:szCs w:val="24"/>
          <w:lang w:val="en-US"/>
        </w:rPr>
        <w:t xml:space="preserve"> auβer </w:t>
      </w:r>
      <w:proofErr w:type="spellStart"/>
      <w:r w:rsidR="00846888">
        <w:rPr>
          <w:rFonts w:ascii="Times New Roman" w:hAnsi="Times New Roman" w:cs="Times New Roman"/>
          <w:sz w:val="24"/>
          <w:szCs w:val="24"/>
          <w:lang w:val="en-US"/>
        </w:rPr>
        <w:t>vom</w:t>
      </w:r>
      <w:proofErr w:type="spellEnd"/>
      <w:r w:rsidR="00846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6888">
        <w:rPr>
          <w:rFonts w:ascii="Times New Roman" w:hAnsi="Times New Roman" w:cs="Times New Roman"/>
          <w:sz w:val="24"/>
          <w:szCs w:val="24"/>
          <w:lang w:val="en-US"/>
        </w:rPr>
        <w:t>Allgemeinzustand</w:t>
      </w:r>
      <w:proofErr w:type="spellEnd"/>
      <w:r w:rsidR="00846888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="00846888">
        <w:rPr>
          <w:rFonts w:ascii="Times New Roman" w:hAnsi="Times New Roman" w:cs="Times New Roman"/>
          <w:sz w:val="24"/>
          <w:szCs w:val="24"/>
          <w:lang w:val="en-US"/>
        </w:rPr>
        <w:t>Patienten</w:t>
      </w:r>
      <w:proofErr w:type="spellEnd"/>
      <w:r w:rsidR="00846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6888">
        <w:rPr>
          <w:rFonts w:ascii="Times New Roman" w:hAnsi="Times New Roman" w:cs="Times New Roman"/>
          <w:sz w:val="24"/>
          <w:szCs w:val="24"/>
          <w:lang w:val="en-US"/>
        </w:rPr>
        <w:t>durch</w:t>
      </w:r>
      <w:proofErr w:type="spellEnd"/>
      <w:r w:rsidR="00846888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="00846888">
        <w:rPr>
          <w:rFonts w:ascii="Times New Roman" w:hAnsi="Times New Roman" w:cs="Times New Roman"/>
          <w:sz w:val="24"/>
          <w:szCs w:val="24"/>
          <w:lang w:val="en-US"/>
        </w:rPr>
        <w:t>lokalen</w:t>
      </w:r>
      <w:proofErr w:type="spellEnd"/>
      <w:r w:rsidR="00846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6888">
        <w:rPr>
          <w:rFonts w:ascii="Times New Roman" w:hAnsi="Times New Roman" w:cs="Times New Roman"/>
          <w:sz w:val="24"/>
          <w:szCs w:val="24"/>
          <w:lang w:val="en-US"/>
        </w:rPr>
        <w:t>Wundverhältnisse</w:t>
      </w:r>
      <w:proofErr w:type="spellEnd"/>
      <w:r w:rsidR="0084688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46888"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 w:rsidR="00846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6888">
        <w:rPr>
          <w:rFonts w:ascii="Times New Roman" w:hAnsi="Times New Roman" w:cs="Times New Roman"/>
          <w:sz w:val="24"/>
          <w:szCs w:val="24"/>
          <w:lang w:val="en-US"/>
        </w:rPr>
        <w:t>Lokalisation</w:t>
      </w:r>
      <w:proofErr w:type="spellEnd"/>
      <w:r w:rsidR="0084688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46888">
        <w:rPr>
          <w:rFonts w:ascii="Times New Roman" w:hAnsi="Times New Roman" w:cs="Times New Roman"/>
          <w:sz w:val="24"/>
          <w:szCs w:val="24"/>
          <w:lang w:val="en-US"/>
        </w:rPr>
        <w:t>Grö</w:t>
      </w:r>
      <w:proofErr w:type="spellEnd"/>
      <w:r w:rsidR="00846888">
        <w:rPr>
          <w:rFonts w:ascii="Times New Roman" w:hAnsi="Times New Roman" w:cs="Times New Roman"/>
          <w:sz w:val="24"/>
          <w:szCs w:val="24"/>
          <w:lang w:val="en-US"/>
        </w:rPr>
        <w:t xml:space="preserve">βe und Form der </w:t>
      </w:r>
      <w:proofErr w:type="spellStart"/>
      <w:r w:rsidR="00846888">
        <w:rPr>
          <w:rFonts w:ascii="Times New Roman" w:hAnsi="Times New Roman" w:cs="Times New Roman"/>
          <w:sz w:val="24"/>
          <w:szCs w:val="24"/>
          <w:lang w:val="en-US"/>
        </w:rPr>
        <w:t>Wunde</w:t>
      </w:r>
      <w:proofErr w:type="spellEnd"/>
      <w:r w:rsidR="0084688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8229D">
        <w:rPr>
          <w:rFonts w:ascii="Times New Roman" w:hAnsi="Times New Roman" w:cs="Times New Roman"/>
          <w:sz w:val="24"/>
          <w:szCs w:val="24"/>
          <w:lang w:val="en-US"/>
        </w:rPr>
        <w:t xml:space="preserve">das </w:t>
      </w:r>
      <w:proofErr w:type="spellStart"/>
      <w:r w:rsidR="0028229D">
        <w:rPr>
          <w:rFonts w:ascii="Times New Roman" w:hAnsi="Times New Roman" w:cs="Times New Roman"/>
          <w:sz w:val="24"/>
          <w:szCs w:val="24"/>
          <w:lang w:val="en-US"/>
        </w:rPr>
        <w:t>Vorhandensein</w:t>
      </w:r>
      <w:proofErr w:type="spellEnd"/>
      <w:r w:rsidR="0028229D">
        <w:rPr>
          <w:rFonts w:ascii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 w:rsidR="0028229D">
        <w:rPr>
          <w:rFonts w:ascii="Times New Roman" w:hAnsi="Times New Roman" w:cs="Times New Roman"/>
          <w:sz w:val="24"/>
          <w:szCs w:val="24"/>
          <w:lang w:val="en-US"/>
        </w:rPr>
        <w:t>Fremdkörpern</w:t>
      </w:r>
      <w:proofErr w:type="spellEnd"/>
      <w:r w:rsidR="0028229D">
        <w:rPr>
          <w:rFonts w:ascii="Times New Roman" w:hAnsi="Times New Roman" w:cs="Times New Roman"/>
          <w:sz w:val="24"/>
          <w:szCs w:val="24"/>
          <w:lang w:val="en-US"/>
        </w:rPr>
        <w:t xml:space="preserve">, die </w:t>
      </w:r>
      <w:proofErr w:type="spellStart"/>
      <w:r w:rsidR="0028229D">
        <w:rPr>
          <w:rFonts w:ascii="Times New Roman" w:hAnsi="Times New Roman" w:cs="Times New Roman"/>
          <w:sz w:val="24"/>
          <w:szCs w:val="24"/>
          <w:lang w:val="en-US"/>
        </w:rPr>
        <w:t>lokale</w:t>
      </w:r>
      <w:proofErr w:type="spellEnd"/>
      <w:r w:rsidR="002822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229D">
        <w:rPr>
          <w:rFonts w:ascii="Times New Roman" w:hAnsi="Times New Roman" w:cs="Times New Roman"/>
          <w:sz w:val="24"/>
          <w:szCs w:val="24"/>
          <w:lang w:val="en-US"/>
        </w:rPr>
        <w:t>Zirkulation</w:t>
      </w:r>
      <w:proofErr w:type="spellEnd"/>
      <w:r w:rsidR="002822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229D">
        <w:rPr>
          <w:rFonts w:ascii="Times New Roman" w:hAnsi="Times New Roman" w:cs="Times New Roman"/>
          <w:sz w:val="24"/>
          <w:szCs w:val="24"/>
          <w:lang w:val="en-US"/>
        </w:rPr>
        <w:t>sowie</w:t>
      </w:r>
      <w:proofErr w:type="spellEnd"/>
      <w:r w:rsidR="002822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229D">
        <w:rPr>
          <w:rFonts w:ascii="Times New Roman" w:hAnsi="Times New Roman" w:cs="Times New Roman"/>
          <w:sz w:val="24"/>
          <w:szCs w:val="24"/>
          <w:lang w:val="en-US"/>
        </w:rPr>
        <w:t>durch</w:t>
      </w:r>
      <w:proofErr w:type="spellEnd"/>
      <w:r w:rsidR="0028229D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="0028229D">
        <w:rPr>
          <w:rFonts w:ascii="Times New Roman" w:hAnsi="Times New Roman" w:cs="Times New Roman"/>
          <w:sz w:val="24"/>
          <w:szCs w:val="24"/>
          <w:lang w:val="en-US"/>
        </w:rPr>
        <w:t>Anzahl</w:t>
      </w:r>
      <w:proofErr w:type="spellEnd"/>
      <w:r w:rsidR="0028229D">
        <w:rPr>
          <w:rFonts w:ascii="Times New Roman" w:hAnsi="Times New Roman" w:cs="Times New Roman"/>
          <w:sz w:val="24"/>
          <w:szCs w:val="24"/>
          <w:lang w:val="en-US"/>
        </w:rPr>
        <w:t xml:space="preserve"> und die </w:t>
      </w:r>
      <w:proofErr w:type="spellStart"/>
      <w:r w:rsidR="0028229D">
        <w:rPr>
          <w:rFonts w:ascii="Times New Roman" w:hAnsi="Times New Roman" w:cs="Times New Roman"/>
          <w:sz w:val="24"/>
          <w:szCs w:val="24"/>
          <w:lang w:val="en-US"/>
        </w:rPr>
        <w:t>Virulenz</w:t>
      </w:r>
      <w:proofErr w:type="spellEnd"/>
      <w:r w:rsidR="002822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229D">
        <w:rPr>
          <w:rFonts w:ascii="Times New Roman" w:hAnsi="Times New Roman" w:cs="Times New Roman"/>
          <w:sz w:val="24"/>
          <w:szCs w:val="24"/>
          <w:lang w:val="en-US"/>
        </w:rPr>
        <w:t>pathogener</w:t>
      </w:r>
      <w:proofErr w:type="spellEnd"/>
      <w:r w:rsidR="0028229D">
        <w:rPr>
          <w:rFonts w:ascii="Times New Roman" w:hAnsi="Times New Roman" w:cs="Times New Roman"/>
          <w:sz w:val="24"/>
          <w:szCs w:val="24"/>
          <w:lang w:val="en-US"/>
        </w:rPr>
        <w:t xml:space="preserve"> Keime </w:t>
      </w:r>
      <w:proofErr w:type="spellStart"/>
      <w:r w:rsidR="0028229D">
        <w:rPr>
          <w:rFonts w:ascii="Times New Roman" w:hAnsi="Times New Roman" w:cs="Times New Roman"/>
          <w:sz w:val="24"/>
          <w:szCs w:val="24"/>
          <w:lang w:val="en-US"/>
        </w:rPr>
        <w:t>entscheidend</w:t>
      </w:r>
      <w:proofErr w:type="spellEnd"/>
      <w:r w:rsidR="002822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229D">
        <w:rPr>
          <w:rFonts w:ascii="Times New Roman" w:hAnsi="Times New Roman" w:cs="Times New Roman"/>
          <w:sz w:val="24"/>
          <w:szCs w:val="24"/>
          <w:lang w:val="en-US"/>
        </w:rPr>
        <w:t>bestimmt</w:t>
      </w:r>
      <w:proofErr w:type="spellEnd"/>
      <w:r w:rsidR="0028229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5170001" w14:textId="37920FAD" w:rsidR="0028229D" w:rsidRDefault="0028229D" w:rsidP="00C65C06">
      <w:pPr>
        <w:pStyle w:val="Puntoelenco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mehreren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Studien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konnte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der Wert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perioperativen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Antibiotika-Gabe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Kiefer-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Gesichtsverletzungen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nachgewiesen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werden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FACFA44" w14:textId="25DC2D53" w:rsidR="0028229D" w:rsidRPr="00D160D5" w:rsidRDefault="0028229D" w:rsidP="00C65C06">
      <w:pPr>
        <w:pStyle w:val="Puntoelenco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Bei der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Auswahl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Antibiotikums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Kenntnis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möglichen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Erregerspektrums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besonderer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Bedeutung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Bei der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vielfach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vorherrschenden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Mischflora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erscheinen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Breitsprektrum-Penicilline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eventuell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Kombination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Oxacillin,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Cephalosporine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besonders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geeignet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Kein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Antibiotikum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kann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körpereigene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Abwehr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Einhaltung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chirurgischer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Prinzipien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ersetzen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DB2CCEC" w14:textId="0E34524E" w:rsidR="003900DB" w:rsidRPr="00D160D5" w:rsidRDefault="0028229D" w:rsidP="00C65C06">
      <w:pPr>
        <w:pStyle w:val="Puntoelenco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Mittelgesichtsfrakturen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Beteiligung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Schädelbasis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werden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für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zehn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Tage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bzw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bis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Abschlu</w:t>
      </w:r>
      <w:r w:rsidR="00394B8B">
        <w:rPr>
          <w:rFonts w:ascii="Times New Roman" w:hAnsi="Times New Roman" w:cs="Times New Roman"/>
          <w:sz w:val="24"/>
          <w:szCs w:val="24"/>
          <w:lang w:val="en-US"/>
        </w:rPr>
        <w:t>ss</w:t>
      </w:r>
      <w:proofErr w:type="spellEnd"/>
      <w:r w:rsidR="00394B8B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="00394B8B">
        <w:rPr>
          <w:rFonts w:ascii="Times New Roman" w:hAnsi="Times New Roman" w:cs="Times New Roman"/>
          <w:sz w:val="24"/>
          <w:szCs w:val="24"/>
          <w:lang w:val="en-US"/>
        </w:rPr>
        <w:t>fachchirurgischen</w:t>
      </w:r>
      <w:proofErr w:type="spellEnd"/>
      <w:r w:rsidR="00394B8B">
        <w:rPr>
          <w:rFonts w:ascii="Times New Roman" w:hAnsi="Times New Roman" w:cs="Times New Roman"/>
          <w:sz w:val="24"/>
          <w:szCs w:val="24"/>
          <w:lang w:val="en-US"/>
        </w:rPr>
        <w:t xml:space="preserve"> Intervention </w:t>
      </w:r>
      <w:proofErr w:type="spellStart"/>
      <w:r w:rsidR="00394B8B">
        <w:rPr>
          <w:rFonts w:ascii="Times New Roman" w:hAnsi="Times New Roman" w:cs="Times New Roman"/>
          <w:sz w:val="24"/>
          <w:szCs w:val="24"/>
          <w:lang w:val="en-US"/>
        </w:rPr>
        <w:t>antibiotisch</w:t>
      </w:r>
      <w:proofErr w:type="spellEnd"/>
      <w:r w:rsidR="00394B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4B8B">
        <w:rPr>
          <w:rFonts w:ascii="Times New Roman" w:hAnsi="Times New Roman" w:cs="Times New Roman"/>
          <w:sz w:val="24"/>
          <w:szCs w:val="24"/>
          <w:lang w:val="en-US"/>
        </w:rPr>
        <w:t>behandelt</w:t>
      </w:r>
      <w:proofErr w:type="spellEnd"/>
      <w:r w:rsidR="00394B8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394B8B">
        <w:rPr>
          <w:rFonts w:ascii="Times New Roman" w:hAnsi="Times New Roman" w:cs="Times New Roman"/>
          <w:sz w:val="24"/>
          <w:szCs w:val="24"/>
          <w:lang w:val="en-US"/>
        </w:rPr>
        <w:t>Infizierte</w:t>
      </w:r>
      <w:proofErr w:type="spellEnd"/>
      <w:r w:rsidR="00394B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4B8B">
        <w:rPr>
          <w:rFonts w:ascii="Times New Roman" w:hAnsi="Times New Roman" w:cs="Times New Roman"/>
          <w:sz w:val="24"/>
          <w:szCs w:val="24"/>
          <w:lang w:val="en-US"/>
        </w:rPr>
        <w:t>Verletzungen</w:t>
      </w:r>
      <w:proofErr w:type="spellEnd"/>
      <w:r w:rsidR="00394B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4B8B">
        <w:rPr>
          <w:rFonts w:ascii="Times New Roman" w:hAnsi="Times New Roman" w:cs="Times New Roman"/>
          <w:sz w:val="24"/>
          <w:szCs w:val="24"/>
          <w:lang w:val="en-US"/>
        </w:rPr>
        <w:t>sollten</w:t>
      </w:r>
      <w:proofErr w:type="spellEnd"/>
      <w:r w:rsidR="00394B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4B8B">
        <w:rPr>
          <w:rFonts w:ascii="Times New Roman" w:hAnsi="Times New Roman" w:cs="Times New Roman"/>
          <w:sz w:val="24"/>
          <w:szCs w:val="24"/>
          <w:lang w:val="en-US"/>
        </w:rPr>
        <w:t>nach</w:t>
      </w:r>
      <w:proofErr w:type="spellEnd"/>
      <w:r w:rsidR="00394B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4B8B">
        <w:rPr>
          <w:rFonts w:ascii="Times New Roman" w:hAnsi="Times New Roman" w:cs="Times New Roman"/>
          <w:sz w:val="24"/>
          <w:szCs w:val="24"/>
          <w:lang w:val="en-US"/>
        </w:rPr>
        <w:t>Erstellung</w:t>
      </w:r>
      <w:proofErr w:type="spellEnd"/>
      <w:r w:rsidR="00394B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4B8B">
        <w:rPr>
          <w:rFonts w:ascii="Times New Roman" w:hAnsi="Times New Roman" w:cs="Times New Roman"/>
          <w:sz w:val="24"/>
          <w:szCs w:val="24"/>
          <w:lang w:val="en-US"/>
        </w:rPr>
        <w:t>eines</w:t>
      </w:r>
      <w:proofErr w:type="spellEnd"/>
      <w:r w:rsidR="00394B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4B8B">
        <w:rPr>
          <w:rFonts w:ascii="Times New Roman" w:hAnsi="Times New Roman" w:cs="Times New Roman"/>
          <w:sz w:val="24"/>
          <w:szCs w:val="24"/>
          <w:lang w:val="en-US"/>
        </w:rPr>
        <w:t>Antibiogramms</w:t>
      </w:r>
      <w:proofErr w:type="spellEnd"/>
      <w:r w:rsidR="00394B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4B8B">
        <w:rPr>
          <w:rFonts w:ascii="Times New Roman" w:hAnsi="Times New Roman" w:cs="Times New Roman"/>
          <w:sz w:val="24"/>
          <w:szCs w:val="24"/>
          <w:lang w:val="en-US"/>
        </w:rPr>
        <w:t>gezielt</w:t>
      </w:r>
      <w:proofErr w:type="spellEnd"/>
      <w:r w:rsidR="00394B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4B8B">
        <w:rPr>
          <w:rFonts w:ascii="Times New Roman" w:hAnsi="Times New Roman" w:cs="Times New Roman"/>
          <w:sz w:val="24"/>
          <w:szCs w:val="24"/>
          <w:lang w:val="en-US"/>
        </w:rPr>
        <w:t>antibiotisch</w:t>
      </w:r>
      <w:proofErr w:type="spellEnd"/>
      <w:r w:rsidR="00394B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4B8B">
        <w:rPr>
          <w:rFonts w:ascii="Times New Roman" w:hAnsi="Times New Roman" w:cs="Times New Roman"/>
          <w:sz w:val="24"/>
          <w:szCs w:val="24"/>
          <w:lang w:val="en-US"/>
        </w:rPr>
        <w:t>therapiert</w:t>
      </w:r>
      <w:proofErr w:type="spellEnd"/>
      <w:r w:rsidR="00394B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4B8B">
        <w:rPr>
          <w:rFonts w:ascii="Times New Roman" w:hAnsi="Times New Roman" w:cs="Times New Roman"/>
          <w:sz w:val="24"/>
          <w:szCs w:val="24"/>
          <w:lang w:val="en-US"/>
        </w:rPr>
        <w:t>werden</w:t>
      </w:r>
      <w:proofErr w:type="spellEnd"/>
      <w:r w:rsidR="00394B8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F6C457D" w14:textId="77777777" w:rsidR="003900DB" w:rsidRPr="00D160D5" w:rsidRDefault="003900DB" w:rsidP="00C65C06">
      <w:pPr>
        <w:pStyle w:val="Puntoelenco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val="en-US"/>
        </w:rPr>
      </w:pPr>
    </w:p>
    <w:p w14:paraId="47B29863" w14:textId="77777777" w:rsidR="00C65C06" w:rsidRPr="00D160D5" w:rsidRDefault="00C65C0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98CEED9" w14:textId="77777777" w:rsidR="00C65C06" w:rsidRPr="00D160D5" w:rsidRDefault="00C65C0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65C06" w:rsidRPr="00D160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8A2DFB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48866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C06"/>
    <w:rsid w:val="0028229D"/>
    <w:rsid w:val="003900DB"/>
    <w:rsid w:val="00394B8B"/>
    <w:rsid w:val="003E2D01"/>
    <w:rsid w:val="006D6D13"/>
    <w:rsid w:val="00745CB7"/>
    <w:rsid w:val="00781B17"/>
    <w:rsid w:val="00846888"/>
    <w:rsid w:val="008E139D"/>
    <w:rsid w:val="00965F23"/>
    <w:rsid w:val="00BD497B"/>
    <w:rsid w:val="00C65C06"/>
    <w:rsid w:val="00D160D5"/>
    <w:rsid w:val="00D82F7E"/>
    <w:rsid w:val="00DA65B6"/>
    <w:rsid w:val="00F75F6C"/>
    <w:rsid w:val="00F80BE9"/>
    <w:rsid w:val="00F8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25AF"/>
  <w15:docId w15:val="{4196F63E-D898-4DD3-AEB3-1CA494DF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uiPriority w:val="99"/>
    <w:unhideWhenUsed/>
    <w:rsid w:val="00C65C06"/>
    <w:pPr>
      <w:numPr>
        <w:numId w:val="1"/>
      </w:numPr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394B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94B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94B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4B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4B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revisore</dc:creator>
  <cp:lastModifiedBy>Marella Magris</cp:lastModifiedBy>
  <cp:revision>9</cp:revision>
  <dcterms:created xsi:type="dcterms:W3CDTF">2013-02-17T09:40:00Z</dcterms:created>
  <dcterms:modified xsi:type="dcterms:W3CDTF">2024-11-12T18:46:00Z</dcterms:modified>
</cp:coreProperties>
</file>