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D3C21" w14:textId="5E20138D" w:rsidR="00502560" w:rsidRPr="00502560" w:rsidRDefault="00502560" w:rsidP="00502560">
      <w:pPr>
        <w:jc w:val="center"/>
        <w:rPr>
          <w:rFonts w:ascii="Times New Roman" w:hAnsi="Times New Roman" w:cs="Times New Roman"/>
          <w:b/>
          <w:bCs/>
          <w:sz w:val="40"/>
          <w:szCs w:val="40"/>
        </w:rPr>
      </w:pPr>
      <w:r w:rsidRPr="00502560">
        <w:rPr>
          <w:rFonts w:ascii="Times New Roman" w:hAnsi="Times New Roman" w:cs="Times New Roman"/>
          <w:b/>
          <w:bCs/>
          <w:sz w:val="40"/>
          <w:szCs w:val="40"/>
        </w:rPr>
        <w:t>DIRITTO ALL’EDIFICIO DI CULTO</w:t>
      </w:r>
    </w:p>
    <w:p w14:paraId="434F97F3" w14:textId="5AFA514B" w:rsidR="00502560" w:rsidRDefault="00502560" w:rsidP="00502560">
      <w:pPr>
        <w:jc w:val="center"/>
        <w:rPr>
          <w:rFonts w:ascii="Times New Roman" w:hAnsi="Times New Roman" w:cs="Times New Roman"/>
          <w:b/>
          <w:bCs/>
          <w:sz w:val="40"/>
          <w:szCs w:val="40"/>
        </w:rPr>
      </w:pPr>
      <w:r w:rsidRPr="00502560">
        <w:rPr>
          <w:rFonts w:ascii="Times New Roman" w:hAnsi="Times New Roman" w:cs="Times New Roman"/>
          <w:b/>
          <w:bCs/>
          <w:sz w:val="40"/>
          <w:szCs w:val="40"/>
        </w:rPr>
        <w:t>TRA RIPARTO DELLE COMPETENZE E DEI DIRITTI FONDAMENTALI</w:t>
      </w:r>
    </w:p>
    <w:p w14:paraId="121AF614" w14:textId="77777777" w:rsidR="00502560" w:rsidRDefault="00502560" w:rsidP="00502560">
      <w:pPr>
        <w:jc w:val="center"/>
        <w:rPr>
          <w:rFonts w:ascii="Times New Roman" w:hAnsi="Times New Roman" w:cs="Times New Roman"/>
          <w:b/>
          <w:bCs/>
          <w:sz w:val="40"/>
          <w:szCs w:val="40"/>
        </w:rPr>
      </w:pPr>
    </w:p>
    <w:p w14:paraId="6C93A062" w14:textId="77777777" w:rsidR="00502560" w:rsidRDefault="00502560" w:rsidP="00502560">
      <w:pPr>
        <w:jc w:val="center"/>
        <w:rPr>
          <w:rFonts w:ascii="Times New Roman" w:hAnsi="Times New Roman" w:cs="Times New Roman"/>
          <w:b/>
          <w:bCs/>
          <w:sz w:val="40"/>
          <w:szCs w:val="40"/>
        </w:rPr>
      </w:pPr>
    </w:p>
    <w:p w14:paraId="2B993677" w14:textId="77777777" w:rsidR="00502560" w:rsidRDefault="00502560" w:rsidP="00502560">
      <w:pPr>
        <w:jc w:val="center"/>
        <w:rPr>
          <w:rFonts w:ascii="Times New Roman" w:hAnsi="Times New Roman" w:cs="Times New Roman"/>
          <w:b/>
          <w:bCs/>
          <w:sz w:val="40"/>
          <w:szCs w:val="40"/>
        </w:rPr>
      </w:pPr>
    </w:p>
    <w:p w14:paraId="2483C6C8" w14:textId="77777777" w:rsidR="00502560" w:rsidRDefault="00502560" w:rsidP="00502560">
      <w:pPr>
        <w:jc w:val="center"/>
        <w:rPr>
          <w:rFonts w:ascii="Times New Roman" w:hAnsi="Times New Roman" w:cs="Times New Roman"/>
          <w:b/>
          <w:bCs/>
          <w:sz w:val="40"/>
          <w:szCs w:val="40"/>
        </w:rPr>
      </w:pPr>
    </w:p>
    <w:p w14:paraId="03229DF3" w14:textId="77777777" w:rsidR="00502560" w:rsidRDefault="00502560" w:rsidP="00502560">
      <w:pPr>
        <w:jc w:val="center"/>
        <w:rPr>
          <w:rFonts w:ascii="Times New Roman" w:hAnsi="Times New Roman" w:cs="Times New Roman"/>
          <w:b/>
          <w:bCs/>
          <w:sz w:val="40"/>
          <w:szCs w:val="40"/>
        </w:rPr>
      </w:pPr>
    </w:p>
    <w:p w14:paraId="01333F5A" w14:textId="77777777" w:rsidR="00502560" w:rsidRDefault="00502560" w:rsidP="00502560">
      <w:pPr>
        <w:jc w:val="center"/>
        <w:rPr>
          <w:rFonts w:ascii="Times New Roman" w:hAnsi="Times New Roman" w:cs="Times New Roman"/>
          <w:b/>
          <w:bCs/>
          <w:sz w:val="40"/>
          <w:szCs w:val="40"/>
        </w:rPr>
      </w:pPr>
    </w:p>
    <w:p w14:paraId="1CFDC19A" w14:textId="47DDCA9B" w:rsidR="00502560" w:rsidRPr="004B5115" w:rsidRDefault="00502560" w:rsidP="004B5115">
      <w:pPr>
        <w:pStyle w:val="Paragrafoelenco"/>
        <w:numPr>
          <w:ilvl w:val="0"/>
          <w:numId w:val="1"/>
        </w:numPr>
        <w:spacing w:line="480" w:lineRule="auto"/>
        <w:jc w:val="both"/>
        <w:rPr>
          <w:rFonts w:ascii="Times New Roman" w:hAnsi="Times New Roman" w:cs="Times New Roman"/>
          <w:b/>
          <w:bCs/>
          <w:sz w:val="40"/>
          <w:szCs w:val="40"/>
        </w:rPr>
      </w:pPr>
      <w:r w:rsidRPr="004B5115">
        <w:rPr>
          <w:rFonts w:ascii="Times New Roman" w:hAnsi="Times New Roman" w:cs="Times New Roman"/>
          <w:sz w:val="40"/>
          <w:szCs w:val="40"/>
        </w:rPr>
        <w:t>Premessa: inquadramento storico-sociale</w:t>
      </w:r>
    </w:p>
    <w:p w14:paraId="3390BFCC" w14:textId="0C9234A8" w:rsidR="00502560" w:rsidRPr="004B5115" w:rsidRDefault="00502560" w:rsidP="004B5115">
      <w:pPr>
        <w:pStyle w:val="Paragrafoelenco"/>
        <w:numPr>
          <w:ilvl w:val="0"/>
          <w:numId w:val="1"/>
        </w:numPr>
        <w:spacing w:line="480" w:lineRule="auto"/>
        <w:jc w:val="both"/>
        <w:rPr>
          <w:rFonts w:ascii="Times New Roman" w:hAnsi="Times New Roman" w:cs="Times New Roman"/>
          <w:b/>
          <w:bCs/>
          <w:sz w:val="40"/>
          <w:szCs w:val="40"/>
        </w:rPr>
      </w:pPr>
      <w:r w:rsidRPr="004B5115">
        <w:rPr>
          <w:rFonts w:ascii="Times New Roman" w:hAnsi="Times New Roman" w:cs="Times New Roman"/>
          <w:sz w:val="40"/>
          <w:szCs w:val="40"/>
        </w:rPr>
        <w:t>Sintesi caso Lombardia</w:t>
      </w:r>
      <w:r w:rsidR="00885375" w:rsidRPr="004B5115">
        <w:rPr>
          <w:rFonts w:ascii="Times New Roman" w:hAnsi="Times New Roman" w:cs="Times New Roman"/>
          <w:sz w:val="40"/>
          <w:szCs w:val="40"/>
        </w:rPr>
        <w:t xml:space="preserve"> e</w:t>
      </w:r>
      <w:r w:rsidRPr="004B5115">
        <w:rPr>
          <w:rFonts w:ascii="Times New Roman" w:hAnsi="Times New Roman" w:cs="Times New Roman"/>
          <w:sz w:val="40"/>
          <w:szCs w:val="40"/>
        </w:rPr>
        <w:t xml:space="preserve"> caso Veneto</w:t>
      </w:r>
    </w:p>
    <w:p w14:paraId="4C664233" w14:textId="759E88F0" w:rsidR="00502560" w:rsidRPr="00A90255" w:rsidRDefault="00502560" w:rsidP="004B5115">
      <w:pPr>
        <w:pStyle w:val="Paragrafoelenco"/>
        <w:numPr>
          <w:ilvl w:val="0"/>
          <w:numId w:val="1"/>
        </w:numPr>
        <w:spacing w:line="480" w:lineRule="auto"/>
        <w:jc w:val="both"/>
        <w:rPr>
          <w:rFonts w:ascii="Times New Roman" w:hAnsi="Times New Roman" w:cs="Times New Roman"/>
          <w:b/>
          <w:bCs/>
          <w:sz w:val="40"/>
          <w:szCs w:val="40"/>
        </w:rPr>
      </w:pPr>
      <w:r w:rsidRPr="004B5115">
        <w:rPr>
          <w:rFonts w:ascii="Times New Roman" w:hAnsi="Times New Roman" w:cs="Times New Roman"/>
          <w:sz w:val="40"/>
          <w:szCs w:val="40"/>
        </w:rPr>
        <w:t>Norme e parametri rilevanti</w:t>
      </w:r>
      <w:r w:rsidR="00A90255">
        <w:rPr>
          <w:rFonts w:ascii="Times New Roman" w:hAnsi="Times New Roman" w:cs="Times New Roman"/>
          <w:sz w:val="40"/>
          <w:szCs w:val="40"/>
        </w:rPr>
        <w:t xml:space="preserve"> dell’ordinamento interno</w:t>
      </w:r>
    </w:p>
    <w:p w14:paraId="582F941E" w14:textId="2BCA8619" w:rsidR="00A90255" w:rsidRPr="004B5115" w:rsidRDefault="00A90255" w:rsidP="004B5115">
      <w:pPr>
        <w:pStyle w:val="Paragrafoelenco"/>
        <w:numPr>
          <w:ilvl w:val="0"/>
          <w:numId w:val="1"/>
        </w:numPr>
        <w:spacing w:line="480" w:lineRule="auto"/>
        <w:jc w:val="both"/>
        <w:rPr>
          <w:rFonts w:ascii="Times New Roman" w:hAnsi="Times New Roman" w:cs="Times New Roman"/>
          <w:b/>
          <w:bCs/>
          <w:sz w:val="40"/>
          <w:szCs w:val="40"/>
        </w:rPr>
      </w:pPr>
      <w:r>
        <w:rPr>
          <w:rFonts w:ascii="Times New Roman" w:hAnsi="Times New Roman" w:cs="Times New Roman"/>
          <w:sz w:val="40"/>
          <w:szCs w:val="40"/>
        </w:rPr>
        <w:t>Normativa europea ed internazionale</w:t>
      </w:r>
    </w:p>
    <w:p w14:paraId="05937012" w14:textId="263D6D02" w:rsidR="00502560" w:rsidRPr="004B5115" w:rsidRDefault="00502560" w:rsidP="004B5115">
      <w:pPr>
        <w:pStyle w:val="Paragrafoelenco"/>
        <w:numPr>
          <w:ilvl w:val="0"/>
          <w:numId w:val="1"/>
        </w:numPr>
        <w:spacing w:line="480" w:lineRule="auto"/>
        <w:jc w:val="both"/>
        <w:rPr>
          <w:rFonts w:ascii="Times New Roman" w:hAnsi="Times New Roman" w:cs="Times New Roman"/>
          <w:b/>
          <w:bCs/>
          <w:sz w:val="40"/>
          <w:szCs w:val="40"/>
        </w:rPr>
      </w:pPr>
      <w:r w:rsidRPr="004B5115">
        <w:rPr>
          <w:rFonts w:ascii="Times New Roman" w:hAnsi="Times New Roman" w:cs="Times New Roman"/>
          <w:sz w:val="40"/>
          <w:szCs w:val="40"/>
        </w:rPr>
        <w:t>Osservazioni conclusive e spunti di riflessione</w:t>
      </w:r>
    </w:p>
    <w:p w14:paraId="563F0CEF" w14:textId="77777777" w:rsidR="007F4413" w:rsidRDefault="007F4413" w:rsidP="007F4413">
      <w:pPr>
        <w:jc w:val="both"/>
        <w:rPr>
          <w:rFonts w:ascii="Times New Roman" w:hAnsi="Times New Roman" w:cs="Times New Roman"/>
          <w:b/>
          <w:bCs/>
          <w:sz w:val="32"/>
          <w:szCs w:val="32"/>
        </w:rPr>
      </w:pPr>
    </w:p>
    <w:p w14:paraId="2B53E444" w14:textId="77777777" w:rsidR="007F4413" w:rsidRDefault="007F4413" w:rsidP="007F4413">
      <w:pPr>
        <w:jc w:val="both"/>
        <w:rPr>
          <w:rFonts w:ascii="Times New Roman" w:hAnsi="Times New Roman" w:cs="Times New Roman"/>
          <w:b/>
          <w:bCs/>
          <w:sz w:val="32"/>
          <w:szCs w:val="32"/>
        </w:rPr>
      </w:pPr>
    </w:p>
    <w:p w14:paraId="6920C65D" w14:textId="77777777" w:rsidR="007F4413" w:rsidRDefault="007F4413" w:rsidP="007F4413">
      <w:pPr>
        <w:jc w:val="both"/>
        <w:rPr>
          <w:rFonts w:ascii="Times New Roman" w:hAnsi="Times New Roman" w:cs="Times New Roman"/>
          <w:b/>
          <w:bCs/>
          <w:sz w:val="32"/>
          <w:szCs w:val="32"/>
        </w:rPr>
      </w:pPr>
    </w:p>
    <w:p w14:paraId="66823111" w14:textId="77777777" w:rsidR="007F4413" w:rsidRDefault="007F4413" w:rsidP="007F4413">
      <w:pPr>
        <w:jc w:val="both"/>
        <w:rPr>
          <w:rFonts w:ascii="Times New Roman" w:hAnsi="Times New Roman" w:cs="Times New Roman"/>
          <w:b/>
          <w:bCs/>
          <w:sz w:val="32"/>
          <w:szCs w:val="32"/>
        </w:rPr>
      </w:pPr>
    </w:p>
    <w:p w14:paraId="679873CA" w14:textId="77777777" w:rsidR="007F4413" w:rsidRDefault="007F4413" w:rsidP="007F4413">
      <w:pPr>
        <w:jc w:val="both"/>
        <w:rPr>
          <w:rFonts w:ascii="Times New Roman" w:hAnsi="Times New Roman" w:cs="Times New Roman"/>
          <w:b/>
          <w:bCs/>
          <w:sz w:val="32"/>
          <w:szCs w:val="32"/>
        </w:rPr>
      </w:pPr>
    </w:p>
    <w:p w14:paraId="0B3F5401" w14:textId="77777777" w:rsidR="00A90255" w:rsidRDefault="00A90255" w:rsidP="007F4413">
      <w:pPr>
        <w:jc w:val="both"/>
        <w:rPr>
          <w:rFonts w:ascii="Times New Roman" w:hAnsi="Times New Roman" w:cs="Times New Roman"/>
          <w:b/>
          <w:bCs/>
          <w:sz w:val="32"/>
          <w:szCs w:val="32"/>
        </w:rPr>
      </w:pPr>
    </w:p>
    <w:p w14:paraId="1B53D9DB" w14:textId="6CCCE378" w:rsidR="007F4413" w:rsidRDefault="007F4413" w:rsidP="007F4413">
      <w:pPr>
        <w:jc w:val="both"/>
        <w:rPr>
          <w:rFonts w:ascii="Times New Roman" w:hAnsi="Times New Roman" w:cs="Times New Roman"/>
          <w:b/>
          <w:bCs/>
          <w:sz w:val="32"/>
          <w:szCs w:val="32"/>
        </w:rPr>
      </w:pPr>
      <w:r>
        <w:rPr>
          <w:rFonts w:ascii="Times New Roman" w:hAnsi="Times New Roman" w:cs="Times New Roman"/>
          <w:b/>
          <w:bCs/>
          <w:sz w:val="32"/>
          <w:szCs w:val="32"/>
        </w:rPr>
        <w:lastRenderedPageBreak/>
        <w:t xml:space="preserve">PREMESSA: INQUADRAMENTO </w:t>
      </w:r>
      <w:r w:rsidR="001B379C">
        <w:rPr>
          <w:rFonts w:ascii="Times New Roman" w:hAnsi="Times New Roman" w:cs="Times New Roman"/>
          <w:b/>
          <w:bCs/>
          <w:sz w:val="32"/>
          <w:szCs w:val="32"/>
        </w:rPr>
        <w:t>TEMATICO</w:t>
      </w:r>
    </w:p>
    <w:p w14:paraId="49822678" w14:textId="21A3242E" w:rsidR="007F4413" w:rsidRDefault="007F4413" w:rsidP="007F4413">
      <w:pPr>
        <w:jc w:val="both"/>
        <w:rPr>
          <w:rFonts w:ascii="Times New Roman" w:hAnsi="Times New Roman" w:cs="Times New Roman"/>
          <w:sz w:val="32"/>
          <w:szCs w:val="32"/>
        </w:rPr>
      </w:pPr>
      <w:r>
        <w:rPr>
          <w:rFonts w:ascii="Times New Roman" w:hAnsi="Times New Roman" w:cs="Times New Roman"/>
          <w:sz w:val="32"/>
          <w:szCs w:val="32"/>
        </w:rPr>
        <w:t xml:space="preserve">Gli edifici di culto sono i luoghi dove gli appartenenti ad una religione possono esprimere la loro fede </w:t>
      </w:r>
      <w:r w:rsidR="006B2854">
        <w:rPr>
          <w:rFonts w:ascii="Times New Roman" w:hAnsi="Times New Roman" w:cs="Times New Roman"/>
          <w:sz w:val="32"/>
          <w:szCs w:val="32"/>
        </w:rPr>
        <w:t>spirituale</w:t>
      </w:r>
      <w:r>
        <w:rPr>
          <w:rFonts w:ascii="Times New Roman" w:hAnsi="Times New Roman" w:cs="Times New Roman"/>
          <w:sz w:val="32"/>
          <w:szCs w:val="32"/>
        </w:rPr>
        <w:t xml:space="preserve"> riunendosi in comunità. L’esistenza di questi edifici è risalente nel tempo, in quanto ogni fede religiosa nel corso della storia si è dotata di questi luoghi per</w:t>
      </w:r>
      <w:r w:rsidR="00CF6107">
        <w:rPr>
          <w:rFonts w:ascii="Times New Roman" w:hAnsi="Times New Roman" w:cs="Times New Roman"/>
          <w:sz w:val="32"/>
          <w:szCs w:val="32"/>
        </w:rPr>
        <w:t xml:space="preserve"> permettere ai propri fedeli di praticare </w:t>
      </w:r>
      <w:r w:rsidR="006B2854">
        <w:rPr>
          <w:rFonts w:ascii="Times New Roman" w:hAnsi="Times New Roman" w:cs="Times New Roman"/>
          <w:sz w:val="32"/>
          <w:szCs w:val="32"/>
        </w:rPr>
        <w:t>i propri culti</w:t>
      </w:r>
      <w:r w:rsidR="00CF6107">
        <w:rPr>
          <w:rFonts w:ascii="Times New Roman" w:hAnsi="Times New Roman" w:cs="Times New Roman"/>
          <w:sz w:val="32"/>
          <w:szCs w:val="32"/>
        </w:rPr>
        <w:t>. Ciò ha portato anche ad una diffusione sempre più ampia di questi edifici, quali ad esempio Chiese, Moschee e Sinagoghe, prima nei territori dove le diverse religioni sono nate, poi, con guerre di conquista e con le recenti migrazioni di vari gruppi etnici, in tutto il mondo. Questo fenomeno è quindi molto diffuso ed ha necessitato, sia a livello dell’ordinamento interno italiano che a livello dell’ordinamento internazionale, di una regolamentazione e di una tutela del diritto all’edificio di culto.</w:t>
      </w:r>
    </w:p>
    <w:p w14:paraId="4DC8E227" w14:textId="6E9BF336" w:rsidR="00CF6107" w:rsidRDefault="00CF6107" w:rsidP="007F4413">
      <w:pPr>
        <w:jc w:val="both"/>
        <w:rPr>
          <w:rFonts w:ascii="Times New Roman" w:hAnsi="Times New Roman" w:cs="Times New Roman"/>
          <w:sz w:val="32"/>
          <w:szCs w:val="32"/>
        </w:rPr>
      </w:pPr>
      <w:r>
        <w:rPr>
          <w:rFonts w:ascii="Times New Roman" w:hAnsi="Times New Roman" w:cs="Times New Roman"/>
          <w:sz w:val="32"/>
          <w:szCs w:val="32"/>
        </w:rPr>
        <w:t xml:space="preserve">A livello italiano, il diritto di disporre di un edificio di culto </w:t>
      </w:r>
      <w:r w:rsidR="00E34072">
        <w:rPr>
          <w:rFonts w:ascii="Times New Roman" w:hAnsi="Times New Roman" w:cs="Times New Roman"/>
          <w:sz w:val="32"/>
          <w:szCs w:val="32"/>
        </w:rPr>
        <w:t xml:space="preserve">è previsto a livello costituzionale </w:t>
      </w:r>
      <w:r>
        <w:rPr>
          <w:rFonts w:ascii="Times New Roman" w:hAnsi="Times New Roman" w:cs="Times New Roman"/>
          <w:sz w:val="32"/>
          <w:szCs w:val="32"/>
        </w:rPr>
        <w:t>dall’articolo 19 che assicura a chiunque di poter celebrare il proprio culto. La tutela d</w:t>
      </w:r>
      <w:r w:rsidR="00E34072">
        <w:rPr>
          <w:rFonts w:ascii="Times New Roman" w:hAnsi="Times New Roman" w:cs="Times New Roman"/>
          <w:sz w:val="32"/>
          <w:szCs w:val="32"/>
        </w:rPr>
        <w:t>i questi edifici</w:t>
      </w:r>
      <w:r>
        <w:rPr>
          <w:rFonts w:ascii="Times New Roman" w:hAnsi="Times New Roman" w:cs="Times New Roman"/>
          <w:sz w:val="32"/>
          <w:szCs w:val="32"/>
        </w:rPr>
        <w:t xml:space="preserve"> si trova nell’articolo 5 dell’Accordo di revisione del Concordato del 1984, che vieta la requisizione, l’occupazione, l’espropriazione o la demolizione di questi, “se non per gravi motivi e previo accordo con la competente autorità ecclesiastica”. </w:t>
      </w:r>
      <w:r w:rsidR="001B379C">
        <w:rPr>
          <w:rFonts w:ascii="Times New Roman" w:hAnsi="Times New Roman" w:cs="Times New Roman"/>
          <w:sz w:val="32"/>
          <w:szCs w:val="32"/>
        </w:rPr>
        <w:t xml:space="preserve">Anche l’articolo successivo, ovvero l’articolo 20 della Costituzione, è riconducibile a questo tema, imponendo che non possano essere considerate “causa di speciali limitazioni legislative”, di “speciali gravami fiscali” per la loro costituzione, capacità giuridica e ogni forma di attività, tutelando sia le associazioni ed istituzioni religiose sia i singoli partecipanti, e perciò ne deriva una tutela anche per i luoghi di culto dove le loro attività si svolgono. </w:t>
      </w:r>
    </w:p>
    <w:p w14:paraId="14A6153B" w14:textId="4D709129" w:rsidR="00AC4BA5" w:rsidRDefault="00AC4BA5" w:rsidP="007F4413">
      <w:pPr>
        <w:jc w:val="both"/>
        <w:rPr>
          <w:rFonts w:ascii="Times New Roman" w:hAnsi="Times New Roman" w:cs="Times New Roman"/>
          <w:sz w:val="32"/>
          <w:szCs w:val="32"/>
        </w:rPr>
      </w:pPr>
      <w:r>
        <w:rPr>
          <w:rFonts w:ascii="Times New Roman" w:hAnsi="Times New Roman" w:cs="Times New Roman"/>
          <w:sz w:val="32"/>
          <w:szCs w:val="32"/>
        </w:rPr>
        <w:t>A livello internazionale, vi sono alcune convenzioni che dispongono la tutela specifica in materia, in special modo durante i tempi di guerra</w:t>
      </w:r>
      <w:r w:rsidR="00BA5996">
        <w:rPr>
          <w:rFonts w:ascii="Times New Roman" w:hAnsi="Times New Roman" w:cs="Times New Roman"/>
          <w:sz w:val="32"/>
          <w:szCs w:val="32"/>
        </w:rPr>
        <w:t xml:space="preserve">, prevedendo che si compie un crimine di guerra se si attacca i luoghi di culto intenzionalmente, tranne che se utilizzati con finalità a scopo militare. A riguardo, il protocollo di Ginevra vieta di compiere atti ostili verso questi luoghi pubblici, di utilizzare questi beni in appoggio militare e farne oggetto </w:t>
      </w:r>
      <w:r w:rsidR="00BA5996">
        <w:rPr>
          <w:rFonts w:ascii="Times New Roman" w:hAnsi="Times New Roman" w:cs="Times New Roman"/>
          <w:sz w:val="32"/>
          <w:szCs w:val="32"/>
        </w:rPr>
        <w:lastRenderedPageBreak/>
        <w:t xml:space="preserve">di rappresaglie. </w:t>
      </w:r>
      <w:r w:rsidR="00A90255">
        <w:rPr>
          <w:rFonts w:ascii="Times New Roman" w:hAnsi="Times New Roman" w:cs="Times New Roman"/>
          <w:sz w:val="32"/>
          <w:szCs w:val="32"/>
        </w:rPr>
        <w:t xml:space="preserve">Vi sono specifici articoli presenti nel Trattato sul funzionamento dell’Unione europea e della Carta dei diritti fondamentali dell’Unione europea che riguardano il principio della libertà di culto e, in materia di edifici di culto, il Patto internazionale sui diritti civili e politici riporta l’articolo 18 prevedendo il diritto alla costruzione di luoghi e spazi adibiti all’espressione della fede dei singoli. </w:t>
      </w:r>
    </w:p>
    <w:p w14:paraId="1ACD86FA" w14:textId="3189D3AB" w:rsidR="00CD0803" w:rsidRPr="005E0C8A" w:rsidRDefault="00CD0803" w:rsidP="007F4413">
      <w:pPr>
        <w:jc w:val="both"/>
        <w:rPr>
          <w:rFonts w:ascii="Times New Roman" w:hAnsi="Times New Roman" w:cs="Times New Roman"/>
          <w:b/>
          <w:bCs/>
          <w:sz w:val="32"/>
          <w:szCs w:val="32"/>
        </w:rPr>
      </w:pPr>
      <w:r w:rsidRPr="005E0C8A">
        <w:rPr>
          <w:rFonts w:ascii="Times New Roman" w:hAnsi="Times New Roman" w:cs="Times New Roman"/>
          <w:b/>
          <w:bCs/>
          <w:sz w:val="32"/>
          <w:szCs w:val="32"/>
        </w:rPr>
        <w:t xml:space="preserve">SINTESI </w:t>
      </w:r>
      <w:r w:rsidR="005E0C8A">
        <w:rPr>
          <w:rFonts w:ascii="Times New Roman" w:hAnsi="Times New Roman" w:cs="Times New Roman"/>
          <w:b/>
          <w:bCs/>
          <w:sz w:val="32"/>
          <w:szCs w:val="32"/>
        </w:rPr>
        <w:t xml:space="preserve">DEI </w:t>
      </w:r>
      <w:r w:rsidRPr="005E0C8A">
        <w:rPr>
          <w:rFonts w:ascii="Times New Roman" w:hAnsi="Times New Roman" w:cs="Times New Roman"/>
          <w:b/>
          <w:bCs/>
          <w:sz w:val="32"/>
          <w:szCs w:val="32"/>
        </w:rPr>
        <w:t xml:space="preserve">CASI </w:t>
      </w:r>
      <w:r w:rsidR="005E0C8A">
        <w:rPr>
          <w:rFonts w:ascii="Times New Roman" w:hAnsi="Times New Roman" w:cs="Times New Roman"/>
          <w:b/>
          <w:bCs/>
          <w:sz w:val="32"/>
          <w:szCs w:val="32"/>
        </w:rPr>
        <w:t xml:space="preserve">DI </w:t>
      </w:r>
      <w:r w:rsidRPr="005E0C8A">
        <w:rPr>
          <w:rFonts w:ascii="Times New Roman" w:hAnsi="Times New Roman" w:cs="Times New Roman"/>
          <w:b/>
          <w:bCs/>
          <w:sz w:val="32"/>
          <w:szCs w:val="32"/>
        </w:rPr>
        <w:t>LOMBARDIA E VENETO</w:t>
      </w:r>
    </w:p>
    <w:p w14:paraId="5828BF25" w14:textId="463681BF" w:rsidR="00785755" w:rsidRDefault="00785755" w:rsidP="007F4413">
      <w:pPr>
        <w:jc w:val="both"/>
        <w:rPr>
          <w:rFonts w:ascii="Times New Roman" w:hAnsi="Times New Roman" w:cs="Times New Roman"/>
          <w:sz w:val="32"/>
          <w:szCs w:val="32"/>
        </w:rPr>
      </w:pPr>
      <w:r>
        <w:rPr>
          <w:rFonts w:ascii="Times New Roman" w:hAnsi="Times New Roman" w:cs="Times New Roman"/>
          <w:sz w:val="32"/>
          <w:szCs w:val="32"/>
        </w:rPr>
        <w:t xml:space="preserve">Nell’esperienza italiana, vi sono stati diversi casi arrivati alla Corte Costituzionale relativi a questo tema. Due di questi </w:t>
      </w:r>
      <w:r w:rsidR="006B2854">
        <w:rPr>
          <w:rFonts w:ascii="Times New Roman" w:hAnsi="Times New Roman" w:cs="Times New Roman"/>
          <w:sz w:val="32"/>
          <w:szCs w:val="32"/>
        </w:rPr>
        <w:t>verranno analizzati di seguito per riportare quale sia l’orientamento della Corte in materia</w:t>
      </w:r>
      <w:r>
        <w:rPr>
          <w:rFonts w:ascii="Times New Roman" w:hAnsi="Times New Roman" w:cs="Times New Roman"/>
          <w:sz w:val="32"/>
          <w:szCs w:val="32"/>
        </w:rPr>
        <w:t xml:space="preserve">: </w:t>
      </w:r>
    </w:p>
    <w:p w14:paraId="524865BE" w14:textId="4EEFB8A0" w:rsidR="00785755" w:rsidRDefault="004E6307" w:rsidP="004E6307">
      <w:pPr>
        <w:pStyle w:val="Paragrafoelenco"/>
        <w:numPr>
          <w:ilvl w:val="0"/>
          <w:numId w:val="2"/>
        </w:numPr>
        <w:jc w:val="both"/>
        <w:rPr>
          <w:rFonts w:ascii="Times New Roman" w:hAnsi="Times New Roman" w:cs="Times New Roman"/>
          <w:sz w:val="32"/>
          <w:szCs w:val="32"/>
        </w:rPr>
      </w:pPr>
      <w:r>
        <w:rPr>
          <w:rFonts w:ascii="Times New Roman" w:hAnsi="Times New Roman" w:cs="Times New Roman"/>
          <w:sz w:val="32"/>
          <w:szCs w:val="32"/>
        </w:rPr>
        <w:t>L</w:t>
      </w:r>
      <w:r w:rsidR="00785755" w:rsidRPr="004E6307">
        <w:rPr>
          <w:rFonts w:ascii="Times New Roman" w:hAnsi="Times New Roman" w:cs="Times New Roman"/>
          <w:sz w:val="32"/>
          <w:szCs w:val="32"/>
        </w:rPr>
        <w:t xml:space="preserve">a sentenza n. 63/2016 riguardante </w:t>
      </w:r>
      <w:r>
        <w:rPr>
          <w:rFonts w:ascii="Times New Roman" w:hAnsi="Times New Roman" w:cs="Times New Roman"/>
          <w:sz w:val="32"/>
          <w:szCs w:val="32"/>
        </w:rPr>
        <w:t xml:space="preserve">la questione di legittimità costituzionale </w:t>
      </w:r>
      <w:r w:rsidR="00785755" w:rsidRPr="004E6307">
        <w:rPr>
          <w:rFonts w:ascii="Times New Roman" w:hAnsi="Times New Roman" w:cs="Times New Roman"/>
          <w:sz w:val="32"/>
          <w:szCs w:val="32"/>
        </w:rPr>
        <w:t>gli articoli 70 commi 2, 2-bis, 2-ter e 2-quater e 72 commi 4,5 e 7 lettere e) e g) della legge della Regione Lombardia 11 marzo 2005, n. 12</w:t>
      </w:r>
      <w:r w:rsidR="00496570">
        <w:rPr>
          <w:rFonts w:ascii="Times New Roman" w:hAnsi="Times New Roman" w:cs="Times New Roman"/>
          <w:sz w:val="32"/>
          <w:szCs w:val="32"/>
        </w:rPr>
        <w:t xml:space="preserve"> (</w:t>
      </w:r>
      <w:r w:rsidR="003316B4">
        <w:rPr>
          <w:rFonts w:ascii="Times New Roman" w:hAnsi="Times New Roman" w:cs="Times New Roman"/>
          <w:sz w:val="32"/>
          <w:szCs w:val="32"/>
        </w:rPr>
        <w:t xml:space="preserve">“Norme per l’edilizia di culto”). </w:t>
      </w:r>
      <w:r w:rsidR="000D6215">
        <w:rPr>
          <w:rFonts w:ascii="Times New Roman" w:hAnsi="Times New Roman" w:cs="Times New Roman"/>
          <w:sz w:val="32"/>
          <w:szCs w:val="32"/>
        </w:rPr>
        <w:t>La legge regionale in questione era mirata a regolamentare la materia degli edifici di culto nella regione Lombardia, ovvero la loro costruzione, ristrutturazione e gestione. Si prevedeva che fossero richieste delle autorizzazioni per la costruzione di questi edifici per tutti i culti religiosi</w:t>
      </w:r>
      <w:r w:rsidR="006B2854">
        <w:rPr>
          <w:rFonts w:ascii="Times New Roman" w:hAnsi="Times New Roman" w:cs="Times New Roman"/>
          <w:sz w:val="32"/>
          <w:szCs w:val="32"/>
        </w:rPr>
        <w:t xml:space="preserve"> e che gli edifici di culto non dovessero essere tanto differenti dall’architettura lombarda</w:t>
      </w:r>
      <w:r w:rsidR="000D6215">
        <w:rPr>
          <w:rFonts w:ascii="Times New Roman" w:hAnsi="Times New Roman" w:cs="Times New Roman"/>
          <w:sz w:val="32"/>
          <w:szCs w:val="32"/>
        </w:rPr>
        <w:t xml:space="preserve">. </w:t>
      </w:r>
      <w:r w:rsidR="00F829D6">
        <w:rPr>
          <w:rFonts w:ascii="Times New Roman" w:hAnsi="Times New Roman" w:cs="Times New Roman"/>
          <w:sz w:val="32"/>
          <w:szCs w:val="32"/>
        </w:rPr>
        <w:t xml:space="preserve">Era inoltre prevista la possibilità di indire un referendum a livello comunale riguardo ai piani per le attrezzature a scopo religioso. </w:t>
      </w:r>
      <w:r w:rsidR="000D6215">
        <w:rPr>
          <w:rFonts w:ascii="Times New Roman" w:hAnsi="Times New Roman" w:cs="Times New Roman"/>
          <w:sz w:val="32"/>
          <w:szCs w:val="32"/>
        </w:rPr>
        <w:t>Gli articoli 70 e 72 in alcuni commi vennero impugnat</w:t>
      </w:r>
      <w:r w:rsidR="008E0441">
        <w:rPr>
          <w:rFonts w:ascii="Times New Roman" w:hAnsi="Times New Roman" w:cs="Times New Roman"/>
          <w:sz w:val="32"/>
          <w:szCs w:val="32"/>
        </w:rPr>
        <w:t>i</w:t>
      </w:r>
      <w:r w:rsidR="000D6215">
        <w:rPr>
          <w:rFonts w:ascii="Times New Roman" w:hAnsi="Times New Roman" w:cs="Times New Roman"/>
          <w:sz w:val="32"/>
          <w:szCs w:val="32"/>
        </w:rPr>
        <w:t xml:space="preserve"> dal Presidente del Consiglio dei Ministri, che sollevò la questione di legittimità costituzionale per violazione degli articoli</w:t>
      </w:r>
      <w:r w:rsidR="00885375">
        <w:rPr>
          <w:rFonts w:ascii="Times New Roman" w:hAnsi="Times New Roman" w:cs="Times New Roman"/>
          <w:sz w:val="32"/>
          <w:szCs w:val="32"/>
        </w:rPr>
        <w:t xml:space="preserve"> 3, sul principio di uguaglianza,</w:t>
      </w:r>
      <w:r w:rsidR="000D6215">
        <w:rPr>
          <w:rFonts w:ascii="Times New Roman" w:hAnsi="Times New Roman" w:cs="Times New Roman"/>
          <w:sz w:val="32"/>
          <w:szCs w:val="32"/>
        </w:rPr>
        <w:t xml:space="preserve"> 8, sul trattamento delle confessioni religiose diverse da quella </w:t>
      </w:r>
      <w:r w:rsidR="004B5115">
        <w:rPr>
          <w:rFonts w:ascii="Times New Roman" w:hAnsi="Times New Roman" w:cs="Times New Roman"/>
          <w:sz w:val="32"/>
          <w:szCs w:val="32"/>
        </w:rPr>
        <w:t>c</w:t>
      </w:r>
      <w:r w:rsidR="000D6215">
        <w:rPr>
          <w:rFonts w:ascii="Times New Roman" w:hAnsi="Times New Roman" w:cs="Times New Roman"/>
          <w:sz w:val="32"/>
          <w:szCs w:val="32"/>
        </w:rPr>
        <w:t>attolica, 19, sulla libertà religiosa</w:t>
      </w:r>
      <w:r w:rsidR="006F6987">
        <w:rPr>
          <w:rFonts w:ascii="Times New Roman" w:hAnsi="Times New Roman" w:cs="Times New Roman"/>
          <w:sz w:val="32"/>
          <w:szCs w:val="32"/>
        </w:rPr>
        <w:t xml:space="preserve">, e 117, sul riparto di competenze tra Stato e Regioni. </w:t>
      </w:r>
      <w:r w:rsidR="00DF7CFC">
        <w:rPr>
          <w:rFonts w:ascii="Times New Roman" w:hAnsi="Times New Roman" w:cs="Times New Roman"/>
          <w:sz w:val="32"/>
          <w:szCs w:val="32"/>
        </w:rPr>
        <w:t>La Corte costituzionale, con questa sentenza, ha dichiarato illegittim</w:t>
      </w:r>
      <w:r w:rsidR="003B4A4C">
        <w:rPr>
          <w:rFonts w:ascii="Times New Roman" w:hAnsi="Times New Roman" w:cs="Times New Roman"/>
          <w:sz w:val="32"/>
          <w:szCs w:val="32"/>
        </w:rPr>
        <w:t>i</w:t>
      </w:r>
      <w:r w:rsidR="00DF7CFC">
        <w:rPr>
          <w:rFonts w:ascii="Times New Roman" w:hAnsi="Times New Roman" w:cs="Times New Roman"/>
          <w:sz w:val="32"/>
          <w:szCs w:val="32"/>
        </w:rPr>
        <w:t xml:space="preserve"> </w:t>
      </w:r>
      <w:r w:rsidR="006B2854">
        <w:rPr>
          <w:rFonts w:ascii="Times New Roman" w:hAnsi="Times New Roman" w:cs="Times New Roman"/>
          <w:sz w:val="32"/>
          <w:szCs w:val="32"/>
        </w:rPr>
        <w:t xml:space="preserve">solo alcuni </w:t>
      </w:r>
      <w:r w:rsidR="003B4A4C">
        <w:rPr>
          <w:rFonts w:ascii="Times New Roman" w:hAnsi="Times New Roman" w:cs="Times New Roman"/>
          <w:sz w:val="32"/>
          <w:szCs w:val="32"/>
        </w:rPr>
        <w:t>commi impugnati de</w:t>
      </w:r>
      <w:r w:rsidR="00DF7CFC">
        <w:rPr>
          <w:rFonts w:ascii="Times New Roman" w:hAnsi="Times New Roman" w:cs="Times New Roman"/>
          <w:sz w:val="32"/>
          <w:szCs w:val="32"/>
        </w:rPr>
        <w:t>gli articoli 70</w:t>
      </w:r>
      <w:r w:rsidR="00F829D6">
        <w:rPr>
          <w:rFonts w:ascii="Times New Roman" w:hAnsi="Times New Roman" w:cs="Times New Roman"/>
          <w:sz w:val="32"/>
          <w:szCs w:val="32"/>
        </w:rPr>
        <w:t>, ovvero il 2-bis lettere a) ed e) e il 2-quater,</w:t>
      </w:r>
      <w:r w:rsidR="00DF7CFC">
        <w:rPr>
          <w:rFonts w:ascii="Times New Roman" w:hAnsi="Times New Roman" w:cs="Times New Roman"/>
          <w:sz w:val="32"/>
          <w:szCs w:val="32"/>
        </w:rPr>
        <w:t xml:space="preserve"> e 72</w:t>
      </w:r>
      <w:r w:rsidR="00F829D6">
        <w:rPr>
          <w:rFonts w:ascii="Times New Roman" w:hAnsi="Times New Roman" w:cs="Times New Roman"/>
          <w:sz w:val="32"/>
          <w:szCs w:val="32"/>
        </w:rPr>
        <w:t>, ovvero il 4 e 7 lettera e),</w:t>
      </w:r>
      <w:r w:rsidR="00DF7CFC">
        <w:rPr>
          <w:rFonts w:ascii="Times New Roman" w:hAnsi="Times New Roman" w:cs="Times New Roman"/>
          <w:sz w:val="32"/>
          <w:szCs w:val="32"/>
        </w:rPr>
        <w:t xml:space="preserve"> della legge regionale, in quanto troppo limitativi della libertà di alcune confessioni religiose diverse dalla cattolica e discriminatori</w:t>
      </w:r>
      <w:r w:rsidR="006B2854">
        <w:rPr>
          <w:rFonts w:ascii="Times New Roman" w:hAnsi="Times New Roman" w:cs="Times New Roman"/>
          <w:sz w:val="32"/>
          <w:szCs w:val="32"/>
        </w:rPr>
        <w:t xml:space="preserve">, mentre altri non li ha </w:t>
      </w:r>
      <w:r w:rsidR="00F829D6">
        <w:rPr>
          <w:rFonts w:ascii="Times New Roman" w:hAnsi="Times New Roman" w:cs="Times New Roman"/>
          <w:sz w:val="32"/>
          <w:szCs w:val="32"/>
        </w:rPr>
        <w:t>ritenu</w:t>
      </w:r>
      <w:r w:rsidR="006B2854">
        <w:rPr>
          <w:rFonts w:ascii="Times New Roman" w:hAnsi="Times New Roman" w:cs="Times New Roman"/>
          <w:sz w:val="32"/>
          <w:szCs w:val="32"/>
        </w:rPr>
        <w:t>ti incostituzionali</w:t>
      </w:r>
      <w:r w:rsidR="00F829D6">
        <w:rPr>
          <w:rFonts w:ascii="Times New Roman" w:hAnsi="Times New Roman" w:cs="Times New Roman"/>
          <w:sz w:val="32"/>
          <w:szCs w:val="32"/>
        </w:rPr>
        <w:t>,</w:t>
      </w:r>
      <w:r w:rsidR="006B2854">
        <w:rPr>
          <w:rFonts w:ascii="Times New Roman" w:hAnsi="Times New Roman" w:cs="Times New Roman"/>
          <w:sz w:val="32"/>
          <w:szCs w:val="32"/>
        </w:rPr>
        <w:t xml:space="preserve"> in quanto </w:t>
      </w:r>
      <w:r w:rsidR="006B2854">
        <w:rPr>
          <w:rFonts w:ascii="Times New Roman" w:hAnsi="Times New Roman" w:cs="Times New Roman"/>
          <w:sz w:val="32"/>
          <w:szCs w:val="32"/>
        </w:rPr>
        <w:lastRenderedPageBreak/>
        <w:t>non ponevano in essere discriminazioni, ma solo delle facoltà lasciate alla Regione in materia di distribuzione dei fondi</w:t>
      </w:r>
      <w:r w:rsidR="00B862C2">
        <w:rPr>
          <w:rFonts w:ascii="Times New Roman" w:hAnsi="Times New Roman" w:cs="Times New Roman"/>
          <w:sz w:val="32"/>
          <w:szCs w:val="32"/>
        </w:rPr>
        <w:t xml:space="preserve"> tra le diverse confessioni. Inoltre, vi era stato anche l’intervento a giudizio dell’Associazione VOX- Osservatorio italiano sui diritti, a sostegno della posizione del PdCM, ritenuto però inammissibile</w:t>
      </w:r>
      <w:r w:rsidR="00DF7CFC">
        <w:rPr>
          <w:rFonts w:ascii="Times New Roman" w:hAnsi="Times New Roman" w:cs="Times New Roman"/>
          <w:sz w:val="32"/>
          <w:szCs w:val="32"/>
        </w:rPr>
        <w:t xml:space="preserve"> </w:t>
      </w:r>
      <w:r w:rsidR="00B862C2">
        <w:rPr>
          <w:rFonts w:ascii="Times New Roman" w:hAnsi="Times New Roman" w:cs="Times New Roman"/>
          <w:sz w:val="32"/>
          <w:szCs w:val="32"/>
        </w:rPr>
        <w:t xml:space="preserve">dalla Corte, in quanto è ammesso l’intervento di soggetti titolari di potestà legislativa, di cui l’Associazione VOX era priva. </w:t>
      </w:r>
    </w:p>
    <w:p w14:paraId="124C78CA" w14:textId="7D6D3CD4" w:rsidR="00235C91" w:rsidRPr="00235C91" w:rsidRDefault="004E6307" w:rsidP="00235C91">
      <w:pPr>
        <w:pStyle w:val="Paragrafoelenco"/>
        <w:numPr>
          <w:ilvl w:val="0"/>
          <w:numId w:val="2"/>
        </w:numPr>
        <w:jc w:val="both"/>
        <w:rPr>
          <w:rFonts w:ascii="Times New Roman" w:hAnsi="Times New Roman" w:cs="Times New Roman"/>
          <w:sz w:val="32"/>
          <w:szCs w:val="32"/>
        </w:rPr>
      </w:pPr>
      <w:r>
        <w:rPr>
          <w:rFonts w:ascii="Times New Roman" w:hAnsi="Times New Roman" w:cs="Times New Roman"/>
          <w:sz w:val="32"/>
          <w:szCs w:val="32"/>
        </w:rPr>
        <w:t xml:space="preserve">La sentenza n. </w:t>
      </w:r>
      <w:r w:rsidR="00000C80">
        <w:rPr>
          <w:rFonts w:ascii="Times New Roman" w:hAnsi="Times New Roman" w:cs="Times New Roman"/>
          <w:sz w:val="32"/>
          <w:szCs w:val="32"/>
        </w:rPr>
        <w:t>6</w:t>
      </w:r>
      <w:r>
        <w:rPr>
          <w:rFonts w:ascii="Times New Roman" w:hAnsi="Times New Roman" w:cs="Times New Roman"/>
          <w:sz w:val="32"/>
          <w:szCs w:val="32"/>
        </w:rPr>
        <w:t>7</w:t>
      </w:r>
      <w:r w:rsidR="00885375">
        <w:rPr>
          <w:rFonts w:ascii="Times New Roman" w:hAnsi="Times New Roman" w:cs="Times New Roman"/>
          <w:sz w:val="32"/>
          <w:szCs w:val="32"/>
        </w:rPr>
        <w:t>/</w:t>
      </w:r>
      <w:r>
        <w:rPr>
          <w:rFonts w:ascii="Times New Roman" w:hAnsi="Times New Roman" w:cs="Times New Roman"/>
          <w:sz w:val="32"/>
          <w:szCs w:val="32"/>
        </w:rPr>
        <w:t xml:space="preserve">2017 riguardante la questione di legittimità </w:t>
      </w:r>
      <w:r w:rsidR="003316B4">
        <w:rPr>
          <w:rFonts w:ascii="Times New Roman" w:hAnsi="Times New Roman" w:cs="Times New Roman"/>
          <w:sz w:val="32"/>
          <w:szCs w:val="32"/>
        </w:rPr>
        <w:t>costituzionale</w:t>
      </w:r>
      <w:r>
        <w:rPr>
          <w:rFonts w:ascii="Times New Roman" w:hAnsi="Times New Roman" w:cs="Times New Roman"/>
          <w:sz w:val="32"/>
          <w:szCs w:val="32"/>
        </w:rPr>
        <w:t xml:space="preserve"> dell’articolo 2 della legge della Regione Veneto 12 aprile del 2016, n. 12 </w:t>
      </w:r>
      <w:r w:rsidRPr="004E6307">
        <w:rPr>
          <w:rFonts w:ascii="Times New Roman" w:hAnsi="Times New Roman" w:cs="Times New Roman"/>
          <w:sz w:val="32"/>
          <w:szCs w:val="32"/>
        </w:rPr>
        <w:t>(Modifica della legge regionale 23 aprile 2004, n. 11 recante “Norme per il governo del territorio e in materia di paesaggio” e successive modificazioni), che introduce gli artt. 31-bis e 31-ter nella legge regionale 23 aprile 2004, n. 11</w:t>
      </w:r>
      <w:r>
        <w:rPr>
          <w:rFonts w:ascii="Times New Roman" w:hAnsi="Times New Roman" w:cs="Times New Roman"/>
          <w:sz w:val="32"/>
          <w:szCs w:val="32"/>
        </w:rPr>
        <w:t xml:space="preserve"> (</w:t>
      </w:r>
      <w:r w:rsidR="00885375">
        <w:rPr>
          <w:rFonts w:ascii="Times New Roman" w:hAnsi="Times New Roman" w:cs="Times New Roman"/>
          <w:sz w:val="32"/>
          <w:szCs w:val="32"/>
        </w:rPr>
        <w:t>“</w:t>
      </w:r>
      <w:r>
        <w:rPr>
          <w:rFonts w:ascii="Times New Roman" w:hAnsi="Times New Roman" w:cs="Times New Roman"/>
          <w:sz w:val="32"/>
          <w:szCs w:val="32"/>
        </w:rPr>
        <w:t>Norme per il governo del territorio e in materia di paesaggio</w:t>
      </w:r>
      <w:r w:rsidR="00885375">
        <w:rPr>
          <w:rFonts w:ascii="Times New Roman" w:hAnsi="Times New Roman" w:cs="Times New Roman"/>
          <w:sz w:val="32"/>
          <w:szCs w:val="32"/>
        </w:rPr>
        <w:t>”</w:t>
      </w:r>
      <w:r>
        <w:rPr>
          <w:rFonts w:ascii="Times New Roman" w:hAnsi="Times New Roman" w:cs="Times New Roman"/>
          <w:sz w:val="32"/>
          <w:szCs w:val="32"/>
        </w:rPr>
        <w:t>).</w:t>
      </w:r>
      <w:r w:rsidR="008E0441">
        <w:rPr>
          <w:rFonts w:ascii="Times New Roman" w:hAnsi="Times New Roman" w:cs="Times New Roman"/>
          <w:sz w:val="32"/>
          <w:szCs w:val="32"/>
        </w:rPr>
        <w:t xml:space="preserve"> Venne contestato alla Regione Veneto di essere andata oltre la propria competenza in materia urbanistica</w:t>
      </w:r>
      <w:r w:rsidR="000A62F6">
        <w:rPr>
          <w:rFonts w:ascii="Times New Roman" w:hAnsi="Times New Roman" w:cs="Times New Roman"/>
          <w:sz w:val="32"/>
          <w:szCs w:val="32"/>
        </w:rPr>
        <w:t>, tramite impugnazione del Presidente del Consiglio dei Ministri</w:t>
      </w:r>
      <w:r w:rsidR="003B4A4C">
        <w:rPr>
          <w:rFonts w:ascii="Times New Roman" w:hAnsi="Times New Roman" w:cs="Times New Roman"/>
          <w:sz w:val="32"/>
          <w:szCs w:val="32"/>
        </w:rPr>
        <w:t>:</w:t>
      </w:r>
      <w:r w:rsidR="008E0441">
        <w:rPr>
          <w:rFonts w:ascii="Times New Roman" w:hAnsi="Times New Roman" w:cs="Times New Roman"/>
          <w:sz w:val="32"/>
          <w:szCs w:val="32"/>
        </w:rPr>
        <w:t xml:space="preserve"> spetta alle Regioni la regolazione </w:t>
      </w:r>
      <w:r w:rsidR="003B4A4C">
        <w:rPr>
          <w:rFonts w:ascii="Times New Roman" w:hAnsi="Times New Roman" w:cs="Times New Roman"/>
          <w:sz w:val="32"/>
          <w:szCs w:val="32"/>
        </w:rPr>
        <w:t>di</w:t>
      </w:r>
      <w:r w:rsidR="008E0441">
        <w:rPr>
          <w:rFonts w:ascii="Times New Roman" w:hAnsi="Times New Roman" w:cs="Times New Roman"/>
          <w:sz w:val="32"/>
          <w:szCs w:val="32"/>
        </w:rPr>
        <w:t xml:space="preserve"> questo ambito, ma trattando anche della costruzione degli edifici di culto, si violava gli articoli 8 e 19 della Costituzione, che tutelano l’uguaglianza nel trattamento delle confessioni religiose e la libertà religiosa, e la Legge 1/2000, che riguarda i rapporti tra Stato e confessioni religiose. Inoltre, altr</w:t>
      </w:r>
      <w:r w:rsidR="000A62F6">
        <w:rPr>
          <w:rFonts w:ascii="Times New Roman" w:hAnsi="Times New Roman" w:cs="Times New Roman"/>
          <w:sz w:val="32"/>
          <w:szCs w:val="32"/>
        </w:rPr>
        <w:t>a</w:t>
      </w:r>
      <w:r w:rsidR="008E0441">
        <w:rPr>
          <w:rFonts w:ascii="Times New Roman" w:hAnsi="Times New Roman" w:cs="Times New Roman"/>
          <w:sz w:val="32"/>
          <w:szCs w:val="32"/>
        </w:rPr>
        <w:t xml:space="preserve"> norme di rango costituzionale che </w:t>
      </w:r>
      <w:r w:rsidR="000A62F6">
        <w:rPr>
          <w:rFonts w:ascii="Times New Roman" w:hAnsi="Times New Roman" w:cs="Times New Roman"/>
          <w:sz w:val="32"/>
          <w:szCs w:val="32"/>
        </w:rPr>
        <w:t>è stata violata</w:t>
      </w:r>
      <w:r w:rsidR="008E0441">
        <w:rPr>
          <w:rFonts w:ascii="Times New Roman" w:hAnsi="Times New Roman" w:cs="Times New Roman"/>
          <w:sz w:val="32"/>
          <w:szCs w:val="32"/>
        </w:rPr>
        <w:t xml:space="preserve"> dalla legge regionale </w:t>
      </w:r>
      <w:r w:rsidR="000A62F6">
        <w:rPr>
          <w:rFonts w:ascii="Times New Roman" w:hAnsi="Times New Roman" w:cs="Times New Roman"/>
          <w:sz w:val="32"/>
          <w:szCs w:val="32"/>
        </w:rPr>
        <w:t>è l’articolo 117</w:t>
      </w:r>
      <w:r w:rsidR="008E0441">
        <w:rPr>
          <w:rFonts w:ascii="Times New Roman" w:hAnsi="Times New Roman" w:cs="Times New Roman"/>
          <w:sz w:val="32"/>
          <w:szCs w:val="32"/>
        </w:rPr>
        <w:t xml:space="preserve">, che tratta degli ambiti di competenza in cui le Regioni possono emanare una legge rispettando </w:t>
      </w:r>
      <w:r w:rsidR="003B4A4C">
        <w:rPr>
          <w:rFonts w:ascii="Times New Roman" w:hAnsi="Times New Roman" w:cs="Times New Roman"/>
          <w:sz w:val="32"/>
          <w:szCs w:val="32"/>
        </w:rPr>
        <w:t xml:space="preserve">però </w:t>
      </w:r>
      <w:r w:rsidR="008E0441">
        <w:rPr>
          <w:rFonts w:ascii="Times New Roman" w:hAnsi="Times New Roman" w:cs="Times New Roman"/>
          <w:sz w:val="32"/>
          <w:szCs w:val="32"/>
        </w:rPr>
        <w:t>le leggi statali</w:t>
      </w:r>
      <w:r w:rsidR="000A62F6">
        <w:rPr>
          <w:rFonts w:ascii="Times New Roman" w:hAnsi="Times New Roman" w:cs="Times New Roman"/>
          <w:sz w:val="32"/>
          <w:szCs w:val="32"/>
        </w:rPr>
        <w:t xml:space="preserve"> e non eccedendo in materie di competenza esclusiva dello Stato</w:t>
      </w:r>
      <w:r w:rsidR="008E0441">
        <w:rPr>
          <w:rFonts w:ascii="Times New Roman" w:hAnsi="Times New Roman" w:cs="Times New Roman"/>
          <w:sz w:val="32"/>
          <w:szCs w:val="32"/>
        </w:rPr>
        <w:t xml:space="preserve">, </w:t>
      </w:r>
      <w:r w:rsidR="00714056">
        <w:rPr>
          <w:rFonts w:ascii="Times New Roman" w:hAnsi="Times New Roman" w:cs="Times New Roman"/>
          <w:sz w:val="32"/>
          <w:szCs w:val="32"/>
        </w:rPr>
        <w:t>richiamando</w:t>
      </w:r>
      <w:r w:rsidR="003B4A4C">
        <w:rPr>
          <w:rFonts w:ascii="Times New Roman" w:hAnsi="Times New Roman" w:cs="Times New Roman"/>
          <w:sz w:val="32"/>
          <w:szCs w:val="32"/>
        </w:rPr>
        <w:t xml:space="preserve"> quindi </w:t>
      </w:r>
      <w:r w:rsidR="00714056">
        <w:rPr>
          <w:rFonts w:ascii="Times New Roman" w:hAnsi="Times New Roman" w:cs="Times New Roman"/>
          <w:sz w:val="32"/>
          <w:szCs w:val="32"/>
        </w:rPr>
        <w:t>il</w:t>
      </w:r>
      <w:r w:rsidR="008E0441">
        <w:rPr>
          <w:rFonts w:ascii="Times New Roman" w:hAnsi="Times New Roman" w:cs="Times New Roman"/>
          <w:sz w:val="32"/>
          <w:szCs w:val="32"/>
        </w:rPr>
        <w:t xml:space="preserve"> principio di sussidiarietà. </w:t>
      </w:r>
    </w:p>
    <w:p w14:paraId="3D7890E0" w14:textId="217B755E" w:rsidR="00D4050B" w:rsidRPr="005E0C8A" w:rsidRDefault="00D4050B" w:rsidP="00D4050B">
      <w:pPr>
        <w:jc w:val="both"/>
        <w:rPr>
          <w:rFonts w:ascii="Times New Roman" w:hAnsi="Times New Roman" w:cs="Times New Roman"/>
          <w:b/>
          <w:bCs/>
          <w:sz w:val="32"/>
          <w:szCs w:val="32"/>
        </w:rPr>
      </w:pPr>
      <w:r w:rsidRPr="005E0C8A">
        <w:rPr>
          <w:rFonts w:ascii="Times New Roman" w:hAnsi="Times New Roman" w:cs="Times New Roman"/>
          <w:b/>
          <w:bCs/>
          <w:sz w:val="32"/>
          <w:szCs w:val="32"/>
        </w:rPr>
        <w:t>NORME E PARAMETRI RILEVANTI</w:t>
      </w:r>
      <w:r w:rsidR="00A90255">
        <w:rPr>
          <w:rFonts w:ascii="Times New Roman" w:hAnsi="Times New Roman" w:cs="Times New Roman"/>
          <w:b/>
          <w:bCs/>
          <w:sz w:val="32"/>
          <w:szCs w:val="32"/>
        </w:rPr>
        <w:t xml:space="preserve"> DELL’ORDINAMENTO INTERNO</w:t>
      </w:r>
    </w:p>
    <w:p w14:paraId="2353DF3E" w14:textId="40195638" w:rsidR="00D2001E" w:rsidRDefault="00D2001E" w:rsidP="00D4050B">
      <w:pPr>
        <w:jc w:val="both"/>
        <w:rPr>
          <w:rFonts w:ascii="Times New Roman" w:hAnsi="Times New Roman" w:cs="Times New Roman"/>
          <w:sz w:val="32"/>
          <w:szCs w:val="32"/>
        </w:rPr>
      </w:pPr>
      <w:r>
        <w:rPr>
          <w:rFonts w:ascii="Times New Roman" w:hAnsi="Times New Roman" w:cs="Times New Roman"/>
          <w:sz w:val="32"/>
          <w:szCs w:val="32"/>
        </w:rPr>
        <w:t xml:space="preserve">Diverse norme presenti nella Costituzione sono state richiamate nei due casi sopra visti. </w:t>
      </w:r>
    </w:p>
    <w:p w14:paraId="4C89FB6D" w14:textId="4E5B1299" w:rsidR="00D2001E" w:rsidRDefault="00D2001E" w:rsidP="00D2001E">
      <w:pPr>
        <w:pStyle w:val="Paragrafoelenco"/>
        <w:numPr>
          <w:ilvl w:val="0"/>
          <w:numId w:val="3"/>
        </w:numPr>
        <w:jc w:val="both"/>
        <w:rPr>
          <w:rFonts w:ascii="Times New Roman" w:hAnsi="Times New Roman" w:cs="Times New Roman"/>
          <w:sz w:val="32"/>
          <w:szCs w:val="32"/>
        </w:rPr>
      </w:pPr>
      <w:r>
        <w:rPr>
          <w:rFonts w:ascii="Times New Roman" w:hAnsi="Times New Roman" w:cs="Times New Roman"/>
          <w:sz w:val="32"/>
          <w:szCs w:val="32"/>
        </w:rPr>
        <w:lastRenderedPageBreak/>
        <w:t>Articolo 3: da questo articolo si ricava il principio di uguaglianza, per cui tutti i cittadini sono eguali davanti alla legge. Al primo comma viene fatto esplicito riferimento alla religione, in quanto essa non può essere motivo di discriminazione e distinzione tra i diversi individui. Inoltre al secondo comma, si prevede che la Repubblica debba rimuovere gli ostacoli che possano limitare “la libertà e l’eguaglianza dei cittadini”. Nei due casi di Lombardia e Veneto, le rispettive leggi regionali erano fonte di ostacoli per la libertà di professare la propria fede in luoghi di culto: nel caso della Lombardia</w:t>
      </w:r>
      <w:r w:rsidR="00FE3B68">
        <w:rPr>
          <w:rFonts w:ascii="Times New Roman" w:hAnsi="Times New Roman" w:cs="Times New Roman"/>
          <w:sz w:val="32"/>
          <w:szCs w:val="32"/>
        </w:rPr>
        <w:t>,</w:t>
      </w:r>
      <w:r>
        <w:rPr>
          <w:rFonts w:ascii="Times New Roman" w:hAnsi="Times New Roman" w:cs="Times New Roman"/>
          <w:sz w:val="32"/>
          <w:szCs w:val="32"/>
        </w:rPr>
        <w:t xml:space="preserve"> prevedendo che i luoghi di culto non andassero contro </w:t>
      </w:r>
      <w:r w:rsidR="00DF364F" w:rsidRPr="00DF364F">
        <w:rPr>
          <w:rFonts w:ascii="Times New Roman" w:hAnsi="Times New Roman" w:cs="Times New Roman"/>
          <w:sz w:val="32"/>
          <w:szCs w:val="32"/>
        </w:rPr>
        <w:t xml:space="preserve">la </w:t>
      </w:r>
      <w:r w:rsidR="00FE3B68">
        <w:rPr>
          <w:rFonts w:ascii="Times New Roman" w:hAnsi="Times New Roman" w:cs="Times New Roman"/>
          <w:sz w:val="32"/>
          <w:szCs w:val="32"/>
        </w:rPr>
        <w:t>“</w:t>
      </w:r>
      <w:r w:rsidR="00DF364F" w:rsidRPr="00DF364F">
        <w:rPr>
          <w:rFonts w:ascii="Times New Roman" w:hAnsi="Times New Roman" w:cs="Times New Roman"/>
          <w:sz w:val="32"/>
          <w:szCs w:val="32"/>
        </w:rPr>
        <w:t>congruità architettonica e dimensionale degli edifici di culto previsti con le caratteristiche generali e peculiari del paesaggio lombardo</w:t>
      </w:r>
      <w:r w:rsidR="00FE3B68">
        <w:rPr>
          <w:rFonts w:ascii="Times New Roman" w:hAnsi="Times New Roman" w:cs="Times New Roman"/>
          <w:sz w:val="32"/>
          <w:szCs w:val="32"/>
        </w:rPr>
        <w:t>”</w:t>
      </w:r>
      <w:r w:rsidR="00DF364F" w:rsidRPr="00DF364F">
        <w:rPr>
          <w:rFonts w:ascii="Times New Roman" w:hAnsi="Times New Roman" w:cs="Times New Roman"/>
          <w:sz w:val="32"/>
          <w:szCs w:val="32"/>
        </w:rPr>
        <w:t>,</w:t>
      </w:r>
      <w:r w:rsidR="00DF364F">
        <w:rPr>
          <w:rFonts w:ascii="Times New Roman" w:hAnsi="Times New Roman" w:cs="Times New Roman"/>
          <w:sz w:val="32"/>
          <w:szCs w:val="32"/>
        </w:rPr>
        <w:t xml:space="preserve"> discriminando quindi gli edifici con uno stile diverso</w:t>
      </w:r>
      <w:r w:rsidR="00CC7DA4">
        <w:rPr>
          <w:rFonts w:ascii="Times New Roman" w:hAnsi="Times New Roman" w:cs="Times New Roman"/>
          <w:sz w:val="32"/>
          <w:szCs w:val="32"/>
        </w:rPr>
        <w:t>, violando così gli articoli 3,</w:t>
      </w:r>
      <w:r w:rsidR="00F829D6">
        <w:rPr>
          <w:rFonts w:ascii="Times New Roman" w:hAnsi="Times New Roman" w:cs="Times New Roman"/>
          <w:sz w:val="32"/>
          <w:szCs w:val="32"/>
        </w:rPr>
        <w:t xml:space="preserve"> </w:t>
      </w:r>
      <w:r w:rsidR="00CC7DA4">
        <w:rPr>
          <w:rFonts w:ascii="Times New Roman" w:hAnsi="Times New Roman" w:cs="Times New Roman"/>
          <w:sz w:val="32"/>
          <w:szCs w:val="32"/>
        </w:rPr>
        <w:t xml:space="preserve">8 e 19 della Carta Costituzionale </w:t>
      </w:r>
      <w:r w:rsidR="0024116E">
        <w:rPr>
          <w:rFonts w:ascii="Times New Roman" w:hAnsi="Times New Roman" w:cs="Times New Roman"/>
          <w:sz w:val="32"/>
          <w:szCs w:val="32"/>
        </w:rPr>
        <w:t>con</w:t>
      </w:r>
      <w:r w:rsidR="00CC7DA4">
        <w:rPr>
          <w:rFonts w:ascii="Times New Roman" w:hAnsi="Times New Roman" w:cs="Times New Roman"/>
          <w:sz w:val="32"/>
          <w:szCs w:val="32"/>
        </w:rPr>
        <w:t xml:space="preserve"> una </w:t>
      </w:r>
      <w:r w:rsidR="00CC7DA4" w:rsidRPr="00CC7DA4">
        <w:rPr>
          <w:rFonts w:ascii="Times New Roman" w:hAnsi="Times New Roman" w:cs="Times New Roman"/>
          <w:sz w:val="32"/>
          <w:szCs w:val="32"/>
        </w:rPr>
        <w:t xml:space="preserve">formula </w:t>
      </w:r>
      <w:r w:rsidR="00FE3B68">
        <w:rPr>
          <w:rFonts w:ascii="Times New Roman" w:hAnsi="Times New Roman" w:cs="Times New Roman"/>
          <w:sz w:val="32"/>
          <w:szCs w:val="32"/>
        </w:rPr>
        <w:t>“</w:t>
      </w:r>
      <w:r w:rsidR="00CC7DA4" w:rsidRPr="00CC7DA4">
        <w:rPr>
          <w:rFonts w:ascii="Times New Roman" w:hAnsi="Times New Roman" w:cs="Times New Roman"/>
          <w:sz w:val="32"/>
          <w:szCs w:val="32"/>
        </w:rPr>
        <w:t>già di per sé ambigua e non priva di una qualche inafferrabilità concettuale</w:t>
      </w:r>
      <w:r w:rsidR="00CC7DA4">
        <w:rPr>
          <w:rFonts w:ascii="Times New Roman" w:hAnsi="Times New Roman" w:cs="Times New Roman"/>
          <w:sz w:val="32"/>
          <w:szCs w:val="32"/>
        </w:rPr>
        <w:t>”</w:t>
      </w:r>
      <w:r w:rsidR="0024116E">
        <w:rPr>
          <w:rFonts w:ascii="Times New Roman" w:hAnsi="Times New Roman" w:cs="Times New Roman"/>
          <w:sz w:val="32"/>
          <w:szCs w:val="32"/>
        </w:rPr>
        <w:t>, che attribuirebbe eccessivo potere discrezionale all’amministrazione</w:t>
      </w:r>
      <w:r w:rsidR="00DF364F">
        <w:rPr>
          <w:rFonts w:ascii="Times New Roman" w:hAnsi="Times New Roman" w:cs="Times New Roman"/>
          <w:sz w:val="32"/>
          <w:szCs w:val="32"/>
        </w:rPr>
        <w:t>; nel caso del Veneto, veniva previsto “</w:t>
      </w:r>
      <w:r w:rsidR="00DF364F" w:rsidRPr="00DF364F">
        <w:rPr>
          <w:rFonts w:ascii="Times New Roman" w:hAnsi="Times New Roman" w:cs="Times New Roman"/>
          <w:sz w:val="32"/>
          <w:szCs w:val="32"/>
        </w:rPr>
        <w:t>l’impegno ad utilizzare la lingua italiana per tutte le attività svolte nelle attrezzature di interesse comune per servizi religiosi, che non siano strettamente connesse alle pratiche rituali di culto</w:t>
      </w:r>
      <w:r w:rsidR="00DF364F">
        <w:rPr>
          <w:rFonts w:ascii="Times New Roman" w:hAnsi="Times New Roman" w:cs="Times New Roman"/>
          <w:sz w:val="32"/>
          <w:szCs w:val="32"/>
        </w:rPr>
        <w:t>”, discriminando quindi la possibilità dell’utilizzo della lingua</w:t>
      </w:r>
      <w:r w:rsidR="00FE3B68">
        <w:rPr>
          <w:rFonts w:ascii="Times New Roman" w:hAnsi="Times New Roman" w:cs="Times New Roman"/>
          <w:sz w:val="32"/>
          <w:szCs w:val="32"/>
        </w:rPr>
        <w:t xml:space="preserve"> utilizzata per un determinato rito</w:t>
      </w:r>
      <w:r w:rsidR="00DF364F">
        <w:rPr>
          <w:rFonts w:ascii="Times New Roman" w:hAnsi="Times New Roman" w:cs="Times New Roman"/>
          <w:sz w:val="32"/>
          <w:szCs w:val="32"/>
        </w:rPr>
        <w:t xml:space="preserve"> per coloro che frequentavano i luoghi adibiti a</w:t>
      </w:r>
      <w:r w:rsidR="00FE3B68">
        <w:rPr>
          <w:rFonts w:ascii="Times New Roman" w:hAnsi="Times New Roman" w:cs="Times New Roman"/>
          <w:sz w:val="32"/>
          <w:szCs w:val="32"/>
        </w:rPr>
        <w:t xml:space="preserve"> ciò</w:t>
      </w:r>
      <w:r w:rsidR="00DF364F">
        <w:rPr>
          <w:rFonts w:ascii="Times New Roman" w:hAnsi="Times New Roman" w:cs="Times New Roman"/>
          <w:sz w:val="32"/>
          <w:szCs w:val="32"/>
        </w:rPr>
        <w:t>.</w:t>
      </w:r>
    </w:p>
    <w:p w14:paraId="566D2A9B" w14:textId="49A2B13F" w:rsidR="00DF364F" w:rsidRDefault="00DF364F" w:rsidP="00D2001E">
      <w:pPr>
        <w:pStyle w:val="Paragrafoelenco"/>
        <w:numPr>
          <w:ilvl w:val="0"/>
          <w:numId w:val="3"/>
        </w:numPr>
        <w:jc w:val="both"/>
        <w:rPr>
          <w:rFonts w:ascii="Times New Roman" w:hAnsi="Times New Roman" w:cs="Times New Roman"/>
          <w:sz w:val="32"/>
          <w:szCs w:val="32"/>
        </w:rPr>
      </w:pPr>
      <w:r>
        <w:rPr>
          <w:rFonts w:ascii="Times New Roman" w:hAnsi="Times New Roman" w:cs="Times New Roman"/>
          <w:sz w:val="32"/>
          <w:szCs w:val="32"/>
        </w:rPr>
        <w:t xml:space="preserve">Articolo 8: </w:t>
      </w:r>
      <w:r w:rsidR="003D060A">
        <w:rPr>
          <w:rFonts w:ascii="Times New Roman" w:hAnsi="Times New Roman" w:cs="Times New Roman"/>
          <w:sz w:val="32"/>
          <w:szCs w:val="32"/>
        </w:rPr>
        <w:t>questa disposizione stabilisce al primo comma che tutte le confessioni religiose sono egualmente libere davanti alla Legge e al secondo che ess</w:t>
      </w:r>
      <w:r w:rsidR="00FE3B68">
        <w:rPr>
          <w:rFonts w:ascii="Times New Roman" w:hAnsi="Times New Roman" w:cs="Times New Roman"/>
          <w:sz w:val="32"/>
          <w:szCs w:val="32"/>
        </w:rPr>
        <w:t>e</w:t>
      </w:r>
      <w:r w:rsidR="003D060A">
        <w:rPr>
          <w:rFonts w:ascii="Times New Roman" w:hAnsi="Times New Roman" w:cs="Times New Roman"/>
          <w:sz w:val="32"/>
          <w:szCs w:val="32"/>
        </w:rPr>
        <w:t xml:space="preserve"> hanno il diritto di organizzarsi secondo i propri statuti</w:t>
      </w:r>
      <w:r w:rsidR="00FE3B68">
        <w:rPr>
          <w:rFonts w:ascii="Times New Roman" w:hAnsi="Times New Roman" w:cs="Times New Roman"/>
          <w:sz w:val="32"/>
          <w:szCs w:val="32"/>
        </w:rPr>
        <w:t>,</w:t>
      </w:r>
      <w:r w:rsidR="003D060A">
        <w:rPr>
          <w:rFonts w:ascii="Times New Roman" w:hAnsi="Times New Roman" w:cs="Times New Roman"/>
          <w:sz w:val="32"/>
          <w:szCs w:val="32"/>
        </w:rPr>
        <w:t xml:space="preserve"> a patto che non contrastino con l’ordinamento italiano. Inoltre, al terzo comma viene stabilito come fra lo Stato e le confessioni religiose possono essere stipulate delle intese per regolare i rapporti tra loro. È proprio il terzo comma dell’articolo che viene richiamato nel caso lombardo, in quanto il Presidente del Consiglio dei Ministri affermava che l’articolo 70 della legge regionale ai commi 2 e 2-bis introducesse “</w:t>
      </w:r>
      <w:r w:rsidR="003D060A" w:rsidRPr="003D060A">
        <w:rPr>
          <w:rFonts w:ascii="Times New Roman" w:hAnsi="Times New Roman" w:cs="Times New Roman"/>
          <w:sz w:val="32"/>
          <w:szCs w:val="32"/>
        </w:rPr>
        <w:t xml:space="preserve">un’irragionevole disparità di trattamento a danno delle confessioni acattoliche prive di intesa o con intesa non ancora </w:t>
      </w:r>
      <w:r w:rsidR="003D060A" w:rsidRPr="003D060A">
        <w:rPr>
          <w:rFonts w:ascii="Times New Roman" w:hAnsi="Times New Roman" w:cs="Times New Roman"/>
          <w:sz w:val="32"/>
          <w:szCs w:val="32"/>
        </w:rPr>
        <w:lastRenderedPageBreak/>
        <w:t xml:space="preserve">approvata con legge, rispetto alla Chiesa </w:t>
      </w:r>
      <w:r w:rsidR="004B5115">
        <w:rPr>
          <w:rFonts w:ascii="Times New Roman" w:hAnsi="Times New Roman" w:cs="Times New Roman"/>
          <w:sz w:val="32"/>
          <w:szCs w:val="32"/>
        </w:rPr>
        <w:t>c</w:t>
      </w:r>
      <w:r w:rsidR="003D060A" w:rsidRPr="003D060A">
        <w:rPr>
          <w:rFonts w:ascii="Times New Roman" w:hAnsi="Times New Roman" w:cs="Times New Roman"/>
          <w:sz w:val="32"/>
          <w:szCs w:val="32"/>
        </w:rPr>
        <w:t>attolica e alle altre confessioni religiose con intesa già approvata con legge</w:t>
      </w:r>
      <w:r w:rsidR="003D060A">
        <w:rPr>
          <w:rFonts w:ascii="Times New Roman" w:hAnsi="Times New Roman" w:cs="Times New Roman"/>
          <w:sz w:val="32"/>
          <w:szCs w:val="32"/>
        </w:rPr>
        <w:t xml:space="preserve">”. Infatti, prevedere delle condizioni sfavorevoli per </w:t>
      </w:r>
      <w:r w:rsidR="00CC7DA4">
        <w:rPr>
          <w:rFonts w:ascii="Times New Roman" w:hAnsi="Times New Roman" w:cs="Times New Roman"/>
          <w:sz w:val="32"/>
          <w:szCs w:val="32"/>
        </w:rPr>
        <w:t xml:space="preserve">le altre confessioni diverse da quella </w:t>
      </w:r>
      <w:r w:rsidR="004B5115">
        <w:rPr>
          <w:rFonts w:ascii="Times New Roman" w:hAnsi="Times New Roman" w:cs="Times New Roman"/>
          <w:sz w:val="32"/>
          <w:szCs w:val="32"/>
        </w:rPr>
        <w:t>c</w:t>
      </w:r>
      <w:r w:rsidR="00CC7DA4">
        <w:rPr>
          <w:rFonts w:ascii="Times New Roman" w:hAnsi="Times New Roman" w:cs="Times New Roman"/>
          <w:sz w:val="32"/>
          <w:szCs w:val="32"/>
        </w:rPr>
        <w:t>attolica</w:t>
      </w:r>
      <w:r w:rsidR="00FE3B68">
        <w:rPr>
          <w:rFonts w:ascii="Times New Roman" w:hAnsi="Times New Roman" w:cs="Times New Roman"/>
          <w:sz w:val="32"/>
          <w:szCs w:val="32"/>
        </w:rPr>
        <w:t xml:space="preserve"> o da quelle che hanno raggiunto un’intesa con lo Stato</w:t>
      </w:r>
      <w:r w:rsidR="00CC7DA4">
        <w:rPr>
          <w:rFonts w:ascii="Times New Roman" w:hAnsi="Times New Roman" w:cs="Times New Roman"/>
          <w:sz w:val="32"/>
          <w:szCs w:val="32"/>
        </w:rPr>
        <w:t xml:space="preserve"> portava ad una disparità di trattamento non ammessa in Costituzione, in quanto esistono due articoli diversi, 7 e 8, ma solamente per differenziare lo strumento per regolare i rapporti con lo Stato, per cui tra Stato e Chiesa cattolica tramite i Patti Lateranensi, mentre tra Stato ed altre confessioni tramite intese. L’utilizzo di un differente strumento non deve però essere sintomatico di un trattamento diseguale e di una minor tutela di libertà religiosa concessa, specialmente “</w:t>
      </w:r>
      <w:r w:rsidR="00CC7DA4" w:rsidRPr="00CC7DA4">
        <w:rPr>
          <w:rFonts w:ascii="Times New Roman" w:hAnsi="Times New Roman" w:cs="Times New Roman"/>
          <w:sz w:val="32"/>
          <w:szCs w:val="32"/>
        </w:rPr>
        <w:t>nella considerazione che le condizioni di queste confessioni sono disagiate e precarie proprio in materia di edifici di culto e di attrezzature religiose essenziali</w:t>
      </w:r>
      <w:r w:rsidR="00CC7DA4">
        <w:rPr>
          <w:rFonts w:ascii="Times New Roman" w:hAnsi="Times New Roman" w:cs="Times New Roman"/>
          <w:sz w:val="32"/>
          <w:szCs w:val="32"/>
        </w:rPr>
        <w:t xml:space="preserve">”. </w:t>
      </w:r>
      <w:r w:rsidR="00A85955">
        <w:rPr>
          <w:rFonts w:ascii="Times New Roman" w:hAnsi="Times New Roman" w:cs="Times New Roman"/>
          <w:sz w:val="32"/>
          <w:szCs w:val="32"/>
        </w:rPr>
        <w:t>La Corte prevede quindi che “l</w:t>
      </w:r>
      <w:r w:rsidR="00A85955" w:rsidRPr="00A85955">
        <w:rPr>
          <w:rFonts w:ascii="Times New Roman" w:hAnsi="Times New Roman" w:cs="Times New Roman"/>
          <w:sz w:val="32"/>
          <w:szCs w:val="32"/>
        </w:rPr>
        <w:t>’esercizio della libertà di aprire luoghi di culto, pertanto, non può essere condizionato a una previa regolazione pattizia</w:t>
      </w:r>
      <w:r w:rsidR="00A85955">
        <w:rPr>
          <w:rFonts w:ascii="Times New Roman" w:hAnsi="Times New Roman" w:cs="Times New Roman"/>
          <w:sz w:val="32"/>
          <w:szCs w:val="32"/>
        </w:rPr>
        <w:t>”, altrimenti se così non fosse ci sarebbero delle discriminazioni per le confessioni che o non hanno ancora raggiunto un’intesa con lo Stato o non abbiano interesse a raggiungerla. Se la Regione, tramite una legge regionale, imponesse dei requisiti differenziati e più stringenti per permettere la costruzione degli edifici di culto alle confessioni prive di intesa, eccederebbe la sua competenza, “</w:t>
      </w:r>
      <w:r w:rsidR="00A85955" w:rsidRPr="00A85955">
        <w:rPr>
          <w:rFonts w:ascii="Times New Roman" w:hAnsi="Times New Roman" w:cs="Times New Roman"/>
          <w:sz w:val="32"/>
          <w:szCs w:val="32"/>
        </w:rPr>
        <w:t>entrando in un ambito nel quale sussistono forti e qualificate esigenze di eguaglianza</w:t>
      </w:r>
      <w:r w:rsidR="00A85955">
        <w:rPr>
          <w:rFonts w:ascii="Times New Roman" w:hAnsi="Times New Roman" w:cs="Times New Roman"/>
          <w:sz w:val="32"/>
          <w:szCs w:val="32"/>
        </w:rPr>
        <w:t>”. Per queste ragioni, l’articolo 70 viene dichiarato illegittimo costituzionalmente</w:t>
      </w:r>
      <w:r w:rsidR="00FE3B68">
        <w:rPr>
          <w:rFonts w:ascii="Times New Roman" w:hAnsi="Times New Roman" w:cs="Times New Roman"/>
          <w:sz w:val="32"/>
          <w:szCs w:val="32"/>
        </w:rPr>
        <w:t xml:space="preserve"> ne</w:t>
      </w:r>
      <w:r w:rsidR="00F829D6">
        <w:rPr>
          <w:rFonts w:ascii="Times New Roman" w:hAnsi="Times New Roman" w:cs="Times New Roman"/>
          <w:sz w:val="32"/>
          <w:szCs w:val="32"/>
        </w:rPr>
        <w:t>l comma</w:t>
      </w:r>
      <w:r w:rsidR="00FE3B68">
        <w:rPr>
          <w:rFonts w:ascii="Times New Roman" w:hAnsi="Times New Roman" w:cs="Times New Roman"/>
          <w:sz w:val="32"/>
          <w:szCs w:val="32"/>
        </w:rPr>
        <w:t xml:space="preserve"> 2-bis</w:t>
      </w:r>
      <w:r w:rsidR="00F829D6">
        <w:rPr>
          <w:rFonts w:ascii="Times New Roman" w:hAnsi="Times New Roman" w:cs="Times New Roman"/>
          <w:sz w:val="32"/>
          <w:szCs w:val="32"/>
        </w:rPr>
        <w:t>, limitatamente alle parole “che presentano i seguenti requisiti”, ponendo così in essere una distinzione foriera di discriminazione</w:t>
      </w:r>
      <w:r w:rsidR="00A85955">
        <w:rPr>
          <w:rFonts w:ascii="Times New Roman" w:hAnsi="Times New Roman" w:cs="Times New Roman"/>
          <w:sz w:val="32"/>
          <w:szCs w:val="32"/>
        </w:rPr>
        <w:t>.</w:t>
      </w:r>
    </w:p>
    <w:p w14:paraId="402BD30E" w14:textId="4A62E535" w:rsidR="00A85955" w:rsidRDefault="00A85955" w:rsidP="00D2001E">
      <w:pPr>
        <w:pStyle w:val="Paragrafoelenco"/>
        <w:numPr>
          <w:ilvl w:val="0"/>
          <w:numId w:val="3"/>
        </w:numPr>
        <w:jc w:val="both"/>
        <w:rPr>
          <w:rFonts w:ascii="Times New Roman" w:hAnsi="Times New Roman" w:cs="Times New Roman"/>
          <w:sz w:val="32"/>
          <w:szCs w:val="32"/>
        </w:rPr>
      </w:pPr>
      <w:r>
        <w:rPr>
          <w:rFonts w:ascii="Times New Roman" w:hAnsi="Times New Roman" w:cs="Times New Roman"/>
          <w:sz w:val="32"/>
          <w:szCs w:val="32"/>
        </w:rPr>
        <w:t xml:space="preserve">Articolo 19: </w:t>
      </w:r>
      <w:r w:rsidR="0067156E">
        <w:rPr>
          <w:rFonts w:ascii="Times New Roman" w:hAnsi="Times New Roman" w:cs="Times New Roman"/>
          <w:sz w:val="32"/>
          <w:szCs w:val="32"/>
        </w:rPr>
        <w:t>questo articolo riporta il principio della libertà religiosa, per cui ognuno è libero di professare la propria fede religiosa ne</w:t>
      </w:r>
      <w:r w:rsidR="004B5115">
        <w:rPr>
          <w:rFonts w:ascii="Times New Roman" w:hAnsi="Times New Roman" w:cs="Times New Roman"/>
          <w:sz w:val="32"/>
          <w:szCs w:val="32"/>
        </w:rPr>
        <w:t>lle modalità</w:t>
      </w:r>
      <w:r w:rsidR="0067156E">
        <w:rPr>
          <w:rFonts w:ascii="Times New Roman" w:hAnsi="Times New Roman" w:cs="Times New Roman"/>
          <w:sz w:val="32"/>
          <w:szCs w:val="32"/>
        </w:rPr>
        <w:t xml:space="preserve"> che preferisce, con l’eccezione dei riti che sono “contrari al buon costume”. L’articolo costituzionale in questione ha come obiettivo sia la tutela </w:t>
      </w:r>
      <w:r w:rsidR="00B81B51">
        <w:rPr>
          <w:rFonts w:ascii="Times New Roman" w:hAnsi="Times New Roman" w:cs="Times New Roman"/>
          <w:sz w:val="32"/>
          <w:szCs w:val="32"/>
        </w:rPr>
        <w:t>dell</w:t>
      </w:r>
      <w:r w:rsidR="0067156E">
        <w:rPr>
          <w:rFonts w:ascii="Times New Roman" w:hAnsi="Times New Roman" w:cs="Times New Roman"/>
          <w:sz w:val="32"/>
          <w:szCs w:val="32"/>
        </w:rPr>
        <w:t xml:space="preserve">a possibilità di professare liberamente il proprio credo sia impedire che vi siano delle irragionevoli disparità di </w:t>
      </w:r>
      <w:r w:rsidR="0067156E">
        <w:rPr>
          <w:rFonts w:ascii="Times New Roman" w:hAnsi="Times New Roman" w:cs="Times New Roman"/>
          <w:sz w:val="32"/>
          <w:szCs w:val="32"/>
        </w:rPr>
        <w:lastRenderedPageBreak/>
        <w:t>trattamento nei confronti di alcune confessioni religiose e non. L’articolo 70 della legge regionale della Lombardia violerebbe questo dettato in quanto “</w:t>
      </w:r>
      <w:r w:rsidR="0067156E" w:rsidRPr="0067156E">
        <w:rPr>
          <w:rFonts w:ascii="Times New Roman" w:hAnsi="Times New Roman" w:cs="Times New Roman"/>
          <w:sz w:val="32"/>
          <w:szCs w:val="32"/>
        </w:rPr>
        <w:t>definirebbe con una formula troppo generale e generica i presupposti della risoluzione o revoca della convenzione</w:t>
      </w:r>
      <w:r w:rsidR="0067156E">
        <w:rPr>
          <w:rFonts w:ascii="Times New Roman" w:hAnsi="Times New Roman" w:cs="Times New Roman"/>
          <w:sz w:val="32"/>
          <w:szCs w:val="32"/>
        </w:rPr>
        <w:t xml:space="preserve">”, mentre </w:t>
      </w:r>
      <w:r w:rsidR="00B81B51">
        <w:rPr>
          <w:rFonts w:ascii="Times New Roman" w:hAnsi="Times New Roman" w:cs="Times New Roman"/>
          <w:sz w:val="32"/>
          <w:szCs w:val="32"/>
        </w:rPr>
        <w:t>l’articolo 72 sarebbe illegittimo nella possibilità di prevedere un referendum da parte dei Comuni riguardo ai piani delle attrezzature religiose poiché la destinazione delle aree destinate alla costruzione degli edifici di culto sarebbe “subordinata a decisioni espressioni di maggioranze politiche o culturali o altro”. Per la Corte vale il divieto di discriminazione, ma ciò non vuol dire che tutte le confessioni abbiano un’eguale porzione dei contributi e degli spazi disponibili: bisognerà distribuirli tenendo conto dell’entità della presenza sul territorio delle diverse confessioni. Viene comunque ribadito che il legislatore regionale non possa introdurre disposizioni che vadano ad intaccare l’attuazione del principio della libertà religiosa, eccedendo le proprie competenze</w:t>
      </w:r>
      <w:r w:rsidR="004B5115">
        <w:rPr>
          <w:rFonts w:ascii="Times New Roman" w:hAnsi="Times New Roman" w:cs="Times New Roman"/>
          <w:sz w:val="32"/>
          <w:szCs w:val="32"/>
        </w:rPr>
        <w:t>, essendo questi rapporti regolati direttamente dallo Stato con le confessioni religiose</w:t>
      </w:r>
      <w:r w:rsidR="00B81B51">
        <w:rPr>
          <w:rFonts w:ascii="Times New Roman" w:hAnsi="Times New Roman" w:cs="Times New Roman"/>
          <w:sz w:val="32"/>
          <w:szCs w:val="32"/>
        </w:rPr>
        <w:t xml:space="preserve">. </w:t>
      </w:r>
      <w:r w:rsidR="00C32702">
        <w:rPr>
          <w:rFonts w:ascii="Times New Roman" w:hAnsi="Times New Roman" w:cs="Times New Roman"/>
          <w:sz w:val="32"/>
          <w:szCs w:val="32"/>
        </w:rPr>
        <w:t>Anche nel caso del Veneto veniva lamentata la violazione dell’articolo 19 della Costituzione, in quanto l’articolo 31-ter comma 3 prevede</w:t>
      </w:r>
      <w:r w:rsidR="004B5115">
        <w:rPr>
          <w:rFonts w:ascii="Times New Roman" w:hAnsi="Times New Roman" w:cs="Times New Roman"/>
          <w:sz w:val="32"/>
          <w:szCs w:val="32"/>
        </w:rPr>
        <w:t>va</w:t>
      </w:r>
      <w:r w:rsidR="00C32702">
        <w:rPr>
          <w:rFonts w:ascii="Times New Roman" w:hAnsi="Times New Roman" w:cs="Times New Roman"/>
          <w:sz w:val="32"/>
          <w:szCs w:val="32"/>
        </w:rPr>
        <w:t xml:space="preserve"> che </w:t>
      </w:r>
      <w:r w:rsidR="00C32702" w:rsidRPr="00C32702">
        <w:rPr>
          <w:rFonts w:ascii="Times New Roman" w:hAnsi="Times New Roman" w:cs="Times New Roman"/>
          <w:sz w:val="32"/>
          <w:szCs w:val="32"/>
        </w:rPr>
        <w:t>il soggetto richiedente la realizzazione dell’attrezzatura</w:t>
      </w:r>
      <w:r w:rsidR="004B5115">
        <w:rPr>
          <w:rFonts w:ascii="Times New Roman" w:hAnsi="Times New Roman" w:cs="Times New Roman"/>
          <w:sz w:val="32"/>
          <w:szCs w:val="32"/>
        </w:rPr>
        <w:t xml:space="preserve"> per l’utilizzo in un luogo di culto</w:t>
      </w:r>
      <w:r w:rsidR="00C32702" w:rsidRPr="00C32702">
        <w:rPr>
          <w:rFonts w:ascii="Times New Roman" w:hAnsi="Times New Roman" w:cs="Times New Roman"/>
          <w:sz w:val="32"/>
          <w:szCs w:val="32"/>
        </w:rPr>
        <w:t xml:space="preserve"> sottoscriva con il Comune una convenzione contenente un impegno fideiussorio, e che in tale convenzione </w:t>
      </w:r>
      <w:r w:rsidR="004B5115">
        <w:rPr>
          <w:rFonts w:ascii="Times New Roman" w:hAnsi="Times New Roman" w:cs="Times New Roman"/>
          <w:sz w:val="32"/>
          <w:szCs w:val="32"/>
        </w:rPr>
        <w:t>potesse “</w:t>
      </w:r>
      <w:r w:rsidR="00C32702" w:rsidRPr="00C32702">
        <w:rPr>
          <w:rFonts w:ascii="Times New Roman" w:hAnsi="Times New Roman" w:cs="Times New Roman"/>
          <w:sz w:val="32"/>
          <w:szCs w:val="32"/>
        </w:rPr>
        <w:t>essere previsto l’impegno ad utilizzare la lingua italiana per tutte le attività svolte nelle attrezzature di interesse comune per servizi religiosi, che non siano strettamente connesse alle pratiche rituali di culto</w:t>
      </w:r>
      <w:r w:rsidR="004B5115">
        <w:rPr>
          <w:rFonts w:ascii="Times New Roman" w:hAnsi="Times New Roman" w:cs="Times New Roman"/>
          <w:sz w:val="32"/>
          <w:szCs w:val="32"/>
        </w:rPr>
        <w:t>”</w:t>
      </w:r>
      <w:r w:rsidR="00C32702">
        <w:rPr>
          <w:rFonts w:ascii="Times New Roman" w:hAnsi="Times New Roman" w:cs="Times New Roman"/>
          <w:sz w:val="32"/>
          <w:szCs w:val="32"/>
        </w:rPr>
        <w:t xml:space="preserve">, incidendo sulla libertà di culto, che vanno oltre al semplice rito, riguardando anche altre attività che contribuiscono all’espressione della libertà religiosa come prevista dalla Carta costituzionale. La previsione dell’utilizzo della lingua italiana in queste attività travalicherebbe, secondo la Corte, le finalità della convezione in materia urbanistica. </w:t>
      </w:r>
      <w:r w:rsidR="00DE6BBE">
        <w:rPr>
          <w:rFonts w:ascii="Times New Roman" w:hAnsi="Times New Roman" w:cs="Times New Roman"/>
          <w:sz w:val="32"/>
          <w:szCs w:val="32"/>
        </w:rPr>
        <w:t xml:space="preserve">L’uso della lingua italiana limiterebbe la libertà religiosa e di espressione degli adepti ad un culto. Rientra nel suddetto articolo anche </w:t>
      </w:r>
      <w:r w:rsidR="00DE6BBE" w:rsidRPr="00DE6BBE">
        <w:rPr>
          <w:rFonts w:ascii="Times New Roman" w:hAnsi="Times New Roman" w:cs="Times New Roman"/>
          <w:sz w:val="32"/>
          <w:szCs w:val="32"/>
        </w:rPr>
        <w:t xml:space="preserve">il principio per cui la disponibilità di spazi adeguati ove </w:t>
      </w:r>
      <w:r w:rsidR="004B5115">
        <w:rPr>
          <w:rFonts w:ascii="Times New Roman" w:hAnsi="Times New Roman" w:cs="Times New Roman"/>
          <w:sz w:val="32"/>
          <w:szCs w:val="32"/>
        </w:rPr>
        <w:lastRenderedPageBreak/>
        <w:t>“</w:t>
      </w:r>
      <w:r w:rsidR="00DE6BBE" w:rsidRPr="00DE6BBE">
        <w:rPr>
          <w:rFonts w:ascii="Times New Roman" w:hAnsi="Times New Roman" w:cs="Times New Roman"/>
          <w:sz w:val="32"/>
          <w:szCs w:val="32"/>
        </w:rPr>
        <w:t>rendere concretamente possibile, o comunque facilitare, le attività di culto</w:t>
      </w:r>
      <w:r w:rsidR="004B5115">
        <w:rPr>
          <w:rFonts w:ascii="Times New Roman" w:hAnsi="Times New Roman" w:cs="Times New Roman"/>
          <w:sz w:val="32"/>
          <w:szCs w:val="32"/>
        </w:rPr>
        <w:t>”</w:t>
      </w:r>
      <w:r w:rsidR="00DE6BBE">
        <w:rPr>
          <w:rFonts w:ascii="Times New Roman" w:hAnsi="Times New Roman" w:cs="Times New Roman"/>
          <w:sz w:val="32"/>
          <w:szCs w:val="32"/>
        </w:rPr>
        <w:t>.</w:t>
      </w:r>
    </w:p>
    <w:p w14:paraId="2785450F" w14:textId="14FA8595" w:rsidR="00DE6BBE" w:rsidRDefault="00144203" w:rsidP="00D2001E">
      <w:pPr>
        <w:pStyle w:val="Paragrafoelenco"/>
        <w:numPr>
          <w:ilvl w:val="0"/>
          <w:numId w:val="3"/>
        </w:numPr>
        <w:jc w:val="both"/>
        <w:rPr>
          <w:rFonts w:ascii="Times New Roman" w:hAnsi="Times New Roman" w:cs="Times New Roman"/>
          <w:sz w:val="32"/>
          <w:szCs w:val="32"/>
        </w:rPr>
      </w:pPr>
      <w:r>
        <w:rPr>
          <w:rFonts w:ascii="Times New Roman" w:hAnsi="Times New Roman" w:cs="Times New Roman"/>
          <w:sz w:val="32"/>
          <w:szCs w:val="32"/>
        </w:rPr>
        <w:t xml:space="preserve">Articolo 117 secondo comma: la disposizione in questione tratta della potestà legislativa dello Stato e delle Regioni, quindi del riparto di competenza tra essi. </w:t>
      </w:r>
      <w:r w:rsidR="007F612C">
        <w:rPr>
          <w:rFonts w:ascii="Times New Roman" w:hAnsi="Times New Roman" w:cs="Times New Roman"/>
          <w:sz w:val="32"/>
          <w:szCs w:val="32"/>
        </w:rPr>
        <w:t>Al secondo comma è presente l’elenco</w:t>
      </w:r>
      <w:r w:rsidR="0001511A">
        <w:rPr>
          <w:rFonts w:ascii="Times New Roman" w:hAnsi="Times New Roman" w:cs="Times New Roman"/>
          <w:sz w:val="32"/>
          <w:szCs w:val="32"/>
        </w:rPr>
        <w:t xml:space="preserve"> tassativo</w:t>
      </w:r>
      <w:r w:rsidR="007F612C">
        <w:rPr>
          <w:rFonts w:ascii="Times New Roman" w:hAnsi="Times New Roman" w:cs="Times New Roman"/>
          <w:sz w:val="32"/>
          <w:szCs w:val="32"/>
        </w:rPr>
        <w:t xml:space="preserve"> delle materie in cui lo Stato ha competenza esclusiva, quindi dove le Regioni non possono legiferare, tra cui alla lettera c) si trovano i “rapporti tra la Repubblica e le confessioni religiose”. Nel caso della legge lombarda, per il ricorrente vi era stata un’eccedenza da parte della Regione in questa materia. Per la Corte la questione è fondata</w:t>
      </w:r>
      <w:r w:rsidR="004B5115">
        <w:rPr>
          <w:rFonts w:ascii="Times New Roman" w:hAnsi="Times New Roman" w:cs="Times New Roman"/>
          <w:sz w:val="32"/>
          <w:szCs w:val="32"/>
        </w:rPr>
        <w:t xml:space="preserve">, </w:t>
      </w:r>
      <w:r w:rsidR="007F612C">
        <w:rPr>
          <w:rFonts w:ascii="Times New Roman" w:hAnsi="Times New Roman" w:cs="Times New Roman"/>
          <w:sz w:val="32"/>
          <w:szCs w:val="32"/>
        </w:rPr>
        <w:t>afferma</w:t>
      </w:r>
      <w:r w:rsidR="004B5115">
        <w:rPr>
          <w:rFonts w:ascii="Times New Roman" w:hAnsi="Times New Roman" w:cs="Times New Roman"/>
          <w:sz w:val="32"/>
          <w:szCs w:val="32"/>
        </w:rPr>
        <w:t>ndo</w:t>
      </w:r>
      <w:r w:rsidR="007F612C">
        <w:rPr>
          <w:rFonts w:ascii="Times New Roman" w:hAnsi="Times New Roman" w:cs="Times New Roman"/>
          <w:sz w:val="32"/>
          <w:szCs w:val="32"/>
        </w:rPr>
        <w:t xml:space="preserve"> che “</w:t>
      </w:r>
      <w:r w:rsidR="007F612C" w:rsidRPr="007F612C">
        <w:rPr>
          <w:rFonts w:ascii="Times New Roman" w:hAnsi="Times New Roman" w:cs="Times New Roman"/>
          <w:sz w:val="32"/>
          <w:szCs w:val="32"/>
        </w:rPr>
        <w:t>la valutazione sul rispetto del riparto di competenze tra Stato e Regioni, richiede di tenere conto, oltre che dell’oggetto, anche della ratio della normativa impugnata e di identificare correttamente e compiutamente gli interessi tutelati, nonché le finalità perseguite</w:t>
      </w:r>
      <w:r w:rsidR="007F612C">
        <w:rPr>
          <w:rFonts w:ascii="Times New Roman" w:hAnsi="Times New Roman" w:cs="Times New Roman"/>
          <w:sz w:val="32"/>
          <w:szCs w:val="32"/>
        </w:rPr>
        <w:t xml:space="preserve">”. </w:t>
      </w:r>
    </w:p>
    <w:p w14:paraId="0463B5DC" w14:textId="0701D81F" w:rsidR="00235C91" w:rsidRPr="00A90255" w:rsidRDefault="00235C91" w:rsidP="00235C91">
      <w:pPr>
        <w:jc w:val="both"/>
        <w:rPr>
          <w:rFonts w:ascii="Times New Roman" w:hAnsi="Times New Roman" w:cs="Times New Roman"/>
          <w:b/>
          <w:bCs/>
          <w:sz w:val="32"/>
          <w:szCs w:val="32"/>
        </w:rPr>
      </w:pPr>
      <w:r w:rsidRPr="00A90255">
        <w:rPr>
          <w:rFonts w:ascii="Times New Roman" w:hAnsi="Times New Roman" w:cs="Times New Roman"/>
          <w:b/>
          <w:bCs/>
          <w:sz w:val="32"/>
          <w:szCs w:val="32"/>
        </w:rPr>
        <w:t xml:space="preserve">NORMATIVA </w:t>
      </w:r>
      <w:r w:rsidR="00A90255" w:rsidRPr="00A90255">
        <w:rPr>
          <w:rFonts w:ascii="Times New Roman" w:hAnsi="Times New Roman" w:cs="Times New Roman"/>
          <w:b/>
          <w:bCs/>
          <w:sz w:val="32"/>
          <w:szCs w:val="32"/>
        </w:rPr>
        <w:t xml:space="preserve">EUROPEA ED </w:t>
      </w:r>
      <w:r w:rsidRPr="00A90255">
        <w:rPr>
          <w:rFonts w:ascii="Times New Roman" w:hAnsi="Times New Roman" w:cs="Times New Roman"/>
          <w:b/>
          <w:bCs/>
          <w:sz w:val="32"/>
          <w:szCs w:val="32"/>
        </w:rPr>
        <w:t>INTERNAZIONALE</w:t>
      </w:r>
    </w:p>
    <w:p w14:paraId="53F6F2CE" w14:textId="369B2DB0" w:rsidR="00235C91" w:rsidRDefault="00235C91" w:rsidP="00235C91">
      <w:pPr>
        <w:jc w:val="both"/>
        <w:rPr>
          <w:rFonts w:ascii="Times New Roman" w:hAnsi="Times New Roman" w:cs="Times New Roman"/>
          <w:sz w:val="32"/>
          <w:szCs w:val="32"/>
        </w:rPr>
      </w:pPr>
      <w:r>
        <w:rPr>
          <w:rFonts w:ascii="Times New Roman" w:hAnsi="Times New Roman" w:cs="Times New Roman"/>
          <w:sz w:val="32"/>
          <w:szCs w:val="32"/>
        </w:rPr>
        <w:t>Nella sentenza sul caso della legge regionale della Lombardia, vi è un richiamo da parte del ricorrente di alcune norme derivanti dall’ordinamento internazionale, che vanno a tutelare la libertà di culto e in particolare il diritto all’edificio di culto. Viene infatti fatto riferimento all’articolo 117 della Costituzione che, ha detta del ricorrente, contiene il riferimento ai “principi europei ed internazionali in materia di libertà di religione e di culto”.</w:t>
      </w:r>
    </w:p>
    <w:p w14:paraId="48E5C842" w14:textId="2AC5F588" w:rsidR="00235C91" w:rsidRDefault="00235C91" w:rsidP="00235C91">
      <w:pPr>
        <w:pStyle w:val="Paragrafoelenco"/>
        <w:numPr>
          <w:ilvl w:val="0"/>
          <w:numId w:val="5"/>
        </w:numPr>
        <w:jc w:val="both"/>
        <w:rPr>
          <w:rFonts w:ascii="Times New Roman" w:hAnsi="Times New Roman" w:cs="Times New Roman"/>
          <w:sz w:val="32"/>
          <w:szCs w:val="32"/>
        </w:rPr>
      </w:pPr>
      <w:r>
        <w:rPr>
          <w:rFonts w:ascii="Times New Roman" w:hAnsi="Times New Roman" w:cs="Times New Roman"/>
          <w:sz w:val="32"/>
          <w:szCs w:val="32"/>
        </w:rPr>
        <w:t xml:space="preserve">Articoli 10, 17 e 19 del Trattato sul funzionamento dell’Unione europea, che impegnano l’Unione a combattere le discriminazioni tra le diverse confessioni religiose nell’attuazione della politica europea e promuovendo il dialogo con le stesse. </w:t>
      </w:r>
    </w:p>
    <w:p w14:paraId="67F77410" w14:textId="587047B1" w:rsidR="00235C91" w:rsidRDefault="00235C91" w:rsidP="00235C91">
      <w:pPr>
        <w:pStyle w:val="Paragrafoelenco"/>
        <w:numPr>
          <w:ilvl w:val="0"/>
          <w:numId w:val="5"/>
        </w:numPr>
        <w:jc w:val="both"/>
        <w:rPr>
          <w:rFonts w:ascii="Times New Roman" w:hAnsi="Times New Roman" w:cs="Times New Roman"/>
          <w:sz w:val="32"/>
          <w:szCs w:val="32"/>
        </w:rPr>
      </w:pPr>
      <w:r>
        <w:rPr>
          <w:rFonts w:ascii="Times New Roman" w:hAnsi="Times New Roman" w:cs="Times New Roman"/>
          <w:sz w:val="32"/>
          <w:szCs w:val="32"/>
        </w:rPr>
        <w:t xml:space="preserve">Articoli 10, 21 e 22 della Carta dei diritti fondamentali dell’Unione europea, che </w:t>
      </w:r>
      <w:r w:rsidR="00AA7DC5">
        <w:rPr>
          <w:rFonts w:ascii="Times New Roman" w:hAnsi="Times New Roman" w:cs="Times New Roman"/>
          <w:sz w:val="32"/>
          <w:szCs w:val="32"/>
        </w:rPr>
        <w:t xml:space="preserve">tutelano la diversità e la libertà religiosa, vietando discriminazioni basate sulla fede religiosa. </w:t>
      </w:r>
    </w:p>
    <w:p w14:paraId="222C67F9" w14:textId="25EF3236" w:rsidR="00AA7DC5" w:rsidRDefault="00AA7DC5" w:rsidP="00235C91">
      <w:pPr>
        <w:pStyle w:val="Paragrafoelenco"/>
        <w:numPr>
          <w:ilvl w:val="0"/>
          <w:numId w:val="5"/>
        </w:numPr>
        <w:jc w:val="both"/>
        <w:rPr>
          <w:rFonts w:ascii="Times New Roman" w:hAnsi="Times New Roman" w:cs="Times New Roman"/>
          <w:sz w:val="32"/>
          <w:szCs w:val="32"/>
        </w:rPr>
      </w:pPr>
      <w:r>
        <w:rPr>
          <w:rFonts w:ascii="Times New Roman" w:hAnsi="Times New Roman" w:cs="Times New Roman"/>
          <w:sz w:val="32"/>
          <w:szCs w:val="32"/>
        </w:rPr>
        <w:t xml:space="preserve">Articolo 18 del Patto internazionale sui diritti civili e politici, che </w:t>
      </w:r>
      <w:r w:rsidR="00A91F84">
        <w:rPr>
          <w:rFonts w:ascii="Times New Roman" w:hAnsi="Times New Roman" w:cs="Times New Roman"/>
          <w:sz w:val="32"/>
          <w:szCs w:val="32"/>
        </w:rPr>
        <w:t xml:space="preserve">per il Presidente del Consiglio dei Ministri </w:t>
      </w:r>
      <w:r>
        <w:rPr>
          <w:rFonts w:ascii="Times New Roman" w:hAnsi="Times New Roman" w:cs="Times New Roman"/>
          <w:sz w:val="32"/>
          <w:szCs w:val="32"/>
        </w:rPr>
        <w:t>“</w:t>
      </w:r>
      <w:r w:rsidRPr="00AA7DC5">
        <w:rPr>
          <w:rFonts w:ascii="Times New Roman" w:hAnsi="Times New Roman" w:cs="Times New Roman"/>
          <w:sz w:val="32"/>
          <w:szCs w:val="32"/>
        </w:rPr>
        <w:t xml:space="preserve">obbliga gli Stati contraenti a </w:t>
      </w:r>
      <w:r w:rsidRPr="00AA7DC5">
        <w:rPr>
          <w:rFonts w:ascii="Times New Roman" w:hAnsi="Times New Roman" w:cs="Times New Roman"/>
          <w:sz w:val="32"/>
          <w:szCs w:val="32"/>
        </w:rPr>
        <w:lastRenderedPageBreak/>
        <w:t xml:space="preserve">rispettare la libertà di religione, la quale si estende a tutti gli atti che siano espressione diretta di fede, ivi compresa la realizzazione di luoghi dedicati al culto e alla discussione </w:t>
      </w:r>
      <w:r>
        <w:rPr>
          <w:rFonts w:ascii="Times New Roman" w:hAnsi="Times New Roman" w:cs="Times New Roman"/>
          <w:sz w:val="32"/>
          <w:szCs w:val="32"/>
        </w:rPr>
        <w:t>d</w:t>
      </w:r>
      <w:r w:rsidRPr="00AA7DC5">
        <w:rPr>
          <w:rFonts w:ascii="Times New Roman" w:hAnsi="Times New Roman" w:cs="Times New Roman"/>
          <w:sz w:val="32"/>
          <w:szCs w:val="32"/>
        </w:rPr>
        <w:t>egli interessi sociali e culturali della comunità, nonché ad adottare misure infrastrutturali e condizioni favorevoli per facilitare lo sviluppo libero e non discriminatorio delle comunità religiose e dei loro membr</w:t>
      </w:r>
      <w:r>
        <w:rPr>
          <w:rFonts w:ascii="Times New Roman" w:hAnsi="Times New Roman" w:cs="Times New Roman"/>
          <w:sz w:val="32"/>
          <w:szCs w:val="32"/>
        </w:rPr>
        <w:t>i”, col limite della tutela della sicurezza sociale.</w:t>
      </w:r>
      <w:r w:rsidR="00A91F84">
        <w:rPr>
          <w:rFonts w:ascii="Times New Roman" w:hAnsi="Times New Roman" w:cs="Times New Roman"/>
          <w:sz w:val="32"/>
          <w:szCs w:val="32"/>
        </w:rPr>
        <w:t xml:space="preserve"> Viene quindi previsto da questo articolo che la fede consiste nella realizzazione personale, che sia essa da soli o in comunità</w:t>
      </w:r>
      <w:r w:rsidR="00A90255">
        <w:rPr>
          <w:rFonts w:ascii="Times New Roman" w:hAnsi="Times New Roman" w:cs="Times New Roman"/>
          <w:sz w:val="32"/>
          <w:szCs w:val="32"/>
        </w:rPr>
        <w:t>,</w:t>
      </w:r>
      <w:r w:rsidR="00A91F84">
        <w:rPr>
          <w:rFonts w:ascii="Times New Roman" w:hAnsi="Times New Roman" w:cs="Times New Roman"/>
          <w:sz w:val="32"/>
          <w:szCs w:val="32"/>
        </w:rPr>
        <w:t xml:space="preserve"> in pubblico o in privato. È da ciò che discende il diritto </w:t>
      </w:r>
      <w:r w:rsidR="00A90255">
        <w:rPr>
          <w:rFonts w:ascii="Times New Roman" w:hAnsi="Times New Roman" w:cs="Times New Roman"/>
          <w:sz w:val="32"/>
          <w:szCs w:val="32"/>
        </w:rPr>
        <w:t>a</w:t>
      </w:r>
      <w:r w:rsidR="00A91F84">
        <w:rPr>
          <w:rFonts w:ascii="Times New Roman" w:hAnsi="Times New Roman" w:cs="Times New Roman"/>
          <w:sz w:val="32"/>
          <w:szCs w:val="32"/>
        </w:rPr>
        <w:t xml:space="preserve">lla costruzione degli edifici di culto anche a livello sovranazionale, per permettere ai credenti di diversi culti di poter esprimere il proprio credo anche in spazi pubblici destinati a questo scopo. Il diritto alla costruzione degli edifici di culto fa quindi parte dei diritti umani previsti dal diritto internazionale. </w:t>
      </w:r>
      <w:r>
        <w:rPr>
          <w:rFonts w:ascii="Times New Roman" w:hAnsi="Times New Roman" w:cs="Times New Roman"/>
          <w:sz w:val="32"/>
          <w:szCs w:val="32"/>
        </w:rPr>
        <w:t xml:space="preserve"> </w:t>
      </w:r>
    </w:p>
    <w:p w14:paraId="1A97BFFB" w14:textId="446301B5" w:rsidR="00AA7DC5" w:rsidRPr="00AA7DC5" w:rsidRDefault="00AA7DC5" w:rsidP="00AA7DC5">
      <w:pPr>
        <w:jc w:val="both"/>
        <w:rPr>
          <w:rFonts w:ascii="Times New Roman" w:hAnsi="Times New Roman" w:cs="Times New Roman"/>
          <w:sz w:val="32"/>
          <w:szCs w:val="32"/>
        </w:rPr>
      </w:pPr>
      <w:r>
        <w:rPr>
          <w:rFonts w:ascii="Times New Roman" w:hAnsi="Times New Roman" w:cs="Times New Roman"/>
          <w:sz w:val="32"/>
          <w:szCs w:val="32"/>
        </w:rPr>
        <w:t xml:space="preserve">Il richiamo ai principi sovranazionali però non viene considerato dalla Corte come argomento fondante per dichiarare l’incostituzionalità dell’articolo 70 ai commi 2-bis, 2-ter e 2-quater, in quanto non ritiene sia chiaro quali siano i contenuti della legge regionale che contrastino con le disposizioni derivanti dall’ordinamento europeo ed internazionale. La Corte poi aggiunge che, all’articolo 51 della Carta dei diritti fondamentali dell’Unione europea, viene previsto che </w:t>
      </w:r>
      <w:r w:rsidR="00A91F84">
        <w:rPr>
          <w:rFonts w:ascii="Times New Roman" w:hAnsi="Times New Roman" w:cs="Times New Roman"/>
          <w:sz w:val="32"/>
          <w:szCs w:val="32"/>
        </w:rPr>
        <w:t xml:space="preserve">le disposizioni della Carta sono applicabili agli Stati membri sono quando essi devono applicare il diritto di matrice europea e quindi non in questa fattispecie. Il riferimento è perciò ritenuto troppo generico per essere considerato nel giudizio. </w:t>
      </w:r>
    </w:p>
    <w:p w14:paraId="3B8C56E5" w14:textId="4C80552A" w:rsidR="006265B7" w:rsidRPr="005E0C8A" w:rsidRDefault="006265B7" w:rsidP="006265B7">
      <w:pPr>
        <w:jc w:val="both"/>
        <w:rPr>
          <w:rFonts w:ascii="Times New Roman" w:hAnsi="Times New Roman" w:cs="Times New Roman"/>
          <w:b/>
          <w:bCs/>
          <w:sz w:val="32"/>
          <w:szCs w:val="32"/>
        </w:rPr>
      </w:pPr>
      <w:r w:rsidRPr="005E0C8A">
        <w:rPr>
          <w:rFonts w:ascii="Times New Roman" w:hAnsi="Times New Roman" w:cs="Times New Roman"/>
          <w:b/>
          <w:bCs/>
          <w:sz w:val="32"/>
          <w:szCs w:val="32"/>
        </w:rPr>
        <w:t>OSSERVAZIONI CONCLUSIVE E SPUNTI DI RIFLESSIONE</w:t>
      </w:r>
    </w:p>
    <w:p w14:paraId="417E4D93" w14:textId="69EF7CA2" w:rsidR="002B558A" w:rsidRDefault="00BD375D" w:rsidP="006265B7">
      <w:pPr>
        <w:jc w:val="both"/>
        <w:rPr>
          <w:rFonts w:ascii="Times New Roman" w:hAnsi="Times New Roman" w:cs="Times New Roman"/>
          <w:sz w:val="32"/>
          <w:szCs w:val="32"/>
        </w:rPr>
      </w:pPr>
      <w:r>
        <w:rPr>
          <w:rFonts w:ascii="Times New Roman" w:hAnsi="Times New Roman" w:cs="Times New Roman"/>
          <w:sz w:val="32"/>
          <w:szCs w:val="32"/>
        </w:rPr>
        <w:t xml:space="preserve">In queste sentenze si vede come la Corte costituzionale ribadisca la divisione delle competenze tra Stato e Regioni, concentrandosi sul fatto che i rapporti con le diverse confessioni religiose diverse dalla cattolica siano regolati da intese con lo Stato e che quindi delle leggi regionali in materia non sono ammesse. Inoltre, per le confessioni religiose che non hanno ancora stipulato un’intesa o non hanno interesse nel farlo, ci si appella al principio della libertà di culto, che permette agli appartenenti a queste confessioni di </w:t>
      </w:r>
      <w:r>
        <w:rPr>
          <w:rFonts w:ascii="Times New Roman" w:hAnsi="Times New Roman" w:cs="Times New Roman"/>
          <w:sz w:val="32"/>
          <w:szCs w:val="32"/>
        </w:rPr>
        <w:lastRenderedPageBreak/>
        <w:t xml:space="preserve">professare liberamente il proprio credo in edifici adibiti a ciò e nei modi che preferiscono, sempre però nel rispetto dell’ordinamento italiano. In ragione di </w:t>
      </w:r>
      <w:r w:rsidR="004B5115">
        <w:rPr>
          <w:rFonts w:ascii="Times New Roman" w:hAnsi="Times New Roman" w:cs="Times New Roman"/>
          <w:sz w:val="32"/>
          <w:szCs w:val="32"/>
        </w:rPr>
        <w:t>quanto detto</w:t>
      </w:r>
      <w:r>
        <w:rPr>
          <w:rFonts w:ascii="Times New Roman" w:hAnsi="Times New Roman" w:cs="Times New Roman"/>
          <w:sz w:val="32"/>
          <w:szCs w:val="32"/>
        </w:rPr>
        <w:t>, i diversi tentativi da parte delle Regioni di legiferare in materia di costruzione e mantenimento degli edifici di culto non sono ammessi. Delle previsioni che vadano a limitare questa libertà sarebbero discriminatorie</w:t>
      </w:r>
      <w:r w:rsidR="00BD056E">
        <w:rPr>
          <w:rFonts w:ascii="Times New Roman" w:hAnsi="Times New Roman" w:cs="Times New Roman"/>
          <w:sz w:val="32"/>
          <w:szCs w:val="32"/>
        </w:rPr>
        <w:t>, poiché il principio della libertà religiosa, come ribadito dalla Corte stessa, non può essere subordinato alla stipulazione di intese e perciò nemmeno una legge statale o regionale può farlo</w:t>
      </w:r>
      <w:r>
        <w:rPr>
          <w:rFonts w:ascii="Times New Roman" w:hAnsi="Times New Roman" w:cs="Times New Roman"/>
          <w:sz w:val="32"/>
          <w:szCs w:val="32"/>
        </w:rPr>
        <w:t>. La Corte però salva comunque alcune previsioni legislative</w:t>
      </w:r>
      <w:r w:rsidR="004B5115">
        <w:rPr>
          <w:rFonts w:ascii="Times New Roman" w:hAnsi="Times New Roman" w:cs="Times New Roman"/>
          <w:sz w:val="32"/>
          <w:szCs w:val="32"/>
        </w:rPr>
        <w:t>,</w:t>
      </w:r>
      <w:r>
        <w:rPr>
          <w:rFonts w:ascii="Times New Roman" w:hAnsi="Times New Roman" w:cs="Times New Roman"/>
          <w:sz w:val="32"/>
          <w:szCs w:val="32"/>
        </w:rPr>
        <w:t xml:space="preserve"> facendo riferimento a piani urbanistici preesistenti</w:t>
      </w:r>
      <w:r w:rsidR="00BD056E">
        <w:rPr>
          <w:rFonts w:ascii="Times New Roman" w:hAnsi="Times New Roman" w:cs="Times New Roman"/>
          <w:sz w:val="32"/>
          <w:szCs w:val="32"/>
        </w:rPr>
        <w:t xml:space="preserve"> e riconosce alle Regioni, in caso di fondi stanziati per i diversi culti religiosi presenti sul territorio, la possibilità di distribuirli tenendo conto di alcuni fattori quali un criterio numerico di fedeli delle diverse confessioni e la stessa disponibilità di fondi e spazi per la costruzione di edifici. Dalle due sentenze sopra analizzate, però, emergono dei punti che sembrano permettere una via d’uscita da quanto previsto dagli articoli della Carta costituzionale, lasciando aperti degli interrogativi:</w:t>
      </w:r>
    </w:p>
    <w:p w14:paraId="035B36F9" w14:textId="7D81CB3B" w:rsidR="00BD056E" w:rsidRDefault="00BD056E" w:rsidP="00BD056E">
      <w:pPr>
        <w:pStyle w:val="Paragrafoelenco"/>
        <w:numPr>
          <w:ilvl w:val="0"/>
          <w:numId w:val="4"/>
        </w:numPr>
        <w:jc w:val="both"/>
        <w:rPr>
          <w:rFonts w:ascii="Times New Roman" w:hAnsi="Times New Roman" w:cs="Times New Roman"/>
          <w:sz w:val="32"/>
          <w:szCs w:val="32"/>
        </w:rPr>
      </w:pPr>
      <w:r>
        <w:rPr>
          <w:rFonts w:ascii="Times New Roman" w:hAnsi="Times New Roman" w:cs="Times New Roman"/>
          <w:sz w:val="32"/>
          <w:szCs w:val="32"/>
        </w:rPr>
        <w:t xml:space="preserve">Nella sentenza sul caso del Veneto, la Corte dice che </w:t>
      </w:r>
      <w:r w:rsidR="003E585E">
        <w:rPr>
          <w:rFonts w:ascii="Times New Roman" w:hAnsi="Times New Roman" w:cs="Times New Roman"/>
          <w:sz w:val="32"/>
          <w:szCs w:val="32"/>
        </w:rPr>
        <w:t>l’articolo 31-bis non pone distinzioni tra le diverse confessioni religios</w:t>
      </w:r>
      <w:r w:rsidR="004B5115">
        <w:rPr>
          <w:rFonts w:ascii="Times New Roman" w:hAnsi="Times New Roman" w:cs="Times New Roman"/>
          <w:sz w:val="32"/>
          <w:szCs w:val="32"/>
        </w:rPr>
        <w:t>e</w:t>
      </w:r>
      <w:r w:rsidR="003E585E">
        <w:rPr>
          <w:rFonts w:ascii="Times New Roman" w:hAnsi="Times New Roman" w:cs="Times New Roman"/>
          <w:sz w:val="32"/>
          <w:szCs w:val="32"/>
        </w:rPr>
        <w:t>. Viene inoltre previsto che è ammesso per lo Stato “regolare bilateralmente questi rapporti, concedendo vantaggi o imponendo limitazioni” per esigenze specifiche. Questa espressione non sembrerebbe lasciare dei margini interpretativi che permettono di compiere delle differenziazioni tra le diverse confessioni che potrebbero poi degenerare in discriminazioni, tenendo anche conto del fatto che sono le Regioni ad avere un margine di discrezionalità nel distribuire fondi e spazi per la costruzione di edifici di culto e per professare il proprio credo?</w:t>
      </w:r>
    </w:p>
    <w:p w14:paraId="09FFF845" w14:textId="43DAB890" w:rsidR="003E585E" w:rsidRDefault="003E585E" w:rsidP="00BD056E">
      <w:pPr>
        <w:pStyle w:val="Paragrafoelenco"/>
        <w:numPr>
          <w:ilvl w:val="0"/>
          <w:numId w:val="4"/>
        </w:numPr>
        <w:jc w:val="both"/>
        <w:rPr>
          <w:rFonts w:ascii="Times New Roman" w:hAnsi="Times New Roman" w:cs="Times New Roman"/>
          <w:sz w:val="32"/>
          <w:szCs w:val="32"/>
        </w:rPr>
      </w:pPr>
      <w:r>
        <w:rPr>
          <w:rFonts w:ascii="Times New Roman" w:hAnsi="Times New Roman" w:cs="Times New Roman"/>
          <w:sz w:val="32"/>
          <w:szCs w:val="32"/>
        </w:rPr>
        <w:t>L’articolo 19 della Costituzione riporta la dicitura “</w:t>
      </w:r>
      <w:r w:rsidRPr="003E585E">
        <w:rPr>
          <w:rFonts w:ascii="Times New Roman" w:hAnsi="Times New Roman" w:cs="Times New Roman"/>
          <w:sz w:val="32"/>
          <w:szCs w:val="32"/>
        </w:rPr>
        <w:t>purché non si tratti di riti contrari al buon costume</w:t>
      </w:r>
      <w:r>
        <w:rPr>
          <w:rFonts w:ascii="Times New Roman" w:hAnsi="Times New Roman" w:cs="Times New Roman"/>
          <w:sz w:val="32"/>
          <w:szCs w:val="32"/>
        </w:rPr>
        <w:t xml:space="preserve">”. In una società come quella moderna, in cui gli usi e i costumi spesso cambiano, si mescolano e si evolvono, vi può essere difficoltà nel riempire di significato questa espressione, specialmente in relazione a riti religiosi culturalmente distanti da quelli cattolici? Se la risposta è affermativa, </w:t>
      </w:r>
      <w:r w:rsidR="009909A1">
        <w:rPr>
          <w:rFonts w:ascii="Times New Roman" w:hAnsi="Times New Roman" w:cs="Times New Roman"/>
          <w:sz w:val="32"/>
          <w:szCs w:val="32"/>
        </w:rPr>
        <w:t xml:space="preserve">ciò sarebbe un’ulteriore ragione che può rafforzare il principio della libertà di culto, che potrà </w:t>
      </w:r>
      <w:r w:rsidR="009909A1">
        <w:rPr>
          <w:rFonts w:ascii="Times New Roman" w:hAnsi="Times New Roman" w:cs="Times New Roman"/>
          <w:sz w:val="32"/>
          <w:szCs w:val="32"/>
        </w:rPr>
        <w:lastRenderedPageBreak/>
        <w:t>in futuro andare a limitare la discrezionalità lasciata allo Stato e alle Regioni per operare differenziazioni tra le diverse confessioni?</w:t>
      </w:r>
    </w:p>
    <w:p w14:paraId="19619007" w14:textId="49A124D0" w:rsidR="009909A1" w:rsidRDefault="00A5504C" w:rsidP="00BD056E">
      <w:pPr>
        <w:pStyle w:val="Paragrafoelenco"/>
        <w:numPr>
          <w:ilvl w:val="0"/>
          <w:numId w:val="4"/>
        </w:numPr>
        <w:jc w:val="both"/>
        <w:rPr>
          <w:rFonts w:ascii="Times New Roman" w:hAnsi="Times New Roman" w:cs="Times New Roman"/>
          <w:sz w:val="32"/>
          <w:szCs w:val="32"/>
        </w:rPr>
      </w:pPr>
      <w:r>
        <w:rPr>
          <w:rFonts w:ascii="Times New Roman" w:hAnsi="Times New Roman" w:cs="Times New Roman"/>
          <w:sz w:val="32"/>
          <w:szCs w:val="32"/>
        </w:rPr>
        <w:t>Riguardo al caso della Lombardia, la Corte salva il dettato dell’articolo 72 comma 4 relativo alla possibilità di indire un referendum sul piano delle attrezzature religiose, in quanto rispettoso dell’ordinamento statale e non intaccando in alcun modo il procedimento di approvazione del piano. La possibilità di un referendum non sarebbe foriera del rischio, specialmente in realtà più chiuse come i piccoli Comuni, di operare una discriminazione per gli appartenenti a culti e culture diverse da quella cattolica, guidata da ragioni politiche e di pensiero e non solo da ragioni urbanistiche?</w:t>
      </w:r>
    </w:p>
    <w:p w14:paraId="77F2DD73" w14:textId="77777777" w:rsidR="00D76DBF" w:rsidRPr="00D76DBF" w:rsidRDefault="00D76DBF" w:rsidP="00D76DBF">
      <w:pPr>
        <w:jc w:val="both"/>
        <w:rPr>
          <w:rFonts w:ascii="Times New Roman" w:hAnsi="Times New Roman" w:cs="Times New Roman"/>
          <w:sz w:val="32"/>
          <w:szCs w:val="32"/>
        </w:rPr>
      </w:pPr>
    </w:p>
    <w:p w14:paraId="265E7A96" w14:textId="1ED57EC5" w:rsidR="00BC4E99" w:rsidRDefault="00BC4E99" w:rsidP="006265B7">
      <w:pPr>
        <w:jc w:val="both"/>
        <w:rPr>
          <w:rFonts w:ascii="Times New Roman" w:hAnsi="Times New Roman" w:cs="Times New Roman"/>
          <w:b/>
          <w:bCs/>
          <w:sz w:val="32"/>
          <w:szCs w:val="32"/>
        </w:rPr>
      </w:pPr>
      <w:r w:rsidRPr="00BC4E99">
        <w:rPr>
          <w:rFonts w:ascii="Times New Roman" w:hAnsi="Times New Roman" w:cs="Times New Roman"/>
          <w:b/>
          <w:bCs/>
          <w:sz w:val="32"/>
          <w:szCs w:val="32"/>
        </w:rPr>
        <w:t>BIBLIOGRAFIA</w:t>
      </w:r>
    </w:p>
    <w:p w14:paraId="38E98152" w14:textId="3648664A" w:rsidR="00D078BD" w:rsidRPr="00D90D3D" w:rsidRDefault="00D078BD" w:rsidP="006265B7">
      <w:pPr>
        <w:jc w:val="both"/>
        <w:rPr>
          <w:rFonts w:ascii="Times New Roman" w:hAnsi="Times New Roman" w:cs="Times New Roman"/>
          <w:sz w:val="32"/>
          <w:szCs w:val="32"/>
        </w:rPr>
      </w:pPr>
      <w:hyperlink r:id="rId5" w:history="1">
        <w:r w:rsidRPr="00D90D3D">
          <w:rPr>
            <w:rStyle w:val="Collegamentoipertestuale"/>
            <w:rFonts w:ascii="Times New Roman" w:hAnsi="Times New Roman" w:cs="Times New Roman"/>
            <w:color w:val="auto"/>
            <w:sz w:val="32"/>
            <w:szCs w:val="32"/>
          </w:rPr>
          <w:t>Corte costituzionale - Decisioni</w:t>
        </w:r>
      </w:hyperlink>
      <w:r w:rsidRPr="00D90D3D">
        <w:rPr>
          <w:rFonts w:ascii="Times New Roman" w:hAnsi="Times New Roman" w:cs="Times New Roman"/>
          <w:b/>
          <w:bCs/>
          <w:sz w:val="32"/>
          <w:szCs w:val="32"/>
        </w:rPr>
        <w:t xml:space="preserve"> </w:t>
      </w:r>
      <w:r w:rsidRPr="00D90D3D">
        <w:rPr>
          <w:rFonts w:ascii="Times New Roman" w:hAnsi="Times New Roman" w:cs="Times New Roman"/>
          <w:sz w:val="32"/>
          <w:szCs w:val="32"/>
        </w:rPr>
        <w:t>sentenza 63/2016 sul caso Lombardia</w:t>
      </w:r>
    </w:p>
    <w:p w14:paraId="18C4B1AD" w14:textId="2B298292" w:rsidR="00D27776" w:rsidRPr="00D90D3D" w:rsidRDefault="00D27776" w:rsidP="006265B7">
      <w:pPr>
        <w:jc w:val="both"/>
        <w:rPr>
          <w:rFonts w:ascii="Times New Roman" w:hAnsi="Times New Roman" w:cs="Times New Roman"/>
          <w:sz w:val="32"/>
          <w:szCs w:val="32"/>
        </w:rPr>
      </w:pPr>
      <w:hyperlink r:id="rId6" w:anchor=":~:text=Per%20consolidata%20giurisprudenza%20costituzionale%2C%20la%20disponibilit%C3%A0%20di%20spazi,di%20professare%20la%20propria%20fede%20religiosa%2C%20in%20quals" w:history="1">
        <w:r w:rsidRPr="00D90D3D">
          <w:rPr>
            <w:rStyle w:val="Collegamentoipertestuale"/>
            <w:rFonts w:ascii="Times New Roman" w:hAnsi="Times New Roman" w:cs="Times New Roman"/>
            <w:color w:val="auto"/>
            <w:sz w:val="32"/>
            <w:szCs w:val="32"/>
          </w:rPr>
          <w:t>Corte costituzionale - Decisioni</w:t>
        </w:r>
      </w:hyperlink>
      <w:r w:rsidRPr="00D90D3D">
        <w:rPr>
          <w:rFonts w:ascii="Times New Roman" w:hAnsi="Times New Roman" w:cs="Times New Roman"/>
          <w:sz w:val="32"/>
          <w:szCs w:val="32"/>
        </w:rPr>
        <w:t xml:space="preserve"> sentenza 67/2017 sul caso Veneto</w:t>
      </w:r>
    </w:p>
    <w:p w14:paraId="203C23FD" w14:textId="5B94140C" w:rsidR="00D27776" w:rsidRPr="00D90D3D" w:rsidRDefault="00D90D3D" w:rsidP="006265B7">
      <w:pPr>
        <w:jc w:val="both"/>
        <w:rPr>
          <w:rFonts w:ascii="Times New Roman" w:hAnsi="Times New Roman" w:cs="Times New Roman"/>
          <w:sz w:val="32"/>
          <w:szCs w:val="32"/>
        </w:rPr>
      </w:pPr>
      <w:hyperlink r:id="rId7" w:history="1">
        <w:r w:rsidRPr="00D90D3D">
          <w:rPr>
            <w:rStyle w:val="Collegamentoipertestuale"/>
            <w:rFonts w:ascii="Times New Roman" w:hAnsi="Times New Roman" w:cs="Times New Roman"/>
            <w:color w:val="auto"/>
            <w:sz w:val="32"/>
            <w:szCs w:val="32"/>
          </w:rPr>
          <w:t>Legge_regionale_12_2005_modif.pdf</w:t>
        </w:r>
      </w:hyperlink>
    </w:p>
    <w:p w14:paraId="2BBDBB19" w14:textId="5B3382A0" w:rsidR="00D078BD" w:rsidRPr="00D90D3D" w:rsidRDefault="00D27776" w:rsidP="006265B7">
      <w:pPr>
        <w:jc w:val="both"/>
        <w:rPr>
          <w:rFonts w:ascii="Times New Roman" w:hAnsi="Times New Roman" w:cs="Times New Roman"/>
          <w:sz w:val="32"/>
          <w:szCs w:val="32"/>
        </w:rPr>
      </w:pPr>
      <w:hyperlink r:id="rId8" w:history="1">
        <w:r w:rsidRPr="00D90D3D">
          <w:rPr>
            <w:rStyle w:val="Collegamentoipertestuale"/>
            <w:rFonts w:ascii="Times New Roman" w:hAnsi="Times New Roman" w:cs="Times New Roman"/>
            <w:color w:val="auto"/>
            <w:sz w:val="32"/>
            <w:szCs w:val="32"/>
          </w:rPr>
          <w:t>Legge-regione-Veneto-n.-12-del-2016.pdf</w:t>
        </w:r>
      </w:hyperlink>
    </w:p>
    <w:p w14:paraId="159AA27D" w14:textId="509D2D8E" w:rsidR="00BC4E99" w:rsidRPr="00D90D3D" w:rsidRDefault="00BC4E99" w:rsidP="006265B7">
      <w:pPr>
        <w:jc w:val="both"/>
        <w:rPr>
          <w:rFonts w:ascii="Times New Roman" w:hAnsi="Times New Roman" w:cs="Times New Roman"/>
          <w:sz w:val="32"/>
          <w:szCs w:val="32"/>
        </w:rPr>
      </w:pPr>
      <w:hyperlink r:id="rId9" w:history="1">
        <w:r w:rsidRPr="00D90D3D">
          <w:rPr>
            <w:rStyle w:val="Collegamentoipertestuale"/>
            <w:rFonts w:ascii="Times New Roman" w:hAnsi="Times New Roman" w:cs="Times New Roman"/>
            <w:color w:val="auto"/>
            <w:sz w:val="32"/>
            <w:szCs w:val="32"/>
          </w:rPr>
          <w:t>La Costituzione | Senato della Repubblica</w:t>
        </w:r>
      </w:hyperlink>
    </w:p>
    <w:p w14:paraId="528E7225" w14:textId="2C5FF29A" w:rsidR="00BC4E99" w:rsidRPr="00D90D3D" w:rsidRDefault="00BC4E99" w:rsidP="00BC4E99">
      <w:pPr>
        <w:spacing w:line="360" w:lineRule="auto"/>
        <w:jc w:val="both"/>
        <w:rPr>
          <w:rFonts w:ascii="Times New Roman" w:hAnsi="Times New Roman" w:cs="Times New Roman"/>
          <w:sz w:val="32"/>
          <w:szCs w:val="32"/>
        </w:rPr>
      </w:pPr>
      <w:hyperlink r:id="rId10" w:history="1">
        <w:r w:rsidRPr="00D90D3D">
          <w:rPr>
            <w:rStyle w:val="Collegamentoipertestuale"/>
            <w:rFonts w:ascii="Times New Roman" w:hAnsi="Times New Roman" w:cs="Times New Roman"/>
            <w:color w:val="auto"/>
            <w:sz w:val="32"/>
            <w:szCs w:val="32"/>
          </w:rPr>
          <w:t>Diritti e Norme per gli Edifici di Culto in Italia</w:t>
        </w:r>
      </w:hyperlink>
    </w:p>
    <w:p w14:paraId="60B30908" w14:textId="77EABBD5" w:rsidR="00BC4E99" w:rsidRPr="00D90D3D" w:rsidRDefault="00BC4E99" w:rsidP="00BC4E99">
      <w:pPr>
        <w:spacing w:line="360" w:lineRule="auto"/>
        <w:jc w:val="both"/>
        <w:rPr>
          <w:rFonts w:ascii="Times New Roman" w:hAnsi="Times New Roman" w:cs="Times New Roman"/>
          <w:sz w:val="32"/>
          <w:szCs w:val="32"/>
        </w:rPr>
      </w:pPr>
      <w:hyperlink r:id="rId11" w:history="1">
        <w:r w:rsidRPr="00D90D3D">
          <w:rPr>
            <w:rStyle w:val="Collegamentoipertestuale"/>
            <w:rFonts w:ascii="Times New Roman" w:hAnsi="Times New Roman" w:cs="Times New Roman"/>
            <w:color w:val="auto"/>
            <w:sz w:val="32"/>
            <w:szCs w:val="32"/>
          </w:rPr>
          <w:t>Libertà religiosa ed edilizia di culto: evoluzione normativa e problematiche interpretative | Salvis Juribus</w:t>
        </w:r>
      </w:hyperlink>
    </w:p>
    <w:p w14:paraId="20539060" w14:textId="0334DBEF" w:rsidR="00BC4E99" w:rsidRPr="00D90D3D" w:rsidRDefault="00BC4E99" w:rsidP="00BC4E99">
      <w:pPr>
        <w:spacing w:line="360" w:lineRule="auto"/>
        <w:jc w:val="both"/>
        <w:rPr>
          <w:rFonts w:ascii="Times New Roman" w:hAnsi="Times New Roman" w:cs="Times New Roman"/>
          <w:sz w:val="32"/>
          <w:szCs w:val="32"/>
        </w:rPr>
      </w:pPr>
      <w:hyperlink r:id="rId12" w:anchor=":~:text=Ogni%20individuo%20ha%20diritto%20alla%20libert%C3%A0%20di%20pensiero%2C,la%20propria%20religione%20o%20il%20proprio%20credo%20nell%E2%80%99insegnamento%2C" w:history="1">
        <w:r w:rsidRPr="00D90D3D">
          <w:rPr>
            <w:rStyle w:val="Collegamentoipertestuale"/>
            <w:rFonts w:ascii="Times New Roman" w:hAnsi="Times New Roman" w:cs="Times New Roman"/>
            <w:color w:val="auto"/>
            <w:sz w:val="32"/>
            <w:szCs w:val="32"/>
          </w:rPr>
          <w:t>Articolo 18 - Libere coscienze - Centro di Ateneo per i Diritti Umani</w:t>
        </w:r>
      </w:hyperlink>
    </w:p>
    <w:p w14:paraId="12FC20A1" w14:textId="1DE6158D" w:rsidR="00BC4E99" w:rsidRPr="00D90D3D" w:rsidRDefault="00BC4E99" w:rsidP="00BC4E99">
      <w:pPr>
        <w:spacing w:line="360" w:lineRule="auto"/>
        <w:jc w:val="both"/>
        <w:rPr>
          <w:rFonts w:ascii="Times New Roman" w:hAnsi="Times New Roman" w:cs="Times New Roman"/>
          <w:sz w:val="32"/>
          <w:szCs w:val="32"/>
        </w:rPr>
      </w:pPr>
      <w:hyperlink r:id="rId13" w:history="1">
        <w:r w:rsidRPr="00D90D3D">
          <w:rPr>
            <w:rStyle w:val="Collegamentoipertestuale"/>
            <w:rFonts w:ascii="Times New Roman" w:hAnsi="Times New Roman" w:cs="Times New Roman"/>
            <w:color w:val="auto"/>
            <w:sz w:val="32"/>
            <w:szCs w:val="32"/>
          </w:rPr>
          <w:t>eur-lex.europa.eu/legal-content/IT/TXT/PDF/?uri=CELEX:12012E/TXT</w:t>
        </w:r>
      </w:hyperlink>
    </w:p>
    <w:p w14:paraId="5DB57728" w14:textId="69FFFF0B" w:rsidR="00BC4E99" w:rsidRPr="00D90D3D" w:rsidRDefault="00BC4E99" w:rsidP="00BC4E99">
      <w:pPr>
        <w:spacing w:line="360" w:lineRule="auto"/>
        <w:jc w:val="both"/>
        <w:rPr>
          <w:rFonts w:ascii="Times New Roman" w:hAnsi="Times New Roman" w:cs="Times New Roman"/>
          <w:sz w:val="32"/>
          <w:szCs w:val="32"/>
        </w:rPr>
      </w:pPr>
      <w:hyperlink r:id="rId14" w:history="1">
        <w:r w:rsidRPr="00D90D3D">
          <w:rPr>
            <w:rStyle w:val="Collegamentoipertestuale"/>
            <w:rFonts w:ascii="Times New Roman" w:hAnsi="Times New Roman" w:cs="Times New Roman"/>
            <w:color w:val="auto"/>
            <w:sz w:val="32"/>
            <w:szCs w:val="32"/>
          </w:rPr>
          <w:t>Carta dei diritti fondamentali dell’Unione europea</w:t>
        </w:r>
      </w:hyperlink>
    </w:p>
    <w:p w14:paraId="3476B04D" w14:textId="2AE2F099" w:rsidR="00502560" w:rsidRPr="00CD6CF8" w:rsidRDefault="00BC4E99" w:rsidP="00CD6CF8">
      <w:pPr>
        <w:spacing w:line="360" w:lineRule="auto"/>
        <w:jc w:val="both"/>
        <w:rPr>
          <w:rFonts w:ascii="Times New Roman" w:hAnsi="Times New Roman" w:cs="Times New Roman"/>
          <w:sz w:val="32"/>
          <w:szCs w:val="32"/>
        </w:rPr>
      </w:pPr>
      <w:hyperlink r:id="rId15" w:history="1">
        <w:r w:rsidRPr="00D90D3D">
          <w:rPr>
            <w:rStyle w:val="Collegamentoipertestuale"/>
            <w:rFonts w:ascii="Times New Roman" w:hAnsi="Times New Roman" w:cs="Times New Roman"/>
            <w:color w:val="auto"/>
            <w:sz w:val="32"/>
            <w:szCs w:val="32"/>
          </w:rPr>
          <w:t>International Covenant on Civil and Political Rights | OHCHR</w:t>
        </w:r>
      </w:hyperlink>
    </w:p>
    <w:sectPr w:rsidR="00502560" w:rsidRPr="00CD6C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776AF"/>
    <w:multiLevelType w:val="hybridMultilevel"/>
    <w:tmpl w:val="EB0A8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3A1A64"/>
    <w:multiLevelType w:val="hybridMultilevel"/>
    <w:tmpl w:val="247C2A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E24001"/>
    <w:multiLevelType w:val="hybridMultilevel"/>
    <w:tmpl w:val="BDD655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5F42D5"/>
    <w:multiLevelType w:val="hybridMultilevel"/>
    <w:tmpl w:val="BD82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A5049CA"/>
    <w:multiLevelType w:val="hybridMultilevel"/>
    <w:tmpl w:val="BF56E8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13329642">
    <w:abstractNumId w:val="1"/>
  </w:num>
  <w:num w:numId="2" w16cid:durableId="545946682">
    <w:abstractNumId w:val="0"/>
  </w:num>
  <w:num w:numId="3" w16cid:durableId="261181787">
    <w:abstractNumId w:val="2"/>
  </w:num>
  <w:num w:numId="4" w16cid:durableId="424497913">
    <w:abstractNumId w:val="4"/>
  </w:num>
  <w:num w:numId="5" w16cid:durableId="618029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0"/>
    <w:rsid w:val="00000C80"/>
    <w:rsid w:val="00012C76"/>
    <w:rsid w:val="0001511A"/>
    <w:rsid w:val="000A62F6"/>
    <w:rsid w:val="000D6215"/>
    <w:rsid w:val="000F0145"/>
    <w:rsid w:val="000F50F7"/>
    <w:rsid w:val="00144203"/>
    <w:rsid w:val="001B379C"/>
    <w:rsid w:val="001B3CFC"/>
    <w:rsid w:val="00235C91"/>
    <w:rsid w:val="0024116E"/>
    <w:rsid w:val="00265AF8"/>
    <w:rsid w:val="002B558A"/>
    <w:rsid w:val="003316B4"/>
    <w:rsid w:val="003B4A4C"/>
    <w:rsid w:val="003D060A"/>
    <w:rsid w:val="003E585E"/>
    <w:rsid w:val="00430A7C"/>
    <w:rsid w:val="00496570"/>
    <w:rsid w:val="004B5115"/>
    <w:rsid w:val="004E6307"/>
    <w:rsid w:val="00502560"/>
    <w:rsid w:val="005958BA"/>
    <w:rsid w:val="005A47B0"/>
    <w:rsid w:val="005E0C8A"/>
    <w:rsid w:val="00600F87"/>
    <w:rsid w:val="006265B7"/>
    <w:rsid w:val="0067156E"/>
    <w:rsid w:val="006B2854"/>
    <w:rsid w:val="006F6987"/>
    <w:rsid w:val="00714056"/>
    <w:rsid w:val="00785755"/>
    <w:rsid w:val="007F4413"/>
    <w:rsid w:val="007F612C"/>
    <w:rsid w:val="00885375"/>
    <w:rsid w:val="008E0441"/>
    <w:rsid w:val="009909A1"/>
    <w:rsid w:val="00A5504C"/>
    <w:rsid w:val="00A85955"/>
    <w:rsid w:val="00A90255"/>
    <w:rsid w:val="00A91F84"/>
    <w:rsid w:val="00AA7DC5"/>
    <w:rsid w:val="00AC4BA5"/>
    <w:rsid w:val="00B6387E"/>
    <w:rsid w:val="00B81B51"/>
    <w:rsid w:val="00B862C2"/>
    <w:rsid w:val="00BA5996"/>
    <w:rsid w:val="00BC4E99"/>
    <w:rsid w:val="00BD056E"/>
    <w:rsid w:val="00BD375D"/>
    <w:rsid w:val="00C03277"/>
    <w:rsid w:val="00C32702"/>
    <w:rsid w:val="00CC7DA4"/>
    <w:rsid w:val="00CD0803"/>
    <w:rsid w:val="00CD6CF8"/>
    <w:rsid w:val="00CF6107"/>
    <w:rsid w:val="00D078BD"/>
    <w:rsid w:val="00D2001E"/>
    <w:rsid w:val="00D27776"/>
    <w:rsid w:val="00D4050B"/>
    <w:rsid w:val="00D76DBF"/>
    <w:rsid w:val="00D90D3D"/>
    <w:rsid w:val="00DE6BBE"/>
    <w:rsid w:val="00DF364F"/>
    <w:rsid w:val="00DF7CFC"/>
    <w:rsid w:val="00E34072"/>
    <w:rsid w:val="00F829D6"/>
    <w:rsid w:val="00F86F99"/>
    <w:rsid w:val="00FC6944"/>
    <w:rsid w:val="00FE3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C793"/>
  <w15:chartTrackingRefBased/>
  <w15:docId w15:val="{18FA116D-8977-49C0-B5B7-10D8D749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02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02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0256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0256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0256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0256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0256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0256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0256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256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0256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0256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0256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0256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0256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0256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0256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02560"/>
    <w:rPr>
      <w:rFonts w:eastAsiaTheme="majorEastAsia" w:cstheme="majorBidi"/>
      <w:color w:val="272727" w:themeColor="text1" w:themeTint="D8"/>
    </w:rPr>
  </w:style>
  <w:style w:type="paragraph" w:styleId="Titolo">
    <w:name w:val="Title"/>
    <w:basedOn w:val="Normale"/>
    <w:next w:val="Normale"/>
    <w:link w:val="TitoloCarattere"/>
    <w:uiPriority w:val="10"/>
    <w:qFormat/>
    <w:rsid w:val="00502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0256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0256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0256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256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02560"/>
    <w:rPr>
      <w:i/>
      <w:iCs/>
      <w:color w:val="404040" w:themeColor="text1" w:themeTint="BF"/>
    </w:rPr>
  </w:style>
  <w:style w:type="paragraph" w:styleId="Paragrafoelenco">
    <w:name w:val="List Paragraph"/>
    <w:basedOn w:val="Normale"/>
    <w:uiPriority w:val="34"/>
    <w:qFormat/>
    <w:rsid w:val="00502560"/>
    <w:pPr>
      <w:ind w:left="720"/>
      <w:contextualSpacing/>
    </w:pPr>
  </w:style>
  <w:style w:type="character" w:styleId="Enfasiintensa">
    <w:name w:val="Intense Emphasis"/>
    <w:basedOn w:val="Carpredefinitoparagrafo"/>
    <w:uiPriority w:val="21"/>
    <w:qFormat/>
    <w:rsid w:val="00502560"/>
    <w:rPr>
      <w:i/>
      <w:iCs/>
      <w:color w:val="0F4761" w:themeColor="accent1" w:themeShade="BF"/>
    </w:rPr>
  </w:style>
  <w:style w:type="paragraph" w:styleId="Citazioneintensa">
    <w:name w:val="Intense Quote"/>
    <w:basedOn w:val="Normale"/>
    <w:next w:val="Normale"/>
    <w:link w:val="CitazioneintensaCarattere"/>
    <w:uiPriority w:val="30"/>
    <w:qFormat/>
    <w:rsid w:val="00502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02560"/>
    <w:rPr>
      <w:i/>
      <w:iCs/>
      <w:color w:val="0F4761" w:themeColor="accent1" w:themeShade="BF"/>
    </w:rPr>
  </w:style>
  <w:style w:type="character" w:styleId="Riferimentointenso">
    <w:name w:val="Intense Reference"/>
    <w:basedOn w:val="Carpredefinitoparagrafo"/>
    <w:uiPriority w:val="32"/>
    <w:qFormat/>
    <w:rsid w:val="00502560"/>
    <w:rPr>
      <w:b/>
      <w:bCs/>
      <w:smallCaps/>
      <w:color w:val="0F4761" w:themeColor="accent1" w:themeShade="BF"/>
      <w:spacing w:val="5"/>
    </w:rPr>
  </w:style>
  <w:style w:type="character" w:styleId="Collegamentoipertestuale">
    <w:name w:val="Hyperlink"/>
    <w:basedOn w:val="Carpredefinitoparagrafo"/>
    <w:uiPriority w:val="99"/>
    <w:unhideWhenUsed/>
    <w:rsid w:val="00BC4E99"/>
    <w:rPr>
      <w:color w:val="467886" w:themeColor="hyperlink"/>
      <w:u w:val="single"/>
    </w:rPr>
  </w:style>
  <w:style w:type="character" w:styleId="Menzionenonrisolta">
    <w:name w:val="Unresolved Mention"/>
    <w:basedOn w:val="Carpredefinitoparagrafo"/>
    <w:uiPriority w:val="99"/>
    <w:semiHidden/>
    <w:unhideWhenUsed/>
    <w:rsid w:val="00BC4E99"/>
    <w:rPr>
      <w:color w:val="605E5C"/>
      <w:shd w:val="clear" w:color="auto" w:fill="E1DFDD"/>
    </w:rPr>
  </w:style>
  <w:style w:type="character" w:styleId="Collegamentovisitato">
    <w:name w:val="FollowedHyperlink"/>
    <w:basedOn w:val="Carpredefinitoparagrafo"/>
    <w:uiPriority w:val="99"/>
    <w:semiHidden/>
    <w:unhideWhenUsed/>
    <w:rsid w:val="00BC4E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aliaius.it/wp-content/uploads/2016/04/Legge-regione-Veneto-n.-12-del-2016.pdf" TargetMode="External"/><Relationship Id="rId13" Type="http://schemas.openxmlformats.org/officeDocument/2006/relationships/hyperlink" Target="https://eur-lex.europa.eu/legal-content/IT/TXT/PDF/?uri=CELEX:12012E/TXT" TargetMode="External"/><Relationship Id="rId3" Type="http://schemas.openxmlformats.org/officeDocument/2006/relationships/settings" Target="settings.xml"/><Relationship Id="rId7" Type="http://schemas.openxmlformats.org/officeDocument/2006/relationships/hyperlink" Target="https://www.regione.lombardia.it/wps/wcm/connect/2ce66a39-7523-42ec-9e6a-acd737f74066/Legge_regionale_12_2005_modif.pdf?MOD=AJPERES" TargetMode="External"/><Relationship Id="rId12" Type="http://schemas.openxmlformats.org/officeDocument/2006/relationships/hyperlink" Target="https://unipd-centrodirittiumani.it/it/temi/articolo-18-libere-coscienz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rtecostituzionale.it/actionSchedaPronuncia.do?param_ecli=ECLI:IT:COST:2017:67" TargetMode="External"/><Relationship Id="rId11" Type="http://schemas.openxmlformats.org/officeDocument/2006/relationships/hyperlink" Target="http://www.salvisjuribus.it/liberta-religiosa-ed-edilizia-di-culto-evoluzione-normativa-e-problematiche-interpretative/" TargetMode="External"/><Relationship Id="rId5" Type="http://schemas.openxmlformats.org/officeDocument/2006/relationships/hyperlink" Target="https://www.cortecostituzionale.it/actionSchedaPronuncia.do?param_ecli=ECLI:IT:COST:2016:63" TargetMode="External"/><Relationship Id="rId15" Type="http://schemas.openxmlformats.org/officeDocument/2006/relationships/hyperlink" Target="https://www.ohchr.org/en/instruments-mechanisms/instruments/international-covenant-civil-and-political-rights" TargetMode="External"/><Relationship Id="rId10" Type="http://schemas.openxmlformats.org/officeDocument/2006/relationships/hyperlink" Target="http://www.appuntigiurisprudenza.it/diritto-ecclesiastico/ledilizia-gli-edifici-di-culto.html" TargetMode="External"/><Relationship Id="rId4" Type="http://schemas.openxmlformats.org/officeDocument/2006/relationships/webSettings" Target="webSettings.xml"/><Relationship Id="rId9" Type="http://schemas.openxmlformats.org/officeDocument/2006/relationships/hyperlink" Target="https://www.senato.it/istituzione/la-costituzione" TargetMode="External"/><Relationship Id="rId14" Type="http://schemas.openxmlformats.org/officeDocument/2006/relationships/hyperlink" Target="https://eur-lex.europa.eu/legal-content/IT/TXT/PDF/?uri=CELEX:12016P/TX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402</TotalTime>
  <Pages>11</Pages>
  <Words>3445</Words>
  <Characters>19640</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Princic</dc:creator>
  <cp:keywords/>
  <dc:description/>
  <cp:lastModifiedBy>Matteo Princic</cp:lastModifiedBy>
  <cp:revision>40</cp:revision>
  <dcterms:created xsi:type="dcterms:W3CDTF">2024-11-12T10:28:00Z</dcterms:created>
  <dcterms:modified xsi:type="dcterms:W3CDTF">2024-11-25T21:02:00Z</dcterms:modified>
</cp:coreProperties>
</file>