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A3249" w14:textId="77777777" w:rsidR="00364BFC" w:rsidRDefault="00364BFC">
      <w:pPr>
        <w:rPr>
          <w:rFonts w:eastAsia="Times New Roman" w:cstheme="minorHAnsi"/>
          <w:lang w:val="en-US"/>
        </w:rPr>
      </w:pPr>
    </w:p>
    <w:p w14:paraId="0257DE1C" w14:textId="77777777" w:rsidR="00364BFC" w:rsidRDefault="00000000">
      <w:pPr>
        <w:pStyle w:val="NormaleWeb"/>
        <w:spacing w:beforeAutospacing="0" w:afterAutospacing="0"/>
        <w:rPr>
          <w:rFonts w:ascii="Calibri" w:hAnsi="Calibri" w:cs="Calibri"/>
          <w:i/>
          <w:lang w:val="en-GB"/>
        </w:rPr>
      </w:pPr>
      <w:r>
        <w:rPr>
          <w:rFonts w:ascii="Calibri" w:hAnsi="Calibri" w:cs="Calibri"/>
          <w:i/>
          <w:lang w:val="en-GB"/>
        </w:rPr>
        <w:t>Translate the following text into English. At the end of your translation, include a brief note indicating relevant translation issues (e.g. text type and intention, specific language elements, register, translation approach, etc.) and your proposed solutions, using examples from the source and/or target texts to support your comments.</w:t>
      </w:r>
    </w:p>
    <w:p w14:paraId="7FF08580" w14:textId="77777777" w:rsidR="00364BFC" w:rsidRDefault="00364BFC">
      <w:pPr>
        <w:shd w:val="clear" w:color="auto" w:fill="FFFFFF"/>
        <w:rPr>
          <w:rFonts w:cs="Calibri"/>
          <w:color w:val="1D1D1B"/>
        </w:rPr>
      </w:pPr>
    </w:p>
    <w:p w14:paraId="493E7B95" w14:textId="77777777" w:rsidR="00364BFC" w:rsidRDefault="00364BFC">
      <w:pPr>
        <w:shd w:val="clear" w:color="auto" w:fill="FFFFFF"/>
        <w:rPr>
          <w:rFonts w:cs="Calibri"/>
          <w:color w:val="1D1D1B"/>
        </w:rPr>
      </w:pPr>
    </w:p>
    <w:p w14:paraId="7D17EC1A" w14:textId="77777777" w:rsidR="00364BFC" w:rsidRDefault="00000000">
      <w:pPr>
        <w:shd w:val="clear" w:color="auto" w:fill="FFFFFF"/>
        <w:rPr>
          <w:rFonts w:cs="Calibri"/>
          <w:b/>
          <w:bCs/>
          <w:color w:val="1D1D1B"/>
        </w:rPr>
      </w:pPr>
      <w:r>
        <w:rPr>
          <w:rFonts w:cs="Calibri"/>
          <w:b/>
          <w:bCs/>
          <w:color w:val="1D1D1B"/>
        </w:rPr>
        <w:t>VALUTAZIONE DELL’INQUINAMENTO ACUSTICO IN BASE ALLA LEGGE QUADRO</w:t>
      </w:r>
    </w:p>
    <w:p w14:paraId="19C98DA5" w14:textId="77777777" w:rsidR="00364BFC" w:rsidRDefault="00364BFC">
      <w:pPr>
        <w:shd w:val="clear" w:color="auto" w:fill="FFFFFF"/>
        <w:rPr>
          <w:rFonts w:cs="Calibri"/>
          <w:color w:val="1D1D1B"/>
        </w:rPr>
      </w:pPr>
    </w:p>
    <w:p w14:paraId="644BB181" w14:textId="77777777" w:rsidR="00364BFC" w:rsidRDefault="00000000">
      <w:pPr>
        <w:shd w:val="clear" w:color="auto" w:fill="FFFFFF"/>
        <w:rPr>
          <w:rFonts w:cs="Calibri"/>
          <w:color w:val="1D1D1B"/>
        </w:rPr>
      </w:pPr>
      <w:r>
        <w:rPr>
          <w:rFonts w:cs="Calibri"/>
          <w:color w:val="1D1D1B"/>
        </w:rPr>
        <w:t>La legge quadro 447/95 costituisce il riferimento normativo di base per la valutazione dell’inquinamento acustico ambientale stabilendo:</w:t>
      </w:r>
    </w:p>
    <w:p w14:paraId="46E59567" w14:textId="77777777" w:rsidR="00364BFC" w:rsidRDefault="00364BFC">
      <w:pPr>
        <w:shd w:val="clear" w:color="auto" w:fill="FFFFFF"/>
        <w:rPr>
          <w:rFonts w:cs="Calibri"/>
          <w:color w:val="1D1D1B"/>
        </w:rPr>
      </w:pPr>
    </w:p>
    <w:p w14:paraId="70A16DB3" w14:textId="77777777" w:rsidR="00364BFC" w:rsidRDefault="00000000">
      <w:pPr>
        <w:numPr>
          <w:ilvl w:val="0"/>
          <w:numId w:val="2"/>
        </w:numPr>
        <w:shd w:val="clear" w:color="auto" w:fill="FFFFFF"/>
        <w:rPr>
          <w:rFonts w:cs="Calibri"/>
          <w:color w:val="1D1D1B"/>
        </w:rPr>
      </w:pPr>
      <w:r>
        <w:rPr>
          <w:rFonts w:cs="Calibri"/>
          <w:color w:val="1D1D1B"/>
        </w:rPr>
        <w:t>I principi fondamentali con riferimento alla protezione dal rumore degli individui e dell’ambiente esterno;</w:t>
      </w:r>
    </w:p>
    <w:p w14:paraId="7BFA71B2" w14:textId="77777777" w:rsidR="00364BFC" w:rsidRDefault="00000000">
      <w:pPr>
        <w:numPr>
          <w:ilvl w:val="0"/>
          <w:numId w:val="2"/>
        </w:numPr>
        <w:shd w:val="clear" w:color="auto" w:fill="FFFFFF"/>
        <w:rPr>
          <w:rFonts w:cs="Calibri"/>
          <w:color w:val="1D1D1B"/>
        </w:rPr>
      </w:pPr>
      <w:r>
        <w:rPr>
          <w:rFonts w:cs="Calibri"/>
          <w:color w:val="1D1D1B"/>
        </w:rPr>
        <w:t>I livelli di competenza dello Stato, delle Regioni, delle Provincie e degli Enti Locali in materia di regolamentazione, pianificazione e controllo del rumore.</w:t>
      </w:r>
    </w:p>
    <w:p w14:paraId="51E8BBAA" w14:textId="77777777" w:rsidR="00364BFC" w:rsidRDefault="00364BFC">
      <w:pPr>
        <w:shd w:val="clear" w:color="auto" w:fill="FFFFFF"/>
        <w:rPr>
          <w:rFonts w:cs="Calibri"/>
          <w:color w:val="1D1D1B"/>
        </w:rPr>
      </w:pPr>
    </w:p>
    <w:p w14:paraId="6874484A" w14:textId="77777777" w:rsidR="00364BFC" w:rsidRDefault="00000000">
      <w:pPr>
        <w:shd w:val="clear" w:color="auto" w:fill="FFFFFF"/>
        <w:rPr>
          <w:rFonts w:cs="Calibri"/>
          <w:color w:val="1D1D1B"/>
        </w:rPr>
      </w:pPr>
      <w:r>
        <w:rPr>
          <w:rFonts w:cs="Calibri"/>
          <w:color w:val="1D1D1B"/>
        </w:rPr>
        <w:t>La tutela dell’ambiente esterno dagli effetti nocivi derivanti dall’esposizione al rumore deve essere realizzata, secondo la normativa vigente indicata, attraverso le seguenti azioni:</w:t>
      </w:r>
    </w:p>
    <w:p w14:paraId="50062F6D" w14:textId="77777777" w:rsidR="00364BFC" w:rsidRDefault="00364BFC">
      <w:pPr>
        <w:shd w:val="clear" w:color="auto" w:fill="FFFFFF"/>
        <w:rPr>
          <w:rFonts w:cs="Calibri"/>
          <w:color w:val="1D1D1B"/>
        </w:rPr>
      </w:pPr>
    </w:p>
    <w:p w14:paraId="18563BB2" w14:textId="77777777" w:rsidR="00364BFC" w:rsidRDefault="00000000">
      <w:pPr>
        <w:numPr>
          <w:ilvl w:val="0"/>
          <w:numId w:val="3"/>
        </w:numPr>
        <w:shd w:val="clear" w:color="auto" w:fill="FFFFFF"/>
        <w:rPr>
          <w:rFonts w:cs="Calibri"/>
          <w:color w:val="1D1D1B"/>
        </w:rPr>
      </w:pPr>
      <w:r>
        <w:rPr>
          <w:rFonts w:cs="Calibri"/>
          <w:color w:val="1D1D1B"/>
        </w:rPr>
        <w:t>previsione di specifici limiti di accettabilità di rumore, in termini di valori assoluti di emissione e di immissione di eventi rumorosi nel territorio;</w:t>
      </w:r>
    </w:p>
    <w:p w14:paraId="3F3CE000" w14:textId="77777777" w:rsidR="00364BFC" w:rsidRDefault="00000000">
      <w:pPr>
        <w:numPr>
          <w:ilvl w:val="0"/>
          <w:numId w:val="3"/>
        </w:numPr>
        <w:shd w:val="clear" w:color="auto" w:fill="FFFFFF"/>
        <w:rPr>
          <w:rFonts w:cs="Calibri"/>
          <w:color w:val="1D1D1B"/>
        </w:rPr>
      </w:pPr>
      <w:r>
        <w:rPr>
          <w:rFonts w:cs="Calibri"/>
          <w:color w:val="1D1D1B"/>
        </w:rPr>
        <w:t>stesura di piani di zonizzazione acustica;</w:t>
      </w:r>
    </w:p>
    <w:p w14:paraId="1D6A2CA7" w14:textId="77777777" w:rsidR="00364BFC" w:rsidRDefault="00000000">
      <w:pPr>
        <w:numPr>
          <w:ilvl w:val="0"/>
          <w:numId w:val="3"/>
        </w:numPr>
        <w:shd w:val="clear" w:color="auto" w:fill="FFFFFF"/>
        <w:rPr>
          <w:rFonts w:cs="Calibri"/>
          <w:color w:val="1D1D1B"/>
        </w:rPr>
      </w:pPr>
      <w:r>
        <w:rPr>
          <w:rFonts w:cs="Calibri"/>
          <w:color w:val="1D1D1B"/>
        </w:rPr>
        <w:t>stesura di piani di risanamento acustico qualora i livelli di rumorosità ambientale superino i suddetti valori limite di immissione e/o di emissione;</w:t>
      </w:r>
    </w:p>
    <w:p w14:paraId="0D3FD58B" w14:textId="77777777" w:rsidR="00364BFC" w:rsidRDefault="00000000">
      <w:pPr>
        <w:numPr>
          <w:ilvl w:val="0"/>
          <w:numId w:val="3"/>
        </w:numPr>
        <w:shd w:val="clear" w:color="auto" w:fill="FFFFFF"/>
        <w:rPr>
          <w:rFonts w:cs="Calibri"/>
          <w:color w:val="1D1D1B"/>
        </w:rPr>
      </w:pPr>
      <w:r>
        <w:rPr>
          <w:rFonts w:cs="Calibri"/>
          <w:color w:val="1D1D1B"/>
        </w:rPr>
        <w:t>stesura di piani di azione a breve, medio e lungo termine finalizzati a ricondurre i livelli di rumorosità ambientale a determinati valori ottimali, i cosiddetti valori di qualità.</w:t>
      </w:r>
    </w:p>
    <w:p w14:paraId="64EFE4EC" w14:textId="77777777" w:rsidR="00364BFC" w:rsidRDefault="00364BFC">
      <w:pPr>
        <w:shd w:val="clear" w:color="auto" w:fill="FFFFFF"/>
        <w:rPr>
          <w:rFonts w:cs="Calibri"/>
          <w:color w:val="1D1D1B"/>
        </w:rPr>
      </w:pPr>
    </w:p>
    <w:p w14:paraId="622E311C" w14:textId="77777777" w:rsidR="00364BFC" w:rsidRDefault="00000000">
      <w:pPr>
        <w:shd w:val="clear" w:color="auto" w:fill="FFFFFF"/>
        <w:rPr>
          <w:rFonts w:cs="Calibri"/>
          <w:color w:val="1D1D1B"/>
        </w:rPr>
      </w:pPr>
      <w:r>
        <w:rPr>
          <w:rFonts w:cs="Calibri"/>
          <w:color w:val="1D1D1B"/>
        </w:rPr>
        <w:t>La normativa individua dunque 6 classi acustiche in funzione della destinazione d’uso prevalente e per ciascuna classe acustica fissa i limiti assoluti in termini di livelli di immissione, emissione e qualità a loro volta individuati in funzione del periodo di riferimento – diurno (06:00 – 22.00) o notturno (22:00 – 06:00).</w:t>
      </w:r>
    </w:p>
    <w:p w14:paraId="211EF749" w14:textId="77777777" w:rsidR="00364BFC" w:rsidRDefault="00364BFC">
      <w:pPr>
        <w:shd w:val="clear" w:color="auto" w:fill="FFFFFF"/>
        <w:rPr>
          <w:rFonts w:cs="Calibri"/>
          <w:color w:val="1D1D1B"/>
        </w:rPr>
      </w:pPr>
    </w:p>
    <w:p w14:paraId="3C016584" w14:textId="77777777" w:rsidR="00364BFC" w:rsidRDefault="00000000">
      <w:pPr>
        <w:shd w:val="clear" w:color="auto" w:fill="FFFFFF"/>
        <w:rPr>
          <w:rFonts w:cs="Calibri"/>
          <w:color w:val="1D1D1B"/>
        </w:rPr>
      </w:pPr>
      <w:r>
        <w:br w:type="page"/>
      </w:r>
    </w:p>
    <w:p w14:paraId="1CA0430F" w14:textId="77777777" w:rsidR="00364BFC" w:rsidRDefault="00364BFC">
      <w:pPr>
        <w:shd w:val="clear" w:color="auto" w:fill="FFFFFF"/>
        <w:rPr>
          <w:rFonts w:cs="Calibri"/>
          <w:color w:val="1D1D1B"/>
        </w:rPr>
      </w:pPr>
    </w:p>
    <w:p w14:paraId="4B396293" w14:textId="77777777" w:rsidR="00364BFC" w:rsidRDefault="00000000">
      <w:pPr>
        <w:shd w:val="clear" w:color="auto" w:fill="FFFFFF"/>
        <w:rPr>
          <w:rFonts w:cs="Calibri"/>
          <w:color w:val="1D1D1B"/>
          <w:lang w:val="en-GB"/>
        </w:rPr>
      </w:pPr>
      <w:r>
        <w:rPr>
          <w:rFonts w:cs="Calibri"/>
          <w:b/>
          <w:bCs/>
          <w:color w:val="1D1D1B"/>
          <w:lang w:val="en-GB"/>
        </w:rPr>
        <w:t>ASSESSMENT OF NOISE POLLUTION BASED ON THE FRAMEWORK LAW</w:t>
      </w:r>
      <w:r>
        <w:rPr>
          <w:rFonts w:cs="Calibri"/>
          <w:color w:val="1D1D1B"/>
          <w:lang w:val="en-GB"/>
        </w:rPr>
        <w:t>.</w:t>
      </w:r>
    </w:p>
    <w:p w14:paraId="73879038" w14:textId="77777777" w:rsidR="00364BFC" w:rsidRDefault="00364BFC">
      <w:pPr>
        <w:shd w:val="clear" w:color="auto" w:fill="FFFFFF"/>
        <w:rPr>
          <w:rFonts w:cs="Calibri"/>
          <w:color w:val="1D1D1B"/>
          <w:lang w:val="en-GB"/>
        </w:rPr>
      </w:pPr>
    </w:p>
    <w:p w14:paraId="32B4A6FC" w14:textId="77777777" w:rsidR="00364BFC" w:rsidRDefault="00000000">
      <w:pPr>
        <w:shd w:val="clear" w:color="auto" w:fill="FFFFFF"/>
        <w:rPr>
          <w:rFonts w:cs="Calibri"/>
          <w:color w:val="1D1D1B"/>
          <w:lang w:val="en-GB"/>
        </w:rPr>
      </w:pPr>
      <w:r>
        <w:rPr>
          <w:rFonts w:cs="Calibri"/>
          <w:color w:val="1D1D1B"/>
          <w:lang w:val="en-GB"/>
        </w:rPr>
        <w:t>In Italy, the framework law 447/95 is the central legal point of reference for the assessment of environmental noise pollution. The law sets:</w:t>
      </w:r>
    </w:p>
    <w:p w14:paraId="5776E7F0" w14:textId="77777777" w:rsidR="00364BFC" w:rsidRDefault="00364BFC">
      <w:pPr>
        <w:shd w:val="clear" w:color="auto" w:fill="FFFFFF"/>
        <w:rPr>
          <w:rFonts w:cs="Calibri"/>
          <w:color w:val="1D1D1B"/>
          <w:lang w:val="en-GB"/>
        </w:rPr>
      </w:pPr>
    </w:p>
    <w:p w14:paraId="07ACCC97" w14:textId="77777777" w:rsidR="00364BFC" w:rsidRDefault="00000000">
      <w:pPr>
        <w:numPr>
          <w:ilvl w:val="0"/>
          <w:numId w:val="4"/>
        </w:numPr>
        <w:shd w:val="clear" w:color="auto" w:fill="FFFFFF"/>
      </w:pPr>
      <w:r>
        <w:rPr>
          <w:rFonts w:cs="Calibri"/>
          <w:color w:val="1D1D1B"/>
          <w:lang w:val="en-GB"/>
        </w:rPr>
        <w:t xml:space="preserve">the fundamental principles regarding the protection of individuals and the external environment from </w:t>
      </w:r>
      <w:proofErr w:type="gramStart"/>
      <w:r>
        <w:rPr>
          <w:rFonts w:cs="Calibri"/>
          <w:color w:val="1D1D1B"/>
          <w:lang w:val="en-GB"/>
        </w:rPr>
        <w:t>noise;</w:t>
      </w:r>
      <w:proofErr w:type="gramEnd"/>
    </w:p>
    <w:p w14:paraId="0B316DA3" w14:textId="77777777" w:rsidR="00364BFC" w:rsidRDefault="00000000">
      <w:pPr>
        <w:numPr>
          <w:ilvl w:val="0"/>
          <w:numId w:val="4"/>
        </w:numPr>
        <w:shd w:val="clear" w:color="auto" w:fill="FFFFFF"/>
      </w:pPr>
      <w:r>
        <w:rPr>
          <w:rFonts w:cs="Calibri"/>
          <w:color w:val="1D1D1B"/>
          <w:lang w:val="en-GB"/>
        </w:rPr>
        <w:t>the responsibilities of the State and local authorities regarding the regulation, planning and control of noise.</w:t>
      </w:r>
    </w:p>
    <w:p w14:paraId="0247C336" w14:textId="77777777" w:rsidR="00364BFC" w:rsidRDefault="00364BFC">
      <w:pPr>
        <w:shd w:val="clear" w:color="auto" w:fill="FFFFFF"/>
        <w:rPr>
          <w:rFonts w:cs="Calibri"/>
          <w:color w:val="1D1D1B"/>
          <w:lang w:val="en-GB"/>
        </w:rPr>
      </w:pPr>
    </w:p>
    <w:p w14:paraId="16189C8D" w14:textId="77777777" w:rsidR="00364BFC" w:rsidRDefault="00000000">
      <w:pPr>
        <w:shd w:val="clear" w:color="auto" w:fill="FFFFFF"/>
      </w:pPr>
      <w:r>
        <w:rPr>
          <w:rFonts w:cs="Calibri"/>
          <w:color w:val="1D1D1B"/>
          <w:lang w:val="en-GB"/>
        </w:rPr>
        <w:t>In accordance with the above-mentioned current legislation, protection of the external environment from the harmful effects of exposure to noise must be realised through the following actions:</w:t>
      </w:r>
    </w:p>
    <w:p w14:paraId="493A8DF6" w14:textId="77777777" w:rsidR="00364BFC" w:rsidRDefault="00364BFC">
      <w:pPr>
        <w:shd w:val="clear" w:color="auto" w:fill="FFFFFF"/>
        <w:rPr>
          <w:rFonts w:cs="Calibri"/>
          <w:color w:val="1D1D1B"/>
          <w:lang w:val="en-GB"/>
        </w:rPr>
      </w:pPr>
    </w:p>
    <w:p w14:paraId="666504CF" w14:textId="5B7B0190" w:rsidR="00364BFC" w:rsidRDefault="00ED0B00">
      <w:pPr>
        <w:numPr>
          <w:ilvl w:val="0"/>
          <w:numId w:val="5"/>
        </w:numPr>
        <w:shd w:val="clear" w:color="auto" w:fill="FFFFFF"/>
      </w:pPr>
      <w:r>
        <w:rPr>
          <w:rFonts w:cs="Calibri"/>
          <w:color w:val="1D1D1B"/>
          <w:lang w:val="en-GB"/>
        </w:rPr>
        <w:t xml:space="preserve">setting </w:t>
      </w:r>
      <w:r w:rsidR="00694B78">
        <w:rPr>
          <w:rFonts w:cs="Calibri"/>
          <w:color w:val="1D1D1B"/>
          <w:lang w:val="en-GB"/>
        </w:rPr>
        <w:t xml:space="preserve">specific limits of acceptability of noise in terms of absolute levels of noise output and input of events in the </w:t>
      </w:r>
      <w:proofErr w:type="gramStart"/>
      <w:r w:rsidR="00694B78">
        <w:rPr>
          <w:rFonts w:cs="Calibri"/>
          <w:color w:val="1D1D1B"/>
          <w:lang w:val="en-GB"/>
        </w:rPr>
        <w:t>area;</w:t>
      </w:r>
      <w:proofErr w:type="gramEnd"/>
    </w:p>
    <w:p w14:paraId="4C766F5C" w14:textId="77777777" w:rsidR="00364BFC" w:rsidRDefault="00000000">
      <w:pPr>
        <w:numPr>
          <w:ilvl w:val="0"/>
          <w:numId w:val="5"/>
        </w:numPr>
        <w:shd w:val="clear" w:color="auto" w:fill="FFFFFF"/>
      </w:pPr>
      <w:r>
        <w:rPr>
          <w:rFonts w:cs="Calibri"/>
          <w:color w:val="1D1D1B"/>
          <w:lang w:val="en-GB"/>
        </w:rPr>
        <w:t xml:space="preserve">preparation of acoustic mapping </w:t>
      </w:r>
      <w:proofErr w:type="gramStart"/>
      <w:r>
        <w:rPr>
          <w:rFonts w:cs="Calibri"/>
          <w:color w:val="1D1D1B"/>
          <w:lang w:val="en-GB"/>
        </w:rPr>
        <w:t>plans;</w:t>
      </w:r>
      <w:proofErr w:type="gramEnd"/>
    </w:p>
    <w:p w14:paraId="769B076B" w14:textId="77777777" w:rsidR="00364BFC" w:rsidRDefault="00000000">
      <w:pPr>
        <w:numPr>
          <w:ilvl w:val="0"/>
          <w:numId w:val="5"/>
        </w:numPr>
        <w:shd w:val="clear" w:color="auto" w:fill="FFFFFF"/>
      </w:pPr>
      <w:r>
        <w:rPr>
          <w:rFonts w:cs="Calibri"/>
          <w:color w:val="1D1D1B"/>
          <w:lang w:val="en-GB"/>
        </w:rPr>
        <w:t xml:space="preserve">preparation of acoustic abatement plans if environmental noise levels exceed said input and/or output </w:t>
      </w:r>
      <w:proofErr w:type="gramStart"/>
      <w:r>
        <w:rPr>
          <w:rFonts w:cs="Calibri"/>
          <w:color w:val="1D1D1B"/>
          <w:lang w:val="en-GB"/>
        </w:rPr>
        <w:t>limits;</w:t>
      </w:r>
      <w:proofErr w:type="gramEnd"/>
    </w:p>
    <w:p w14:paraId="34787C66" w14:textId="77777777" w:rsidR="00364BFC" w:rsidRDefault="00000000">
      <w:pPr>
        <w:numPr>
          <w:ilvl w:val="0"/>
          <w:numId w:val="5"/>
        </w:numPr>
        <w:shd w:val="clear" w:color="auto" w:fill="FFFFFF"/>
      </w:pPr>
      <w:r>
        <w:rPr>
          <w:rFonts w:cs="Calibri"/>
          <w:color w:val="1D1D1B"/>
          <w:lang w:val="en-GB"/>
        </w:rPr>
        <w:t xml:space="preserve">preparation of short, medium and long-term action plans to return environmental noise levels to given optimal values, the so-called quality </w:t>
      </w:r>
      <w:proofErr w:type="gramStart"/>
      <w:r>
        <w:rPr>
          <w:rFonts w:cs="Calibri"/>
          <w:color w:val="1D1D1B"/>
          <w:lang w:val="en-GB"/>
        </w:rPr>
        <w:t>values;</w:t>
      </w:r>
      <w:proofErr w:type="gramEnd"/>
    </w:p>
    <w:p w14:paraId="0D491785" w14:textId="77777777" w:rsidR="00364BFC" w:rsidRDefault="00364BFC">
      <w:pPr>
        <w:shd w:val="clear" w:color="auto" w:fill="FFFFFF"/>
        <w:rPr>
          <w:rFonts w:cs="Calibri"/>
          <w:color w:val="1D1D1B"/>
          <w:lang w:val="en-GB"/>
        </w:rPr>
      </w:pPr>
    </w:p>
    <w:p w14:paraId="48180136" w14:textId="36D4ADC2" w:rsidR="00364BFC" w:rsidRDefault="00000000">
      <w:pPr>
        <w:shd w:val="clear" w:color="auto" w:fill="FFFFFF"/>
        <w:rPr>
          <w:rFonts w:cs="Calibri"/>
          <w:color w:val="1D1D1B"/>
          <w:lang w:val="en-GB"/>
        </w:rPr>
      </w:pPr>
      <w:r>
        <w:rPr>
          <w:rFonts w:cs="Calibri"/>
          <w:color w:val="1D1D1B"/>
          <w:lang w:val="en-GB"/>
        </w:rPr>
        <w:t>Therefore, the law specifies six acoustic classes depending on the prevalent area of application</w:t>
      </w:r>
      <w:r w:rsidR="00ED0B00">
        <w:rPr>
          <w:rFonts w:cs="Calibri"/>
          <w:color w:val="1D1D1B"/>
          <w:lang w:val="en-GB"/>
        </w:rPr>
        <w:t>. F</w:t>
      </w:r>
      <w:r>
        <w:rPr>
          <w:rFonts w:cs="Calibri"/>
          <w:color w:val="1D1D1B"/>
          <w:lang w:val="en-GB"/>
        </w:rPr>
        <w:t>or each acoustic class, sets absolute limits in terms of input, output and quality levels, which are, in turn, determined in function of the respective time: daytime (06:00-22:00) or night time (22:00-06:00).</w:t>
      </w:r>
    </w:p>
    <w:p w14:paraId="5BF361C9" w14:textId="77777777" w:rsidR="00364BFC" w:rsidRDefault="00364BFC">
      <w:pPr>
        <w:shd w:val="clear" w:color="auto" w:fill="FFFFFF"/>
        <w:rPr>
          <w:lang w:val="en-GB"/>
        </w:rPr>
      </w:pPr>
    </w:p>
    <w:sectPr w:rsidR="00364BFC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1"/>
    <w:family w:val="modern"/>
    <w:pitch w:val="fixed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C7139"/>
    <w:multiLevelType w:val="multilevel"/>
    <w:tmpl w:val="AE78B1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6C1781"/>
    <w:multiLevelType w:val="multilevel"/>
    <w:tmpl w:val="B8B0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5E50266"/>
    <w:multiLevelType w:val="multilevel"/>
    <w:tmpl w:val="7BACE2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6456D90"/>
    <w:multiLevelType w:val="multilevel"/>
    <w:tmpl w:val="D99E1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0914282"/>
    <w:multiLevelType w:val="multilevel"/>
    <w:tmpl w:val="9160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E414790"/>
    <w:multiLevelType w:val="multilevel"/>
    <w:tmpl w:val="2E0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55462130">
    <w:abstractNumId w:val="2"/>
  </w:num>
  <w:num w:numId="2" w16cid:durableId="1256207984">
    <w:abstractNumId w:val="1"/>
  </w:num>
  <w:num w:numId="3" w16cid:durableId="1422023074">
    <w:abstractNumId w:val="5"/>
  </w:num>
  <w:num w:numId="4" w16cid:durableId="134420576">
    <w:abstractNumId w:val="3"/>
  </w:num>
  <w:num w:numId="5" w16cid:durableId="1291982563">
    <w:abstractNumId w:val="4"/>
  </w:num>
  <w:num w:numId="6" w16cid:durableId="40896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FC"/>
    <w:rsid w:val="002F4F19"/>
    <w:rsid w:val="00364BFC"/>
    <w:rsid w:val="00694B78"/>
    <w:rsid w:val="00ED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0033"/>
  <w15:docId w15:val="{836D48BE-0941-5F4C-B537-7553CB34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3C79"/>
    <w:rPr>
      <w:color w:val="00000A"/>
      <w:sz w:val="24"/>
      <w:szCs w:val="24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04625D"/>
    <w:pPr>
      <w:spacing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  <w:lang w:eastAsia="en-GB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9165A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  <w:lang w:eastAsia="it-IT"/>
    </w:rPr>
  </w:style>
  <w:style w:type="paragraph" w:styleId="Titolo3">
    <w:name w:val="heading 3"/>
    <w:basedOn w:val="Normale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sid w:val="0004625D"/>
    <w:rPr>
      <w:rFonts w:ascii="Times New Roman" w:hAnsi="Times New Roman" w:cs="Times New Roman"/>
      <w:b/>
      <w:kern w:val="2"/>
      <w:sz w:val="48"/>
      <w:lang w:eastAsia="en-GB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qFormat/>
    <w:locked/>
    <w:rsid w:val="00B9165A"/>
    <w:rPr>
      <w:rFonts w:ascii="Calibri Light" w:hAnsi="Calibri Light" w:cs="Times New Roman"/>
      <w:color w:val="2F5496"/>
      <w:sz w:val="26"/>
    </w:rPr>
  </w:style>
  <w:style w:type="character" w:styleId="Enfasicorsivo">
    <w:name w:val="Emphasis"/>
    <w:basedOn w:val="Carpredefinitoparagrafo"/>
    <w:uiPriority w:val="99"/>
    <w:qFormat/>
    <w:rsid w:val="009A2DD3"/>
    <w:rPr>
      <w:rFonts w:cs="Times New Roman"/>
      <w:i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locked/>
    <w:rsid w:val="009A2DD3"/>
    <w:rPr>
      <w:rFonts w:ascii="Times New Roman" w:eastAsia="SimSun" w:hAnsi="Times New Roman" w:cs="Times New Roman"/>
      <w:kern w:val="2"/>
      <w:lang w:val="it-IT" w:eastAsia="zh-C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D6BE7"/>
    <w:rPr>
      <w:rFonts w:ascii="Times New Roman" w:hAnsi="Times New Roman"/>
      <w:sz w:val="18"/>
      <w:szCs w:val="18"/>
      <w:lang w:eastAsia="en-US"/>
    </w:rPr>
  </w:style>
  <w:style w:type="character" w:customStyle="1" w:styleId="WW8Num2z0">
    <w:name w:val="WW8Num2z0"/>
    <w:qFormat/>
    <w:rPr>
      <w:rFonts w:ascii="Arial" w:eastAsia="Times New Roman" w:hAnsi="Arial" w:cs="Arial"/>
      <w:sz w:val="28"/>
      <w:szCs w:val="28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A2DD3"/>
    <w:pPr>
      <w:widowControl w:val="0"/>
      <w:spacing w:after="120"/>
    </w:pPr>
    <w:rPr>
      <w:rFonts w:ascii="Times New Roman" w:eastAsia="SimSun" w:hAnsi="Times New Roman" w:cs="Arial"/>
      <w:kern w:val="2"/>
      <w:sz w:val="20"/>
      <w:szCs w:val="20"/>
      <w:lang w:eastAsia="zh-CN" w:bidi="hi-IN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qFormat/>
    <w:rsid w:val="009A2DD3"/>
    <w:pPr>
      <w:spacing w:beforeAutospacing="1" w:afterAutospacing="1"/>
    </w:pPr>
    <w:rPr>
      <w:rFonts w:ascii="Times New Roman" w:eastAsia="Times New Roman" w:hAnsi="Times New Roman"/>
      <w:lang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D6BE7"/>
    <w:rPr>
      <w:rFonts w:ascii="Times New Roman" w:hAnsi="Times New Roman"/>
      <w:sz w:val="18"/>
      <w:szCs w:val="18"/>
    </w:rPr>
  </w:style>
  <w:style w:type="paragraph" w:customStyle="1" w:styleId="NormaleWeb1">
    <w:name w:val="Normale (Web)1"/>
    <w:basedOn w:val="Normale"/>
    <w:qFormat/>
    <w:pPr>
      <w:spacing w:before="280" w:after="280"/>
    </w:p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LAUREA MAGISTRALE IN TRADUZIONE SPECIALISTICA E</dc:title>
  <dc:subject/>
  <dc:creator>mh</dc:creator>
  <dc:description/>
  <cp:lastModifiedBy>HAMMERSLEY MICHAEL JOHN</cp:lastModifiedBy>
  <cp:revision>2</cp:revision>
  <cp:lastPrinted>2023-06-02T16:18:00Z</cp:lastPrinted>
  <dcterms:created xsi:type="dcterms:W3CDTF">2025-05-06T10:26:00Z</dcterms:created>
  <dcterms:modified xsi:type="dcterms:W3CDTF">2025-05-06T10:26:00Z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