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16D" w:rsidRPr="007C216D" w:rsidRDefault="007C216D" w:rsidP="007C21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Bibliography: Brain Death and Organ Donation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Wijdicks, E. F. M. (2001).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The diagnosis of brain death.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New England Journal of Medicine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344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(16), 1215-1221.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https://doi.org/10.1056/NEJM200104193441606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Hornby, K., Shemie, S. D., Teitelbaum, J., &amp; Doig, C. J. (2015).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Apnea testing for the diagnosis of brain death: Review and rationale.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Critical Care Medicine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43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(2), 433-439.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https://doi.org/10.1097/CCM.0000000000000728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Grinkeviciute, D., &amp; Matulevicius, V. (2020).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Apnea test safety in brain death confirmation: A systematic review.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Neurology Journal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35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(4), 567-573.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https://doi.org/10.1016/j.neurol.2020.02.004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American Academy of Neurology. (2010).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Guidelines for the determination of brain death in adults.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Neurology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74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(23), 1911-1918.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https://doi.org/10.1212/WNL.0b013e3181e242a8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Pallis, C., &amp; Harley, D. (1996).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ABC of brain stem death: The concept of brain stem death.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BMJ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312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(7045), 1481-1487.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https://doi.org/10.1136/bmj.312.7045.1481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Pallis, C. (1995).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Brainstem death and the role of EEG.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Journal of Neurology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242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(5), 334-341.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https://doi.org/10.1007/BF00877060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Chieregato, A. (2012).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The role of cerebral angiography (AngioTC) in the diagnosis of brain death.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Intensive Care Medicine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38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(8), 1321-1328.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https://doi.org/10.1007/s00134-012-2598-6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Rabinstein, A. A. (2018).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Diagnostic pitfalls in brain death.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Neurocritical Care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29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(2), 309-315.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https://doi.org/10.1007/s12028-018-0520-1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Calabrò, R. S., Polimeni, G., Bramanti, P., &amp; Milardi, D. (2014).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The Lazarus sign and other spinal reflexes in brain-dead patients: Pathophysiological and clinical considerations.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Brain and Behavior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4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(4), 497-506.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https://doi.org/10.1002/brb3.238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Wijdicks, E. F. M. (2017).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Brain death and organ donation: An updated perspective.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Critical Care Medicine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45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(3), 335-340.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https://doi.org/10.1097/CCM.0000000000002195</w:t>
      </w:r>
    </w:p>
    <w:p w:rsidR="007C216D" w:rsidRPr="007C216D" w:rsidRDefault="007C216D" w:rsidP="007C216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7C216D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Italian Law 578/1993 and Decreto 2008.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Norme per l'accertamento e la certificazione della morte. </w:t>
      </w:r>
      <w:r w:rsidRPr="007C216D">
        <w:rPr>
          <w:rFonts w:ascii="Times New Roman" w:eastAsia="Times New Roman" w:hAnsi="Times New Roman" w:cs="Times New Roman"/>
          <w:i/>
          <w:iCs/>
          <w:color w:val="000000"/>
          <w:kern w:val="0"/>
          <w:lang w:eastAsia="en-GB"/>
          <w14:ligatures w14:val="none"/>
        </w:rPr>
        <w:t>Gazzetta Ufficiale della Repubblica Italiana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29 December 1993.</w:t>
      </w:r>
      <w:r w:rsidRPr="007C216D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br/>
        <w:t>Retrieved from </w:t>
      </w:r>
      <w:hyperlink r:id="rId5" w:tgtFrame="_new" w:history="1">
        <w:r w:rsidRPr="007C216D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/>
            <w14:ligatures w14:val="none"/>
          </w:rPr>
          <w:t>Trova Norme - Ministero della Salute</w:t>
        </w:r>
      </w:hyperlink>
    </w:p>
    <w:p w:rsidR="007C216D" w:rsidRDefault="007C216D"/>
    <w:sectPr w:rsidR="007C2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B2B12"/>
    <w:multiLevelType w:val="multilevel"/>
    <w:tmpl w:val="FBA2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20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6D"/>
    <w:rsid w:val="007C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2B141B3"/>
  <w15:chartTrackingRefBased/>
  <w15:docId w15:val="{B1B03904-F730-174C-B024-A6C24F7B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21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216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C216D"/>
    <w:rPr>
      <w:b/>
      <w:bCs/>
    </w:rPr>
  </w:style>
  <w:style w:type="character" w:customStyle="1" w:styleId="apple-converted-space">
    <w:name w:val="apple-converted-space"/>
    <w:basedOn w:val="DefaultParagraphFont"/>
    <w:rsid w:val="007C216D"/>
  </w:style>
  <w:style w:type="character" w:styleId="Emphasis">
    <w:name w:val="Emphasis"/>
    <w:basedOn w:val="DefaultParagraphFont"/>
    <w:uiPriority w:val="20"/>
    <w:qFormat/>
    <w:rsid w:val="007C216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C2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9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ovanorme.salute.gov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ROMAN-POGNUZ ERIK</dc:creator>
  <cp:keywords/>
  <dc:description/>
  <cp:lastModifiedBy>ROMAN-POGNUZ ERIK</cp:lastModifiedBy>
  <cp:revision>1</cp:revision>
  <dcterms:created xsi:type="dcterms:W3CDTF">2025-04-06T11:55:00Z</dcterms:created>
  <dcterms:modified xsi:type="dcterms:W3CDTF">2025-04-06T11:56:00Z</dcterms:modified>
</cp:coreProperties>
</file>