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F4BA8" w14:textId="77777777" w:rsidR="00F920AD" w:rsidRPr="00F920AD" w:rsidRDefault="00F920AD" w:rsidP="00F920AD">
      <w:pPr>
        <w:rPr>
          <w:b/>
          <w:bCs/>
        </w:rPr>
      </w:pPr>
      <w:r w:rsidRPr="00F920AD">
        <w:rPr>
          <w:b/>
          <w:bCs/>
        </w:rPr>
        <w:t>Brano 1 – La fallacia descrittiva: non tutte le frasi descrivono</w:t>
      </w:r>
    </w:p>
    <w:p w14:paraId="19D637B6" w14:textId="77777777" w:rsidR="00F920AD" w:rsidRPr="00AD1D99" w:rsidRDefault="00F920AD" w:rsidP="00F920AD">
      <w:pPr>
        <w:rPr>
          <w:i/>
          <w:iCs/>
        </w:rPr>
      </w:pPr>
      <w:r w:rsidRPr="00AD1D99">
        <w:rPr>
          <w:i/>
          <w:iCs/>
        </w:rPr>
        <w:t>(Austin, Lezione I, Come fare cose con le parole)</w:t>
      </w:r>
    </w:p>
    <w:p w14:paraId="59689AA2" w14:textId="77AA4FB8" w:rsidR="00F920AD" w:rsidRDefault="00F920AD" w:rsidP="00F920AD">
      <w:r w:rsidRPr="00F920AD">
        <w:t>«Per troppo tempo i filosofi hanno assunto che il compito di una “asserzione” possa essere solo quello di “descrivere” un certo stato di cose, o di “esporre un qualche fatto”, cosa che deve fare in modo vero o falso.</w:t>
      </w:r>
      <w:r w:rsidRPr="00F920AD">
        <w:br/>
        <w:t>[…] Ora, in anni recenti, molte cose, che una volta sarebbero state accettate senza problemi come “asserzioni” sia dai filosofi che dagli studiosi di grammatica, sono state esaminate con attenzione nuova. […]</w:t>
      </w:r>
      <w:r w:rsidR="00AD1D99">
        <w:t xml:space="preserve"> </w:t>
      </w:r>
      <w:r w:rsidRPr="00F920AD">
        <w:t xml:space="preserve">Questo processo di verifica ha avuto origine in maniera piuttosto indiretta […]. </w:t>
      </w:r>
      <w:proofErr w:type="gramStart"/>
      <w:r w:rsidRPr="00F920AD">
        <w:t>Innanzi tutto</w:t>
      </w:r>
      <w:proofErr w:type="gramEnd"/>
      <w:r w:rsidRPr="00F920AD">
        <w:t xml:space="preserve"> è sorta l’idea […] che una asserzione (di fatto) dovrebbe essere “verificabile”, e ciò ha portato all’idea che molte “asserzioni” siano soltanto quel che si può definire pseudo-asserzioni».</w:t>
      </w:r>
    </w:p>
    <w:p w14:paraId="37F9727F" w14:textId="64B0C4AF" w:rsidR="00567315" w:rsidRDefault="00567315" w:rsidP="00567315">
      <w:r w:rsidRPr="00567315">
        <w:t>Prenderemo quindi, come primi nostri esempi, alcuni enunciati che</w:t>
      </w:r>
      <w:r>
        <w:t xml:space="preserve"> [possiedono] verbi comuni coniugati alla prima persona singolare del presente indicativo attivo e […] che</w:t>
      </w:r>
    </w:p>
    <w:p w14:paraId="0ED4482D" w14:textId="39C55A58" w:rsidR="00567315" w:rsidRDefault="00567315" w:rsidP="00567315">
      <w:r>
        <w:t>A. non «descrivono» o «riportano» o constatano assolutamente niente, non sono «veri o falsi»; e</w:t>
      </w:r>
    </w:p>
    <w:p w14:paraId="33825466" w14:textId="59F7F3A2" w:rsidR="00567315" w:rsidRDefault="00567315" w:rsidP="00567315">
      <w:r>
        <w:t>B. l'atto di enunciare la frase costituisce l'esecuzione, o è parte dell'esecuzione, di una azione che peraltro non verrebbe normalmente descritta come, o come «soltanto» dire qualcosa.</w:t>
      </w:r>
    </w:p>
    <w:p w14:paraId="5A967AEC" w14:textId="184A6BD0" w:rsidR="00AD1D99" w:rsidRPr="00AD1D99" w:rsidRDefault="00AD1D99" w:rsidP="00AD1D99">
      <w:r w:rsidRPr="00AD1D99">
        <w:t>Esempi:</w:t>
      </w:r>
    </w:p>
    <w:p w14:paraId="65A3548F" w14:textId="035297E2" w:rsidR="00AD1D99" w:rsidRPr="00AD1D99" w:rsidRDefault="00AD1D99" w:rsidP="00AD1D99">
      <w:r w:rsidRPr="00AD1D99">
        <w:t>(E. a) «S</w:t>
      </w:r>
      <w:r>
        <w:t>ì</w:t>
      </w:r>
      <w:r w:rsidRPr="00AD1D99">
        <w:t xml:space="preserve"> (prendo questa donna come mia legittima sposa)» </w:t>
      </w:r>
      <w:r>
        <w:rPr>
          <w:rFonts w:ascii="Times New Roman" w:hAnsi="Times New Roman" w:cs="Times New Roman"/>
        </w:rPr>
        <w:t>‒</w:t>
      </w:r>
      <w:r w:rsidRPr="00AD1D99">
        <w:t xml:space="preserve"> pronunciato</w:t>
      </w:r>
      <w:r>
        <w:t xml:space="preserve"> </w:t>
      </w:r>
      <w:r w:rsidRPr="00AD1D99">
        <w:t>nel corso di una cerimonia nuziale '.</w:t>
      </w:r>
    </w:p>
    <w:p w14:paraId="1E525490" w14:textId="39030C99" w:rsidR="00AD1D99" w:rsidRPr="00AD1D99" w:rsidRDefault="00AD1D99" w:rsidP="00AD1D99">
      <w:r w:rsidRPr="00AD1D99">
        <w:t xml:space="preserve">(E. b) «Battezzo questa nave </w:t>
      </w:r>
      <w:r w:rsidRPr="00AD1D99">
        <w:rPr>
          <w:i/>
          <w:iCs/>
        </w:rPr>
        <w:t xml:space="preserve">Queen </w:t>
      </w:r>
      <w:proofErr w:type="gramStart"/>
      <w:r w:rsidRPr="00AD1D99">
        <w:rPr>
          <w:i/>
          <w:iCs/>
        </w:rPr>
        <w:t>Elizabeth</w:t>
      </w:r>
      <w:r w:rsidRPr="00AD1D99">
        <w:t xml:space="preserve">»  </w:t>
      </w:r>
      <w:r>
        <w:rPr>
          <w:rFonts w:ascii="Times New Roman" w:hAnsi="Times New Roman" w:cs="Times New Roman"/>
        </w:rPr>
        <w:t>‒</w:t>
      </w:r>
      <w:proofErr w:type="gramEnd"/>
      <w:r w:rsidRPr="00AD1D99">
        <w:t xml:space="preserve">  pronunciato quando si rompe la bottiglia contro la prua.</w:t>
      </w:r>
    </w:p>
    <w:p w14:paraId="50C52B10" w14:textId="67F71181" w:rsidR="00AD1D99" w:rsidRPr="00AD1D99" w:rsidRDefault="00AD1D99" w:rsidP="00AD1D99">
      <w:r w:rsidRPr="00AD1D99">
        <w:t xml:space="preserve">(E. e) «Lascio il mio orologio in eredità a mio fratello» </w:t>
      </w:r>
      <w:r>
        <w:rPr>
          <w:rFonts w:ascii="Times New Roman" w:hAnsi="Times New Roman" w:cs="Times New Roman"/>
        </w:rPr>
        <w:t>‒</w:t>
      </w:r>
      <w:r w:rsidRPr="00AD1D99">
        <w:t xml:space="preserve"> quando ricorre</w:t>
      </w:r>
      <w:r>
        <w:t xml:space="preserve"> </w:t>
      </w:r>
      <w:r w:rsidRPr="00AD1D99">
        <w:t>in un testamento.</w:t>
      </w:r>
    </w:p>
    <w:p w14:paraId="3711D92F" w14:textId="77777777" w:rsidR="00AD1D99" w:rsidRPr="00AD1D99" w:rsidRDefault="00AD1D99" w:rsidP="00AD1D99">
      <w:r w:rsidRPr="00AD1D99">
        <w:t>(E. d) «Scommetto mezzo scellino che domani pioverà».</w:t>
      </w:r>
    </w:p>
    <w:p w14:paraId="65C08161" w14:textId="3177E41B" w:rsidR="00AD1D99" w:rsidRDefault="00AD1D99" w:rsidP="00F920AD">
      <w:r w:rsidRPr="00AD1D99">
        <w:t>In questi esempi risulta chiaro che enunciare la frase (ovviamente in</w:t>
      </w:r>
      <w:r>
        <w:t xml:space="preserve"> </w:t>
      </w:r>
      <w:r w:rsidRPr="00AD1D99">
        <w:t xml:space="preserve">circostanze appropriate) non è </w:t>
      </w:r>
      <w:r w:rsidRPr="00AD1D99">
        <w:rPr>
          <w:i/>
          <w:iCs/>
        </w:rPr>
        <w:t xml:space="preserve">descrivere </w:t>
      </w:r>
      <w:r w:rsidRPr="00AD1D99">
        <w:t>il mio fare ciò che si direbbe io</w:t>
      </w:r>
      <w:r>
        <w:t xml:space="preserve"> </w:t>
      </w:r>
      <w:r w:rsidRPr="00AD1D99">
        <w:t>stia facendo mentre la enuncio o asserire che lo sto facendo: è farlo.</w:t>
      </w:r>
      <w:r>
        <w:t xml:space="preserve"> </w:t>
      </w:r>
      <w:r w:rsidRPr="00AD1D99">
        <w:t>Nessuno degli enunciati citati è o vero o falso: lo asserisco come ovvio e</w:t>
      </w:r>
      <w:r>
        <w:t xml:space="preserve"> </w:t>
      </w:r>
      <w:r w:rsidRPr="00AD1D99">
        <w:t xml:space="preserve">non lo dimostro. </w:t>
      </w:r>
      <w:r>
        <w:t>[…] P</w:t>
      </w:r>
      <w:r w:rsidRPr="00AD1D99">
        <w:t>uò darsi che l'enunciato «serva</w:t>
      </w:r>
      <w:r>
        <w:t xml:space="preserve"> </w:t>
      </w:r>
      <w:r w:rsidRPr="00AD1D99">
        <w:t xml:space="preserve">ad informarti» </w:t>
      </w:r>
      <w:r>
        <w:rPr>
          <w:rFonts w:ascii="Times New Roman" w:hAnsi="Times New Roman" w:cs="Times New Roman"/>
        </w:rPr>
        <w:t>‒</w:t>
      </w:r>
      <w:r w:rsidRPr="00AD1D99">
        <w:t xml:space="preserve"> ma questa è una cosa abbastanza diversa. Battezz</w:t>
      </w:r>
      <w:r>
        <w:t>a</w:t>
      </w:r>
      <w:r w:rsidRPr="00AD1D99">
        <w:t>re la</w:t>
      </w:r>
      <w:r>
        <w:t xml:space="preserve"> </w:t>
      </w:r>
      <w:r w:rsidRPr="00AD1D99">
        <w:t xml:space="preserve">nave </w:t>
      </w:r>
      <w:r w:rsidRPr="00AD1D99">
        <w:rPr>
          <w:i/>
          <w:iCs/>
        </w:rPr>
        <w:t xml:space="preserve">è </w:t>
      </w:r>
      <w:r w:rsidRPr="00AD1D99">
        <w:t xml:space="preserve">dire (in circostanze appropriate) le parole «io battezzo </w:t>
      </w:r>
      <w:proofErr w:type="gramStart"/>
      <w:r w:rsidRPr="00AD1D99">
        <w:t>etc</w:t>
      </w:r>
      <w:r>
        <w:t>.</w:t>
      </w:r>
      <w:r w:rsidRPr="00AD1D99">
        <w:t>..</w:t>
      </w:r>
      <w:proofErr w:type="gramEnd"/>
      <w:r w:rsidRPr="00AD1D99">
        <w:t>».</w:t>
      </w:r>
      <w:r>
        <w:t xml:space="preserve"> </w:t>
      </w:r>
      <w:r w:rsidRPr="00AD1D99">
        <w:t>Quando, davanti all'ufficiale di stato civile o davanti all'altare, etc., dico</w:t>
      </w:r>
      <w:r>
        <w:t xml:space="preserve"> </w:t>
      </w:r>
      <w:r w:rsidRPr="00AD1D99">
        <w:t>«</w:t>
      </w:r>
      <w:r>
        <w:t>Sì</w:t>
      </w:r>
      <w:r w:rsidRPr="00AD1D99">
        <w:t>», non sto riferendo di un matrimonio: mi ci sto coinvolgendo.</w:t>
      </w:r>
      <w:r>
        <w:t xml:space="preserve"> </w:t>
      </w:r>
    </w:p>
    <w:p w14:paraId="4C301639" w14:textId="506B03B2" w:rsidR="00AD1D99" w:rsidRDefault="00AD1D99" w:rsidP="00AD1D99">
      <w:r>
        <w:t xml:space="preserve">Come dobbiamo chiamare una frase o un enunciato di questo tipo? </w:t>
      </w:r>
    </w:p>
    <w:p w14:paraId="3EE6243F" w14:textId="7A16DBDB" w:rsidR="00F920AD" w:rsidRDefault="00AD1D99" w:rsidP="00F920AD">
      <w:pPr>
        <w:rPr>
          <w:rFonts w:ascii="Arial" w:hAnsi="Arial" w:cs="Arial"/>
        </w:rPr>
      </w:pPr>
      <w:r w:rsidRPr="00F920AD">
        <w:t xml:space="preserve"> </w:t>
      </w:r>
      <w:r w:rsidR="00F920AD" w:rsidRPr="00F920AD">
        <w:t xml:space="preserve">[...] Proporrò di chiamarlo una frase performativa o un enunciato performativo, o, in breve, “un performativo”. [...] Agli enunciati performativi sono contrapposti; </w:t>
      </w:r>
      <w:proofErr w:type="gramStart"/>
      <w:r w:rsidR="00F920AD" w:rsidRPr="00F920AD">
        <w:t>per esempio</w:t>
      </w:r>
      <w:proofErr w:type="gramEnd"/>
      <w:r w:rsidR="00F920AD" w:rsidRPr="00F920AD">
        <w:t xml:space="preserve"> ed essenzialmente, gli enunciati “constativi”: formulare un enunciato constativo (cioè enunciarlo con un riferimento storico) è fare un'asserzione. Formulare un enunciato performativo, è ad esempio, fare una promessa»</w:t>
      </w:r>
      <w:r w:rsidR="00F920AD" w:rsidRPr="00F920AD">
        <w:rPr>
          <w:rFonts w:ascii="Arial" w:hAnsi="Arial" w:cs="Arial"/>
        </w:rPr>
        <w:t>​</w:t>
      </w:r>
    </w:p>
    <w:p w14:paraId="7DA2EB5B" w14:textId="77777777" w:rsidR="00AD1D99" w:rsidRDefault="00AD1D99" w:rsidP="00F920AD">
      <w:pPr>
        <w:rPr>
          <w:rFonts w:ascii="Arial" w:hAnsi="Arial" w:cs="Arial"/>
        </w:rPr>
      </w:pPr>
    </w:p>
    <w:p w14:paraId="2BE148E4" w14:textId="77777777" w:rsidR="0023659F" w:rsidRDefault="0023659F" w:rsidP="00F920AD">
      <w:pPr>
        <w:rPr>
          <w:rFonts w:ascii="Arial" w:hAnsi="Arial" w:cs="Arial"/>
        </w:rPr>
      </w:pPr>
    </w:p>
    <w:p w14:paraId="6EF1666F" w14:textId="77777777" w:rsidR="0023659F" w:rsidRDefault="0023659F" w:rsidP="00F920AD">
      <w:pPr>
        <w:rPr>
          <w:rFonts w:ascii="Arial" w:hAnsi="Arial" w:cs="Arial"/>
        </w:rPr>
      </w:pPr>
    </w:p>
    <w:p w14:paraId="49017A34" w14:textId="77777777" w:rsidR="0023659F" w:rsidRDefault="0023659F" w:rsidP="00F920AD">
      <w:pPr>
        <w:rPr>
          <w:rFonts w:ascii="Arial" w:hAnsi="Arial" w:cs="Arial"/>
        </w:rPr>
      </w:pPr>
    </w:p>
    <w:p w14:paraId="715AD42E" w14:textId="77777777" w:rsidR="0023659F" w:rsidRDefault="0023659F" w:rsidP="00F920AD">
      <w:pPr>
        <w:rPr>
          <w:rFonts w:ascii="Arial" w:hAnsi="Arial" w:cs="Arial"/>
        </w:rPr>
      </w:pPr>
    </w:p>
    <w:p w14:paraId="46A095EB" w14:textId="60172B6A" w:rsidR="00926D8F" w:rsidRPr="00926D8F" w:rsidRDefault="00926D8F" w:rsidP="00926D8F">
      <w:pPr>
        <w:rPr>
          <w:b/>
          <w:bCs/>
        </w:rPr>
      </w:pPr>
      <w:r w:rsidRPr="00926D8F">
        <w:rPr>
          <w:b/>
          <w:bCs/>
        </w:rPr>
        <w:lastRenderedPageBreak/>
        <w:t xml:space="preserve">Brano 2 – Le condizioni di felicità </w:t>
      </w:r>
      <w:r w:rsidR="005E5FCA">
        <w:rPr>
          <w:b/>
          <w:bCs/>
        </w:rPr>
        <w:t>dei performativi</w:t>
      </w:r>
    </w:p>
    <w:p w14:paraId="79E54CD7" w14:textId="6CC1D0A2" w:rsidR="00567315" w:rsidRPr="00AD1D99" w:rsidRDefault="00567315" w:rsidP="00567315">
      <w:pPr>
        <w:rPr>
          <w:i/>
          <w:iCs/>
        </w:rPr>
      </w:pPr>
      <w:r w:rsidRPr="00AD1D99">
        <w:rPr>
          <w:i/>
          <w:iCs/>
        </w:rPr>
        <w:t xml:space="preserve">(Austin, Lezione </w:t>
      </w:r>
      <w:r>
        <w:rPr>
          <w:i/>
          <w:iCs/>
        </w:rPr>
        <w:t>I</w:t>
      </w:r>
      <w:r w:rsidRPr="00AD1D99">
        <w:rPr>
          <w:i/>
          <w:iCs/>
        </w:rPr>
        <w:t>I, Come fare cose con le parole)</w:t>
      </w:r>
    </w:p>
    <w:p w14:paraId="1613EC74" w14:textId="78992F29" w:rsidR="00567315" w:rsidRDefault="00926D8F" w:rsidP="00926D8F">
      <w:r w:rsidRPr="00926D8F">
        <w:t>«</w:t>
      </w:r>
      <w:r w:rsidR="00567315">
        <w:t xml:space="preserve">Oltre all'enunciazione delle parole del cosiddetto performativo, molte altre cose devono, come norma generale, essere corrette e funzionare bene se si deve dire che abbiamo felicemente portato a compimento la nostra azione. Cosa siano queste cose possiamo sperare di scoprirlo esaminando e classificando i tipi di casi in cui qualcosa funziona male e l'atto </w:t>
      </w:r>
      <w:r w:rsidR="00567315">
        <w:rPr>
          <w:rFonts w:ascii="Times New Roman" w:hAnsi="Times New Roman" w:cs="Times New Roman"/>
        </w:rPr>
        <w:t>‒</w:t>
      </w:r>
      <w:r w:rsidR="00567315">
        <w:t xml:space="preserve"> sposarsi, scommettere, lasciare in eredità, battezzare, e altri ancora </w:t>
      </w:r>
      <w:r w:rsidR="00567315">
        <w:rPr>
          <w:rFonts w:ascii="Times New Roman" w:hAnsi="Times New Roman" w:cs="Times New Roman"/>
        </w:rPr>
        <w:t>‒</w:t>
      </w:r>
      <w:r w:rsidR="00567315">
        <w:t xml:space="preserve"> è perciò almeno in una certa misura un insuccesso: l'enunciato è allora, possiamo, dire, non proprio falso ma in generale infelice. E per questa ragione chiamiamo la teoria delle cose che possono essere scorrette e funzionare male in occasione di tali enunciati, la teoria delle Infelicità. </w:t>
      </w:r>
    </w:p>
    <w:p w14:paraId="4D09FD90" w14:textId="50ED1FA7" w:rsidR="00926D8F" w:rsidRPr="00926D8F" w:rsidRDefault="00926D8F" w:rsidP="00926D8F">
      <w:r w:rsidRPr="00926D8F">
        <w:t xml:space="preserve">Supponiamo di provare innanzitutto ad enunciare schematicamente </w:t>
      </w:r>
      <w:r w:rsidR="00567315" w:rsidRPr="00926D8F">
        <w:t>[...]</w:t>
      </w:r>
      <w:r w:rsidR="00567315">
        <w:t xml:space="preserve"> </w:t>
      </w:r>
      <w:r w:rsidRPr="00926D8F">
        <w:t>almeno alcune delle cose che sono necessarie per lo scorrevole o “felice” funzionamento di un performativo [...].</w:t>
      </w:r>
    </w:p>
    <w:p w14:paraId="135154E8" w14:textId="7664B6AA" w:rsidR="00926D8F" w:rsidRPr="00926D8F" w:rsidRDefault="00926D8F" w:rsidP="00926D8F">
      <w:r w:rsidRPr="00926D8F">
        <w:t>(A.1) Deve esistere una procedura convenzionale accettata, avente un certo effetto convenzionale, procedura che deve includere l’atto di pronunciare certe parole da parte di certe persone in certe circostanze, e inoltre</w:t>
      </w:r>
      <w:r w:rsidRPr="00926D8F">
        <w:br/>
        <w:t>(A.2) le particolari persone e circostanze in un dato caso devono essere appropriate per il richiamarsi alla particolare procedura cui ci si richiama.</w:t>
      </w:r>
      <w:r w:rsidRPr="00926D8F">
        <w:br/>
        <w:t>(B.1) La procedura deve essere eseguita da tutti i partecipanti sia correttamente che</w:t>
      </w:r>
      <w:r w:rsidRPr="00926D8F">
        <w:br/>
        <w:t>(B.2) completamente.</w:t>
      </w:r>
      <w:r w:rsidRPr="00926D8F">
        <w:br/>
        <w:t>(</w:t>
      </w:r>
      <w:r w:rsidR="00567315">
        <w:t>Γ</w:t>
      </w:r>
      <w:r w:rsidRPr="00926D8F">
        <w:t>.1) Laddove, come spesso avviene, la procedura sia destinata all’impiego da parte di persone aventi certi pensieri o sentimenti, o all’inaugurazione di un certo comportamento consequenziale da parte di qualcuno dei partecipanti, allora una persona che partecipa e quindi si richiama alla procedura deve di fatto avere quei pensieri o sentimenti, e i partecipanti devono avere intenzioni di comportarsi in tal modo</w:t>
      </w:r>
      <w:r w:rsidRPr="00926D8F">
        <w:br/>
        <w:t>(</w:t>
      </w:r>
      <w:r w:rsidR="00567315">
        <w:t>Γ</w:t>
      </w:r>
      <w:r w:rsidRPr="00926D8F">
        <w:t>.2) devono in seguito comportarsi effettivamente in tal modo.</w:t>
      </w:r>
    </w:p>
    <w:p w14:paraId="5F1F21E3" w14:textId="5BF2268D" w:rsidR="00567315" w:rsidRDefault="00926D8F" w:rsidP="00567315">
      <w:r w:rsidRPr="00926D8F">
        <w:t>Ora se noi trasgrediamo una qualunque (o più) di queste sei regole, il nostro enunciato performativo sarà (in un modo o nell’altro) infelice.</w:t>
      </w:r>
      <w:r w:rsidR="00567315">
        <w:t xml:space="preserve"> Ma, naturalmente, vi sono notevoli differenze tra questi «modi» di essere infelice </w:t>
      </w:r>
      <w:r w:rsidR="00567315">
        <w:rPr>
          <w:rFonts w:ascii="Times New Roman" w:hAnsi="Times New Roman" w:cs="Times New Roman"/>
        </w:rPr>
        <w:t>‒</w:t>
      </w:r>
      <w:r w:rsidR="00567315">
        <w:t xml:space="preserve"> modi che si intende siano messi in evidenza dalle lettere e cifre scelte per ogni intestazione.»</w:t>
      </w:r>
    </w:p>
    <w:p w14:paraId="3DBDE485" w14:textId="77777777" w:rsidR="00567315" w:rsidRDefault="00567315" w:rsidP="00926D8F"/>
    <w:p w14:paraId="16B4EA2D" w14:textId="77777777" w:rsidR="0023659F" w:rsidRDefault="0023659F" w:rsidP="00926D8F"/>
    <w:p w14:paraId="52BB6A30" w14:textId="77777777" w:rsidR="0023659F" w:rsidRDefault="0023659F" w:rsidP="00926D8F"/>
    <w:p w14:paraId="5646AD7C" w14:textId="77777777" w:rsidR="0023659F" w:rsidRDefault="0023659F" w:rsidP="00926D8F"/>
    <w:p w14:paraId="21943991" w14:textId="77777777" w:rsidR="0023659F" w:rsidRDefault="0023659F" w:rsidP="00926D8F"/>
    <w:p w14:paraId="660AD914" w14:textId="77777777" w:rsidR="0023659F" w:rsidRDefault="0023659F" w:rsidP="00926D8F"/>
    <w:p w14:paraId="54E12F87" w14:textId="77777777" w:rsidR="0023659F" w:rsidRDefault="0023659F" w:rsidP="00926D8F"/>
    <w:p w14:paraId="5563D27F" w14:textId="77777777" w:rsidR="0023659F" w:rsidRDefault="0023659F" w:rsidP="00926D8F"/>
    <w:p w14:paraId="1D3D9FFE" w14:textId="77777777" w:rsidR="0023659F" w:rsidRDefault="0023659F" w:rsidP="00926D8F"/>
    <w:p w14:paraId="1EAC933F" w14:textId="77777777" w:rsidR="0023659F" w:rsidRDefault="0023659F" w:rsidP="00926D8F"/>
    <w:p w14:paraId="684A6C05" w14:textId="77777777" w:rsidR="0023659F" w:rsidRDefault="0023659F" w:rsidP="00926D8F"/>
    <w:p w14:paraId="7932B94B" w14:textId="7F468C59" w:rsidR="00F920AD" w:rsidRPr="00F920AD" w:rsidRDefault="00305B99" w:rsidP="00F920AD">
      <w:pPr>
        <w:rPr>
          <w:b/>
          <w:bCs/>
        </w:rPr>
      </w:pPr>
      <w:r w:rsidRPr="00926D8F">
        <w:rPr>
          <w:b/>
          <w:bCs/>
        </w:rPr>
        <w:lastRenderedPageBreak/>
        <w:t xml:space="preserve">Brano </w:t>
      </w:r>
      <w:r>
        <w:rPr>
          <w:b/>
          <w:bCs/>
        </w:rPr>
        <w:t>3</w:t>
      </w:r>
      <w:r w:rsidRPr="00926D8F">
        <w:rPr>
          <w:b/>
          <w:bCs/>
        </w:rPr>
        <w:t xml:space="preserve"> </w:t>
      </w:r>
      <w:proofErr w:type="gramStart"/>
      <w:r w:rsidRPr="00926D8F">
        <w:rPr>
          <w:b/>
          <w:bCs/>
        </w:rPr>
        <w:t xml:space="preserve">– </w:t>
      </w:r>
      <w:r w:rsidR="00F920AD" w:rsidRPr="00F920AD">
        <w:rPr>
          <w:b/>
          <w:bCs/>
        </w:rPr>
        <w:t xml:space="preserve"> </w:t>
      </w:r>
      <w:r>
        <w:rPr>
          <w:b/>
          <w:bCs/>
        </w:rPr>
        <w:t>A</w:t>
      </w:r>
      <w:r w:rsidR="00F920AD" w:rsidRPr="00F920AD">
        <w:rPr>
          <w:b/>
          <w:bCs/>
        </w:rPr>
        <w:t>tti</w:t>
      </w:r>
      <w:proofErr w:type="gramEnd"/>
      <w:r w:rsidR="00F920AD" w:rsidRPr="00F920AD">
        <w:rPr>
          <w:b/>
          <w:bCs/>
        </w:rPr>
        <w:t xml:space="preserve"> locutori, illocutori e perlocutori</w:t>
      </w:r>
    </w:p>
    <w:p w14:paraId="3A2CE218" w14:textId="448AE17F" w:rsidR="00305B99" w:rsidRPr="0023659F" w:rsidRDefault="00305B99" w:rsidP="00F920AD">
      <w:pPr>
        <w:rPr>
          <w:i/>
          <w:iCs/>
        </w:rPr>
      </w:pPr>
      <w:r w:rsidRPr="00AD1D99">
        <w:rPr>
          <w:i/>
          <w:iCs/>
        </w:rPr>
        <w:t xml:space="preserve">(Austin, Lezione </w:t>
      </w:r>
      <w:r>
        <w:rPr>
          <w:i/>
          <w:iCs/>
        </w:rPr>
        <w:t>VII</w:t>
      </w:r>
      <w:r w:rsidRPr="00AD1D99">
        <w:rPr>
          <w:i/>
          <w:iCs/>
        </w:rPr>
        <w:t>I, Come fare cose con le parole)</w:t>
      </w:r>
    </w:p>
    <w:p w14:paraId="413FB2E4" w14:textId="652836CB" w:rsidR="00305B99" w:rsidRDefault="00305B99" w:rsidP="00305B99">
      <w:r>
        <w:t xml:space="preserve">«[…] </w:t>
      </w:r>
      <w:proofErr w:type="gramStart"/>
      <w:r w:rsidRPr="00305B99">
        <w:t>è</w:t>
      </w:r>
      <w:r>
        <w:t xml:space="preserve"> </w:t>
      </w:r>
      <w:r w:rsidRPr="00305B99">
        <w:t xml:space="preserve"> sembrato</w:t>
      </w:r>
      <w:proofErr w:type="gramEnd"/>
      <w:r w:rsidRPr="00305B99">
        <w:t xml:space="preserve"> opportuno</w:t>
      </w:r>
      <w:r>
        <w:t xml:space="preserve"> </w:t>
      </w:r>
      <w:r w:rsidRPr="00305B99">
        <w:t>ritornare un momento ai principi · fondamentali - considerare, partendo</w:t>
      </w:r>
      <w:r>
        <w:t xml:space="preserve"> </w:t>
      </w:r>
      <w:r w:rsidRPr="00305B99">
        <w:t xml:space="preserve">dalla base, quanti sensi vi sono in cui dire qualcosa </w:t>
      </w:r>
      <w:r w:rsidRPr="00305B99">
        <w:rPr>
          <w:i/>
          <w:iCs/>
        </w:rPr>
        <w:t xml:space="preserve">è </w:t>
      </w:r>
      <w:r w:rsidRPr="00305B99">
        <w:t xml:space="preserve">fare qualcosa, o </w:t>
      </w:r>
      <w:r w:rsidRPr="00305B99">
        <w:rPr>
          <w:i/>
          <w:iCs/>
        </w:rPr>
        <w:t>nel</w:t>
      </w:r>
      <w:r>
        <w:rPr>
          <w:i/>
          <w:iCs/>
        </w:rPr>
        <w:t xml:space="preserve"> </w:t>
      </w:r>
      <w:r w:rsidRPr="00305B99">
        <w:t xml:space="preserve">dire qualcosa si fa qualcosa, e anche </w:t>
      </w:r>
      <w:r w:rsidRPr="00305B99">
        <w:rPr>
          <w:i/>
          <w:iCs/>
        </w:rPr>
        <w:t xml:space="preserve">col </w:t>
      </w:r>
      <w:r w:rsidRPr="00305B99">
        <w:t>dire qualcosa si fa qualcosa</w:t>
      </w:r>
      <w:r>
        <w:t>.</w:t>
      </w:r>
    </w:p>
    <w:p w14:paraId="101BD424" w14:textId="23161CD2" w:rsidR="00305B99" w:rsidRDefault="00305B99" w:rsidP="00305B99">
      <w:r w:rsidRPr="00305B99">
        <w:t xml:space="preserve">Chiamo, cioè soprannomino, l'atto </w:t>
      </w:r>
      <w:proofErr w:type="gramStart"/>
      <w:r w:rsidRPr="00305B99">
        <w:t>di« dire</w:t>
      </w:r>
      <w:proofErr w:type="gramEnd"/>
      <w:r w:rsidRPr="00305B99">
        <w:t xml:space="preserve"> qualcosa» in questo pieno</w:t>
      </w:r>
      <w:r>
        <w:t xml:space="preserve"> </w:t>
      </w:r>
      <w:r w:rsidRPr="00305B99">
        <w:t>senso normale l'esecuzione di un atto locutorio, e lo studio degli enunciati</w:t>
      </w:r>
      <w:r>
        <w:t xml:space="preserve"> </w:t>
      </w:r>
      <w:r w:rsidRPr="00305B99">
        <w:t>entro questo limite e sotto questi punti di vista lo studio delle locuzioni,</w:t>
      </w:r>
      <w:r>
        <w:t xml:space="preserve"> </w:t>
      </w:r>
      <w:r w:rsidRPr="00305B99">
        <w:t>o delle piene unità del parlare</w:t>
      </w:r>
    </w:p>
    <w:p w14:paraId="2E702A29" w14:textId="09B87BDC" w:rsidR="00305B99" w:rsidRPr="00305B99" w:rsidRDefault="00305B99" w:rsidP="00305B99">
      <w:pPr>
        <w:rPr>
          <w:i/>
          <w:iCs/>
        </w:rPr>
      </w:pPr>
      <w:r w:rsidRPr="00305B99">
        <w:t xml:space="preserve">Eseguire un atto locutorio è in generale, possiamo dire, anche </w:t>
      </w:r>
      <w:proofErr w:type="gramStart"/>
      <w:r w:rsidRPr="00305B99">
        <w:t>e</w:t>
      </w:r>
      <w:proofErr w:type="gramEnd"/>
      <w:r w:rsidRPr="00305B99">
        <w:t xml:space="preserve"> </w:t>
      </w:r>
      <w:proofErr w:type="spellStart"/>
      <w:r w:rsidRPr="00305B99">
        <w:rPr>
          <w:i/>
          <w:iCs/>
        </w:rPr>
        <w:t>eo</w:t>
      </w:r>
      <w:proofErr w:type="spellEnd"/>
      <w:r w:rsidRPr="00305B99">
        <w:rPr>
          <w:i/>
          <w:iCs/>
        </w:rPr>
        <w:t xml:space="preserve"> ipso</w:t>
      </w:r>
      <w:r>
        <w:rPr>
          <w:i/>
          <w:iCs/>
        </w:rPr>
        <w:t xml:space="preserve"> </w:t>
      </w:r>
      <w:r w:rsidRPr="00305B99">
        <w:t xml:space="preserve">eseguire un atto </w:t>
      </w:r>
      <w:r w:rsidRPr="00305B99">
        <w:rPr>
          <w:i/>
          <w:iCs/>
        </w:rPr>
        <w:t xml:space="preserve">illocutorio, </w:t>
      </w:r>
      <w:r w:rsidRPr="00305B99">
        <w:t>come propongo di chiamarlo. Quindi nell'eseguire un atto locutorio eseguiremo anche un. atto come:</w:t>
      </w:r>
    </w:p>
    <w:p w14:paraId="200E2563" w14:textId="77777777" w:rsidR="00305B99" w:rsidRPr="00305B99" w:rsidRDefault="00305B99" w:rsidP="00305B99">
      <w:r w:rsidRPr="00305B99">
        <w:t>fare una domanda o rispondere ad essa,</w:t>
      </w:r>
    </w:p>
    <w:p w14:paraId="59BD0D2C" w14:textId="77777777" w:rsidR="00305B99" w:rsidRPr="00305B99" w:rsidRDefault="00305B99" w:rsidP="00305B99">
      <w:r w:rsidRPr="00305B99">
        <w:t>fornire un'informazione o un'assicurazione o un avvertimento,</w:t>
      </w:r>
    </w:p>
    <w:p w14:paraId="44AF3264" w14:textId="0E818DE7" w:rsidR="00305B99" w:rsidRPr="00305B99" w:rsidRDefault="00305B99" w:rsidP="00305B99">
      <w:r w:rsidRPr="00305B99">
        <w:t>annunc</w:t>
      </w:r>
      <w:r w:rsidR="0023659F">
        <w:t>ia</w:t>
      </w:r>
      <w:r w:rsidRPr="00305B99">
        <w:t>re un verdetto o un'intenzione,</w:t>
      </w:r>
    </w:p>
    <w:p w14:paraId="102D0544" w14:textId="77777777" w:rsidR="00305B99" w:rsidRPr="00305B99" w:rsidRDefault="00305B99" w:rsidP="00305B99">
      <w:r w:rsidRPr="00305B99">
        <w:t>pronunciare una condanna,</w:t>
      </w:r>
    </w:p>
    <w:p w14:paraId="2A2FBA80" w14:textId="77777777" w:rsidR="00305B99" w:rsidRPr="00305B99" w:rsidRDefault="00305B99" w:rsidP="00305B99">
      <w:r w:rsidRPr="00305B99">
        <w:t>assegnare una nomina o fare un appello o una critica,</w:t>
      </w:r>
    </w:p>
    <w:p w14:paraId="04128E34" w14:textId="77777777" w:rsidR="00305B99" w:rsidRPr="00305B99" w:rsidRDefault="00305B99" w:rsidP="00305B99">
      <w:r w:rsidRPr="00305B99">
        <w:t>compiere un'identificazione o dare una descrizione,</w:t>
      </w:r>
    </w:p>
    <w:p w14:paraId="2510DD81" w14:textId="05746784" w:rsidR="00305B99" w:rsidRDefault="00305B99" w:rsidP="00305B99">
      <w:r w:rsidRPr="00305B99">
        <w:t xml:space="preserve">e molti altri. </w:t>
      </w:r>
    </w:p>
    <w:p w14:paraId="572937D3" w14:textId="1EBCE180" w:rsidR="00305B99" w:rsidRDefault="00305B99" w:rsidP="00305B99">
      <w:r w:rsidRPr="00305B99">
        <w:t>Ho spiegato l'esecuzione di un atto in questo nuovo, secondo senso</w:t>
      </w:r>
      <w:r>
        <w:t xml:space="preserve"> </w:t>
      </w:r>
      <w:r w:rsidRPr="00305B99">
        <w:t xml:space="preserve">come l'esecuzione di un atto </w:t>
      </w:r>
      <w:proofErr w:type="gramStart"/>
      <w:r w:rsidRPr="00305B99">
        <w:t>« illocutorio</w:t>
      </w:r>
      <w:proofErr w:type="gramEnd"/>
      <w:r w:rsidRPr="00305B99">
        <w:t xml:space="preserve"> », cioè l'esecuzione di un atto</w:t>
      </w:r>
      <w:r>
        <w:t xml:space="preserve"> </w:t>
      </w:r>
      <w:r w:rsidRPr="00305B99">
        <w:rPr>
          <w:i/>
          <w:iCs/>
        </w:rPr>
        <w:t xml:space="preserve">nel </w:t>
      </w:r>
      <w:r w:rsidRPr="00305B99">
        <w:t xml:space="preserve">dire qualcosa in contrapposizione all'esecuzione di un atto </w:t>
      </w:r>
      <w:r w:rsidRPr="00305B99">
        <w:rPr>
          <w:i/>
          <w:iCs/>
        </w:rPr>
        <w:t xml:space="preserve">di </w:t>
      </w:r>
      <w:r w:rsidRPr="00305B99">
        <w:t>dire</w:t>
      </w:r>
      <w:r>
        <w:t xml:space="preserve"> </w:t>
      </w:r>
      <w:r w:rsidRPr="00305B99">
        <w:t>qualcosa; chiamo l'atto eseguito una « illocuzione » e farò riferimento alla</w:t>
      </w:r>
      <w:r>
        <w:t xml:space="preserve"> </w:t>
      </w:r>
      <w:r w:rsidRPr="00305B99">
        <w:t>teoria. dei diversi tipi di funzione del linguaggio qui in discussione come</w:t>
      </w:r>
      <w:r>
        <w:t xml:space="preserve"> </w:t>
      </w:r>
      <w:r w:rsidRPr="00305B99">
        <w:t>alla teoria delle «forze illocutorie».</w:t>
      </w:r>
    </w:p>
    <w:p w14:paraId="25ECD61B" w14:textId="02A203F7" w:rsidR="00305B99" w:rsidRDefault="00305B99" w:rsidP="00F920AD">
      <w:r>
        <w:t xml:space="preserve">[…] </w:t>
      </w:r>
      <w:r w:rsidRPr="00305B99">
        <w:t>Dire qualcosa produrrà spesso, o anche normalmente, certi effetti</w:t>
      </w:r>
      <w:r>
        <w:t xml:space="preserve"> </w:t>
      </w:r>
      <w:r w:rsidRPr="00305B99">
        <w:t>consecutivi sui sentimenti, i pensieri, o le azioni di chi sente, o di chi</w:t>
      </w:r>
      <w:r>
        <w:t xml:space="preserve"> </w:t>
      </w:r>
      <w:r w:rsidRPr="00305B99">
        <w:t xml:space="preserve">parla, o di altre persone: e può essere fatto </w:t>
      </w:r>
      <w:r>
        <w:rPr>
          <w:i/>
          <w:iCs/>
        </w:rPr>
        <w:t>c</w:t>
      </w:r>
      <w:r w:rsidRPr="00305B99">
        <w:rPr>
          <w:i/>
          <w:iCs/>
        </w:rPr>
        <w:t xml:space="preserve">on </w:t>
      </w:r>
      <w:r w:rsidRPr="00305B99">
        <w:t>lo scopo, l'intenzione o il</w:t>
      </w:r>
      <w:r>
        <w:t xml:space="preserve"> </w:t>
      </w:r>
      <w:r w:rsidRPr="00305B99">
        <w:t xml:space="preserve">proposito di produrre questi effetti; </w:t>
      </w:r>
      <w:r>
        <w:t>[…]</w:t>
      </w:r>
      <w:r w:rsidRPr="00305B99">
        <w:t>. Chiameremo l'esecuzione di un</w:t>
      </w:r>
      <w:r>
        <w:t xml:space="preserve"> </w:t>
      </w:r>
      <w:r w:rsidRPr="00305B99">
        <w:t>atto</w:t>
      </w:r>
      <w:r>
        <w:t xml:space="preserve"> </w:t>
      </w:r>
      <w:r w:rsidRPr="00305B99">
        <w:t>di questo genere l</w:t>
      </w:r>
      <w:r>
        <w:t>’</w:t>
      </w:r>
      <w:r w:rsidRPr="00305B99">
        <w:t xml:space="preserve">esecuzione di un atto </w:t>
      </w:r>
      <w:proofErr w:type="gramStart"/>
      <w:r w:rsidRPr="00305B99">
        <w:t>« perlocutorio</w:t>
      </w:r>
      <w:proofErr w:type="gramEnd"/>
      <w:r w:rsidRPr="00305B99">
        <w:t>», e l'atto</w:t>
      </w:r>
      <w:r>
        <w:t xml:space="preserve"> </w:t>
      </w:r>
      <w:r w:rsidRPr="00305B99">
        <w:t>eseguito, nei casi adatti una « perlocuzione ».</w:t>
      </w:r>
      <w:r>
        <w:t xml:space="preserve"> </w:t>
      </w:r>
    </w:p>
    <w:p w14:paraId="2036A691" w14:textId="77777777" w:rsidR="00305B99" w:rsidRPr="00305B99" w:rsidRDefault="00305B99" w:rsidP="00305B99">
      <w:r w:rsidRPr="00305B99">
        <w:t>(E. 1)</w:t>
      </w:r>
    </w:p>
    <w:p w14:paraId="6BA0D7F3" w14:textId="77777777" w:rsidR="00305B99" w:rsidRPr="00305B99" w:rsidRDefault="00305B99" w:rsidP="00305B99">
      <w:r w:rsidRPr="00305B99">
        <w:t>Atto (A) o Locuzione</w:t>
      </w:r>
    </w:p>
    <w:p w14:paraId="76158801" w14:textId="14C03C50" w:rsidR="00305B99" w:rsidRPr="00305B99" w:rsidRDefault="00305B99" w:rsidP="00305B99">
      <w:r w:rsidRPr="00305B99">
        <w:t>Egli mi ha detto «Sparale!» intendendo con «spara» spara e</w:t>
      </w:r>
      <w:r>
        <w:t xml:space="preserve"> </w:t>
      </w:r>
      <w:r w:rsidRPr="00305B99">
        <w:t xml:space="preserve">riferendosi con «le» </w:t>
      </w:r>
      <w:proofErr w:type="gramStart"/>
      <w:r w:rsidRPr="00305B99">
        <w:t>a</w:t>
      </w:r>
      <w:proofErr w:type="gramEnd"/>
      <w:r w:rsidRPr="00305B99">
        <w:t xml:space="preserve"> </w:t>
      </w:r>
      <w:r w:rsidRPr="00305B99">
        <w:rPr>
          <w:i/>
          <w:iCs/>
        </w:rPr>
        <w:t>lei.</w:t>
      </w:r>
    </w:p>
    <w:p w14:paraId="330F7B76" w14:textId="77777777" w:rsidR="00305B99" w:rsidRPr="00305B99" w:rsidRDefault="00305B99" w:rsidP="00305B99">
      <w:r w:rsidRPr="00305B99">
        <w:t>Atto (B) o Illocuzione.</w:t>
      </w:r>
    </w:p>
    <w:p w14:paraId="74002353" w14:textId="2DD6914B" w:rsidR="00305B99" w:rsidRPr="00305B99" w:rsidRDefault="00305B99" w:rsidP="00305B99">
      <w:r w:rsidRPr="00305B99">
        <w:t>Egli mi ha incitato a spararle (o consigliato, ordinato, etc. di spararle).</w:t>
      </w:r>
    </w:p>
    <w:p w14:paraId="44580F9A" w14:textId="77777777" w:rsidR="00305B99" w:rsidRPr="00305B99" w:rsidRDefault="00305B99" w:rsidP="00305B99">
      <w:r w:rsidRPr="00305B99">
        <w:t xml:space="preserve">Atto (C. </w:t>
      </w:r>
      <w:r w:rsidRPr="00305B99">
        <w:rPr>
          <w:i/>
          <w:iCs/>
        </w:rPr>
        <w:t xml:space="preserve">a) </w:t>
      </w:r>
      <w:r w:rsidRPr="00305B99">
        <w:t>o Perlocuzione</w:t>
      </w:r>
    </w:p>
    <w:p w14:paraId="015B68E1" w14:textId="77777777" w:rsidR="00305B99" w:rsidRPr="00305B99" w:rsidRDefault="00305B99" w:rsidP="00305B99">
      <w:r w:rsidRPr="00305B99">
        <w:t>Egli mi ha persuaso a spararle.</w:t>
      </w:r>
    </w:p>
    <w:p w14:paraId="2AD342BA" w14:textId="77777777" w:rsidR="00305B99" w:rsidRPr="00305B99" w:rsidRDefault="00305B99" w:rsidP="00305B99">
      <w:pPr>
        <w:rPr>
          <w:i/>
          <w:iCs/>
        </w:rPr>
      </w:pPr>
      <w:r w:rsidRPr="00305B99">
        <w:t xml:space="preserve">Atto (C. </w:t>
      </w:r>
      <w:r w:rsidRPr="00305B99">
        <w:rPr>
          <w:i/>
          <w:iCs/>
        </w:rPr>
        <w:t>b)</w:t>
      </w:r>
    </w:p>
    <w:p w14:paraId="3D0AEB0C" w14:textId="05B39BE3" w:rsidR="00305B99" w:rsidRDefault="00305B99" w:rsidP="00305B99">
      <w:r w:rsidRPr="00305B99">
        <w:t>Egli mi ha indotto a spararle (o ha fatto sì che le sparassi, etc.).</w:t>
      </w:r>
    </w:p>
    <w:p w14:paraId="1C54CAF1" w14:textId="77777777" w:rsidR="00305B99" w:rsidRDefault="00305B99" w:rsidP="00F920AD"/>
    <w:p w14:paraId="61CE1C74" w14:textId="77777777" w:rsidR="0023659F" w:rsidRDefault="0023659F" w:rsidP="00F920AD"/>
    <w:p w14:paraId="049E4C85" w14:textId="57AA3074" w:rsidR="00305B99" w:rsidRPr="00F920AD" w:rsidRDefault="00305B99" w:rsidP="00305B99">
      <w:pPr>
        <w:rPr>
          <w:b/>
          <w:bCs/>
        </w:rPr>
      </w:pPr>
      <w:r w:rsidRPr="00926D8F">
        <w:rPr>
          <w:b/>
          <w:bCs/>
        </w:rPr>
        <w:lastRenderedPageBreak/>
        <w:t xml:space="preserve">Brano </w:t>
      </w:r>
      <w:r w:rsidR="0023659F">
        <w:rPr>
          <w:b/>
          <w:bCs/>
        </w:rPr>
        <w:t>4</w:t>
      </w:r>
      <w:r w:rsidRPr="00926D8F">
        <w:rPr>
          <w:b/>
          <w:bCs/>
        </w:rPr>
        <w:t xml:space="preserve"> </w:t>
      </w:r>
      <w:proofErr w:type="gramStart"/>
      <w:r w:rsidRPr="00926D8F">
        <w:rPr>
          <w:b/>
          <w:bCs/>
        </w:rPr>
        <w:t xml:space="preserve">– </w:t>
      </w:r>
      <w:r w:rsidRPr="00F920AD">
        <w:rPr>
          <w:b/>
          <w:bCs/>
        </w:rPr>
        <w:t xml:space="preserve"> </w:t>
      </w:r>
      <w:r w:rsidR="005F1A0F">
        <w:rPr>
          <w:b/>
          <w:bCs/>
        </w:rPr>
        <w:t>Effetti</w:t>
      </w:r>
      <w:proofErr w:type="gramEnd"/>
      <w:r w:rsidR="005F1A0F">
        <w:rPr>
          <w:b/>
          <w:bCs/>
        </w:rPr>
        <w:t xml:space="preserve"> illocutori vs conseguenze perlocutorie</w:t>
      </w:r>
    </w:p>
    <w:p w14:paraId="05FE375B" w14:textId="1B2D97E2" w:rsidR="00305B99" w:rsidRPr="0023659F" w:rsidRDefault="00305B99" w:rsidP="00D11386">
      <w:pPr>
        <w:rPr>
          <w:i/>
          <w:iCs/>
        </w:rPr>
      </w:pPr>
      <w:r w:rsidRPr="00AD1D99">
        <w:rPr>
          <w:i/>
          <w:iCs/>
        </w:rPr>
        <w:t>(Austin, Lezion</w:t>
      </w:r>
      <w:r>
        <w:rPr>
          <w:i/>
          <w:iCs/>
        </w:rPr>
        <w:t>i</w:t>
      </w:r>
      <w:r w:rsidRPr="00AD1D99">
        <w:rPr>
          <w:i/>
          <w:iCs/>
        </w:rPr>
        <w:t xml:space="preserve"> </w:t>
      </w:r>
      <w:r w:rsidRPr="00D11386">
        <w:rPr>
          <w:i/>
          <w:iCs/>
        </w:rPr>
        <w:t>IX–X</w:t>
      </w:r>
      <w:r w:rsidRPr="00AD1D99">
        <w:rPr>
          <w:i/>
          <w:iCs/>
        </w:rPr>
        <w:t>, Come fare cose con le parole)</w:t>
      </w:r>
    </w:p>
    <w:p w14:paraId="2D9CA2CC" w14:textId="77777777" w:rsidR="00D11386" w:rsidRPr="00D11386" w:rsidRDefault="00D11386" w:rsidP="00D11386">
      <w:r w:rsidRPr="00D11386">
        <w:t>«Dobbiamo distinguere l'atto illocutorio da quello perlocutorio: ad esempio dobbiamo distinguere “nel dire quella cosa lo stavo avvertendo” da “col dire quella cosa l'ho convinto, o l'ho sorpreso, o l'ho fatto smettere”.</w:t>
      </w:r>
    </w:p>
    <w:p w14:paraId="6D1E3444" w14:textId="41DCFF66" w:rsidR="00D11386" w:rsidRDefault="00D11386" w:rsidP="00867E34">
      <w:r w:rsidRPr="00D11386">
        <w:t>[…]</w:t>
      </w:r>
      <w:r w:rsidR="00867E34">
        <w:t xml:space="preserve"> L</w:t>
      </w:r>
      <w:r w:rsidR="00867E34" w:rsidRPr="00867E34">
        <w:t>'atto illocutorio in quanto distinto da</w:t>
      </w:r>
      <w:r w:rsidR="00867E34">
        <w:t xml:space="preserve"> quello perlocutorio è connesso con la produzione di effetti in determinati</w:t>
      </w:r>
      <w:r w:rsidR="005F1A0F">
        <w:t xml:space="preserve"> </w:t>
      </w:r>
      <w:r w:rsidR="00867E34">
        <w:t>sensi:</w:t>
      </w:r>
    </w:p>
    <w:p w14:paraId="51CBAF82" w14:textId="0DD9FA44" w:rsidR="00867E34" w:rsidRDefault="00867E34" w:rsidP="00867E34">
      <w:pPr>
        <w:rPr>
          <w:i/>
          <w:iCs/>
        </w:rPr>
      </w:pPr>
      <w:r w:rsidRPr="00867E34">
        <w:t>1) A meno che non si ottenga un certo effetto, l'atto illocutorio non</w:t>
      </w:r>
      <w:r>
        <w:t xml:space="preserve"> </w:t>
      </w:r>
      <w:r w:rsidRPr="00867E34">
        <w:t>sarà stato eseguito felicemente, con successo. Questo non equivale a dire</w:t>
      </w:r>
      <w:r>
        <w:t xml:space="preserve"> </w:t>
      </w:r>
      <w:r w:rsidRPr="00867E34">
        <w:t>che l'atto illocutorio consiste nell'ottenere un certo effetto. Non si può</w:t>
      </w:r>
      <w:r>
        <w:t xml:space="preserve"> </w:t>
      </w:r>
      <w:r w:rsidRPr="00867E34">
        <w:t>dire che io abbia avvertito un uditorio a meno che questo non senta ciò</w:t>
      </w:r>
      <w:r>
        <w:t xml:space="preserve"> </w:t>
      </w:r>
      <w:r w:rsidRPr="00867E34">
        <w:t>che dico e lo intenda in un certo senso. Si deve ottenere un effetto</w:t>
      </w:r>
      <w:r>
        <w:t xml:space="preserve"> </w:t>
      </w:r>
      <w:r w:rsidRPr="00867E34">
        <w:t>sull'uditorio se l'atto illocutorio ha da essere portato a compimento. Generalmente esso consiste nell'ottenere la</w:t>
      </w:r>
      <w:r>
        <w:t xml:space="preserve"> </w:t>
      </w:r>
      <w:r w:rsidRPr="00867E34">
        <w:t>comprensione del significato e della forza della locuzione. Cos</w:t>
      </w:r>
      <w:r>
        <w:t>ì</w:t>
      </w:r>
      <w:r w:rsidRPr="00867E34">
        <w:t xml:space="preserve"> l'esecuzione</w:t>
      </w:r>
      <w:r>
        <w:t xml:space="preserve"> </w:t>
      </w:r>
      <w:r w:rsidRPr="00867E34">
        <w:t xml:space="preserve">di un atto illocutorio include l'assicurarsi la </w:t>
      </w:r>
      <w:r w:rsidRPr="00867E34">
        <w:rPr>
          <w:i/>
          <w:iCs/>
        </w:rPr>
        <w:t>recezione.</w:t>
      </w:r>
      <w:r>
        <w:rPr>
          <w:i/>
          <w:iCs/>
        </w:rPr>
        <w:t xml:space="preserve"> </w:t>
      </w:r>
    </w:p>
    <w:p w14:paraId="60625FEB" w14:textId="71179010" w:rsidR="00867E34" w:rsidRDefault="00867E34" w:rsidP="00867E34">
      <w:r w:rsidRPr="00867E34">
        <w:t>2) L'atto illocutorio «entra in vigore» in certi modi, diversi dal produrre</w:t>
      </w:r>
      <w:r>
        <w:t xml:space="preserve"> </w:t>
      </w:r>
      <w:r w:rsidRPr="00867E34">
        <w:t>delle conseguenze nel senso di provocare degli stati di cose nel</w:t>
      </w:r>
      <w:r>
        <w:t xml:space="preserve"> </w:t>
      </w:r>
      <w:r w:rsidRPr="00867E34">
        <w:t>modo</w:t>
      </w:r>
      <w:r>
        <w:t xml:space="preserve"> </w:t>
      </w:r>
      <w:r w:rsidRPr="00867E34">
        <w:t>«normale», cioè cambiamenti nel corso naturale degli eventi. Perciò</w:t>
      </w:r>
      <w:r>
        <w:t xml:space="preserve"> </w:t>
      </w:r>
      <w:r w:rsidRPr="00867E34">
        <w:t xml:space="preserve">«io battezzo questa nave </w:t>
      </w:r>
      <w:r w:rsidRPr="00867E34">
        <w:rPr>
          <w:i/>
          <w:iCs/>
        </w:rPr>
        <w:t>Queen Elizabeth</w:t>
      </w:r>
      <w:r w:rsidRPr="00867E34">
        <w:t>» ha l'effetto di dare il</w:t>
      </w:r>
      <w:r>
        <w:t xml:space="preserve"> </w:t>
      </w:r>
      <w:r w:rsidRPr="00867E34">
        <w:t xml:space="preserve">nome alla nave, o di battezzarla; </w:t>
      </w:r>
      <w:proofErr w:type="gramStart"/>
      <w:r w:rsidRPr="00867E34">
        <w:t>quindi</w:t>
      </w:r>
      <w:proofErr w:type="gramEnd"/>
      <w:r w:rsidRPr="00867E34">
        <w:t xml:space="preserve"> certi atti successivi, quali riferirsi</w:t>
      </w:r>
      <w:r>
        <w:t xml:space="preserve"> </w:t>
      </w:r>
      <w:r w:rsidRPr="00867E34">
        <w:t xml:space="preserve">ad essa come alla </w:t>
      </w:r>
      <w:r w:rsidRPr="00867E34">
        <w:rPr>
          <w:i/>
          <w:iCs/>
        </w:rPr>
        <w:t xml:space="preserve">Generalissimo Stalin, </w:t>
      </w:r>
      <w:r w:rsidRPr="00867E34">
        <w:t>saranno fuori posto.</w:t>
      </w:r>
      <w:r>
        <w:t xml:space="preserve"> </w:t>
      </w:r>
    </w:p>
    <w:p w14:paraId="245A7DA9" w14:textId="1DE9E438" w:rsidR="00D11386" w:rsidRPr="00D11386" w:rsidRDefault="00867E34" w:rsidP="00867E34">
      <w:r>
        <w:t xml:space="preserve">3) </w:t>
      </w:r>
      <w:r w:rsidRPr="00867E34">
        <w:t>Abbiamo detto che molti atti illocutori sollecitano per convenzione</w:t>
      </w:r>
      <w:r>
        <w:t xml:space="preserve"> </w:t>
      </w:r>
      <w:r w:rsidRPr="00867E34">
        <w:t>una risposta o un seguito. Cos</w:t>
      </w:r>
      <w:r>
        <w:t>ì</w:t>
      </w:r>
      <w:r w:rsidRPr="00867E34">
        <w:t xml:space="preserve"> un ordine sollecita la risposta dell'obbedienza</w:t>
      </w:r>
      <w:r>
        <w:t xml:space="preserve"> </w:t>
      </w:r>
      <w:r w:rsidRPr="00867E34">
        <w:t>e una promessa quella del suo mantenimento.</w:t>
      </w:r>
    </w:p>
    <w:p w14:paraId="490D5777" w14:textId="0FA03B7F" w:rsidR="00D11386" w:rsidRDefault="00867E34" w:rsidP="0023659F">
      <w:r w:rsidRPr="00867E34">
        <w:t>[…] L'atto perlocutorio può essere o il raggiungimento di un obiettivo</w:t>
      </w:r>
      <w:r>
        <w:t xml:space="preserve"> </w:t>
      </w:r>
      <w:r w:rsidRPr="00867E34">
        <w:t>perlocutorio (convincere, persuadere) o la produzione di un seguito perlocutorio.</w:t>
      </w:r>
      <w:r>
        <w:t xml:space="preserve"> </w:t>
      </w:r>
      <w:r w:rsidRPr="00867E34">
        <w:t>Cosi l'atto di avvertire può raggiungere il suo obiettivo perlocutorio</w:t>
      </w:r>
      <w:r>
        <w:t xml:space="preserve"> </w:t>
      </w:r>
      <w:r w:rsidRPr="00867E34">
        <w:t>di mettere all'erta e avere anche il seguito perlocutorio di allarmare, e</w:t>
      </w:r>
      <w:r>
        <w:t xml:space="preserve"> </w:t>
      </w:r>
      <w:r w:rsidRPr="00867E34">
        <w:t>un'argomentazione contro un'opinione può non riuscire a raggiungere il</w:t>
      </w:r>
      <w:r>
        <w:t xml:space="preserve"> </w:t>
      </w:r>
      <w:r w:rsidRPr="00867E34">
        <w:t>suo obiettivo ma avere il seguito perlocutorio di convincere il nostro</w:t>
      </w:r>
      <w:r>
        <w:t xml:space="preserve"> </w:t>
      </w:r>
      <w:r w:rsidRPr="00867E34">
        <w:t xml:space="preserve">antagonista della sua verità </w:t>
      </w:r>
      <w:proofErr w:type="gramStart"/>
      <w:r w:rsidRPr="00867E34">
        <w:t>( «</w:t>
      </w:r>
      <w:proofErr w:type="gramEnd"/>
      <w:r w:rsidRPr="00867E34">
        <w:t>sono riuscito soltanto a convincerlo»). Ciò</w:t>
      </w:r>
      <w:r>
        <w:t xml:space="preserve"> </w:t>
      </w:r>
      <w:r w:rsidRPr="00867E34">
        <w:t>' che è l'obiettivo perlocutorio di un'illocuzione può essere il seguito di</w:t>
      </w:r>
      <w:r>
        <w:t xml:space="preserve"> </w:t>
      </w:r>
      <w:r w:rsidRPr="00867E34">
        <w:t>un'altra. Per esempio, avvertire può produrre il seguito di trattenere dal</w:t>
      </w:r>
      <w:r>
        <w:t xml:space="preserve"> </w:t>
      </w:r>
      <w:r w:rsidRPr="00867E34">
        <w:t>fare qualcosa e dire «non farlo», il cui obiettivo è trattenere dal fare</w:t>
      </w:r>
      <w:r>
        <w:t xml:space="preserve"> </w:t>
      </w:r>
      <w:r w:rsidRPr="00867E34">
        <w:t>qualcosa, può produrre il seguito di mettere all'erta o anche di allarmare.</w:t>
      </w:r>
      <w:r>
        <w:t xml:space="preserve"> </w:t>
      </w:r>
      <w:r w:rsidRPr="00867E34">
        <w:t>Alcuni atti perlocutori consistono sempre nella produzione di un seguito,</w:t>
      </w:r>
      <w:r>
        <w:t xml:space="preserve"> </w:t>
      </w:r>
      <w:r w:rsidRPr="00867E34">
        <w:t>vale a dire quelli in cui non c'è alcuna formula illocutoria: cos</w:t>
      </w:r>
      <w:r>
        <w:t>ì</w:t>
      </w:r>
      <w:r w:rsidRPr="00867E34">
        <w:t xml:space="preserve"> posso</w:t>
      </w:r>
      <w:r>
        <w:t xml:space="preserve"> </w:t>
      </w:r>
      <w:r w:rsidRPr="00867E34">
        <w:t>sorprenderti o sconvolgerti o umiliarti con una locuzione, anche se non</w:t>
      </w:r>
      <w:r>
        <w:t xml:space="preserve"> </w:t>
      </w:r>
      <w:r w:rsidRPr="00867E34">
        <w:t>esiste alcuna formula illocutoria «io ti sorprendo con...», «io ti sconvolgo</w:t>
      </w:r>
      <w:r>
        <w:t xml:space="preserve"> </w:t>
      </w:r>
      <w:r w:rsidRPr="00867E34">
        <w:t>con...», «io ti umilio con...».</w:t>
      </w:r>
      <w:r>
        <w:t xml:space="preserve"> </w:t>
      </w:r>
    </w:p>
    <w:sectPr w:rsidR="00D11386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CB2254" w14:textId="77777777" w:rsidR="00253354" w:rsidRDefault="00253354" w:rsidP="00867E34">
      <w:pPr>
        <w:spacing w:after="0" w:line="240" w:lineRule="auto"/>
      </w:pPr>
      <w:r>
        <w:separator/>
      </w:r>
    </w:p>
  </w:endnote>
  <w:endnote w:type="continuationSeparator" w:id="0">
    <w:p w14:paraId="00D4511A" w14:textId="77777777" w:rsidR="00253354" w:rsidRDefault="00253354" w:rsidP="00867E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62482789"/>
      <w:docPartObj>
        <w:docPartGallery w:val="Page Numbers (Bottom of Page)"/>
        <w:docPartUnique/>
      </w:docPartObj>
    </w:sdtPr>
    <w:sdtContent>
      <w:p w14:paraId="29784D52" w14:textId="58B1C0AE" w:rsidR="00867E34" w:rsidRDefault="00867E34" w:rsidP="00867E34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88884C" w14:textId="77777777" w:rsidR="00253354" w:rsidRDefault="00253354" w:rsidP="00867E34">
      <w:pPr>
        <w:spacing w:after="0" w:line="240" w:lineRule="auto"/>
      </w:pPr>
      <w:r>
        <w:separator/>
      </w:r>
    </w:p>
  </w:footnote>
  <w:footnote w:type="continuationSeparator" w:id="0">
    <w:p w14:paraId="658C07D1" w14:textId="77777777" w:rsidR="00253354" w:rsidRDefault="00253354" w:rsidP="00867E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F6310"/>
    <w:multiLevelType w:val="multilevel"/>
    <w:tmpl w:val="343417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4A0529"/>
    <w:multiLevelType w:val="multilevel"/>
    <w:tmpl w:val="44780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A84ED0"/>
    <w:multiLevelType w:val="multilevel"/>
    <w:tmpl w:val="A956C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231490"/>
    <w:multiLevelType w:val="multilevel"/>
    <w:tmpl w:val="FB3E1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034894"/>
    <w:multiLevelType w:val="multilevel"/>
    <w:tmpl w:val="3BA803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1BF4A80"/>
    <w:multiLevelType w:val="multilevel"/>
    <w:tmpl w:val="8D766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B174D42"/>
    <w:multiLevelType w:val="multilevel"/>
    <w:tmpl w:val="585A0C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E8D19E0"/>
    <w:multiLevelType w:val="multilevel"/>
    <w:tmpl w:val="9C2E32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3D3738D"/>
    <w:multiLevelType w:val="multilevel"/>
    <w:tmpl w:val="97B23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0A539E9"/>
    <w:multiLevelType w:val="multilevel"/>
    <w:tmpl w:val="BEB26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8116EA0"/>
    <w:multiLevelType w:val="multilevel"/>
    <w:tmpl w:val="8AA69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B964B37"/>
    <w:multiLevelType w:val="multilevel"/>
    <w:tmpl w:val="94167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9E7694E"/>
    <w:multiLevelType w:val="multilevel"/>
    <w:tmpl w:val="34565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EE02563"/>
    <w:multiLevelType w:val="multilevel"/>
    <w:tmpl w:val="EC180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82122612">
    <w:abstractNumId w:val="0"/>
  </w:num>
  <w:num w:numId="2" w16cid:durableId="917835012">
    <w:abstractNumId w:val="12"/>
  </w:num>
  <w:num w:numId="3" w16cid:durableId="2062974041">
    <w:abstractNumId w:val="8"/>
  </w:num>
  <w:num w:numId="4" w16cid:durableId="120148380">
    <w:abstractNumId w:val="9"/>
  </w:num>
  <w:num w:numId="5" w16cid:durableId="642196568">
    <w:abstractNumId w:val="6"/>
  </w:num>
  <w:num w:numId="6" w16cid:durableId="485778844">
    <w:abstractNumId w:val="13"/>
  </w:num>
  <w:num w:numId="7" w16cid:durableId="1409309906">
    <w:abstractNumId w:val="11"/>
  </w:num>
  <w:num w:numId="8" w16cid:durableId="208806183">
    <w:abstractNumId w:val="10"/>
  </w:num>
  <w:num w:numId="9" w16cid:durableId="1924989443">
    <w:abstractNumId w:val="1"/>
  </w:num>
  <w:num w:numId="10" w16cid:durableId="7608013">
    <w:abstractNumId w:val="3"/>
  </w:num>
  <w:num w:numId="11" w16cid:durableId="1221403175">
    <w:abstractNumId w:val="2"/>
  </w:num>
  <w:num w:numId="12" w16cid:durableId="327440234">
    <w:abstractNumId w:val="7"/>
  </w:num>
  <w:num w:numId="13" w16cid:durableId="1600674254">
    <w:abstractNumId w:val="5"/>
  </w:num>
  <w:num w:numId="14" w16cid:durableId="13113974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F33"/>
    <w:rsid w:val="000A1F99"/>
    <w:rsid w:val="000B4698"/>
    <w:rsid w:val="0023659F"/>
    <w:rsid w:val="00253354"/>
    <w:rsid w:val="00305B99"/>
    <w:rsid w:val="0038549B"/>
    <w:rsid w:val="00390F57"/>
    <w:rsid w:val="00473B8C"/>
    <w:rsid w:val="00567315"/>
    <w:rsid w:val="005D3157"/>
    <w:rsid w:val="005E5FCA"/>
    <w:rsid w:val="005F1A0F"/>
    <w:rsid w:val="00867E34"/>
    <w:rsid w:val="00891AC0"/>
    <w:rsid w:val="00926D8F"/>
    <w:rsid w:val="0097133C"/>
    <w:rsid w:val="00AD1D99"/>
    <w:rsid w:val="00D11386"/>
    <w:rsid w:val="00E01F33"/>
    <w:rsid w:val="00F92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9C8DB"/>
  <w15:chartTrackingRefBased/>
  <w15:docId w15:val="{9FDA8D83-69F5-4448-B232-23AE032C2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E01F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E01F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E01F3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01F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01F3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E01F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01F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01F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E01F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E01F3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E01F3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E01F3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01F33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01F33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E01F33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01F33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01F33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E01F33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E01F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E01F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E01F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E01F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E01F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E01F33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E01F33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E01F33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E01F3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E01F33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E01F33"/>
    <w:rPr>
      <w:b/>
      <w:bCs/>
      <w:smallCaps/>
      <w:color w:val="0F476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867E3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67E34"/>
  </w:style>
  <w:style w:type="paragraph" w:styleId="Pidipagina">
    <w:name w:val="footer"/>
    <w:basedOn w:val="Normale"/>
    <w:link w:val="PidipaginaCarattere"/>
    <w:uiPriority w:val="99"/>
    <w:unhideWhenUsed/>
    <w:rsid w:val="00867E3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67E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6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1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06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59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64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95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5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9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08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29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7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823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1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44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76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0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6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9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87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9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82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0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3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60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92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027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2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26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927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68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23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8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3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1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243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901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09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884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7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81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887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5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67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4</Pages>
  <Words>1518</Words>
  <Characters>8658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LABINAZ PAOLO</dc:creator>
  <cp:keywords/>
  <dc:description/>
  <cp:lastModifiedBy>LABINAZ PAOLO</cp:lastModifiedBy>
  <cp:revision>6</cp:revision>
  <dcterms:created xsi:type="dcterms:W3CDTF">2025-04-14T20:18:00Z</dcterms:created>
  <dcterms:modified xsi:type="dcterms:W3CDTF">2025-04-15T17:59:00Z</dcterms:modified>
</cp:coreProperties>
</file>